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pPr>
    </w:p>
    <w:p>
      <w:pPr>
        <w:adjustRightInd w:val="0"/>
        <w:snapToGrid w:val="0"/>
        <w:spacing w:line="360" w:lineRule="auto"/>
        <w:jc w:val="center"/>
        <w:rPr>
          <w:rFonts w:hint="eastAsia" w:ascii="Times New Roman" w:hAnsi="Times New Roman" w:eastAsia="宋体" w:cs="Times New Roman"/>
          <w:b/>
          <w:bCs/>
          <w:color w:val="000000" w:themeColor="text1"/>
          <w:sz w:val="48"/>
          <w:szCs w:val="48"/>
        </w:rPr>
      </w:pPr>
      <w:r>
        <w:rPr>
          <w:rFonts w:hint="eastAsia" w:ascii="Times New Roman" w:hAnsi="Times New Roman" w:eastAsia="宋体" w:cs="Times New Roman"/>
          <w:b/>
          <w:bCs/>
          <w:color w:val="000000" w:themeColor="text1"/>
          <w:sz w:val="48"/>
          <w:szCs w:val="48"/>
        </w:rPr>
        <w:t>旬阳县恒欣矿业有限公司</w:t>
      </w:r>
    </w:p>
    <w:p>
      <w:pPr>
        <w:adjustRightInd w:val="0"/>
        <w:snapToGrid w:val="0"/>
        <w:spacing w:line="360" w:lineRule="auto"/>
        <w:jc w:val="center"/>
        <w:rPr>
          <w:rFonts w:ascii="Times New Roman" w:hAnsi="Times New Roman" w:eastAsia="宋体" w:cs="Times New Roman"/>
          <w:b/>
          <w:bCs/>
          <w:color w:val="000000" w:themeColor="text1"/>
          <w:sz w:val="48"/>
          <w:szCs w:val="48"/>
        </w:rPr>
      </w:pPr>
      <w:r>
        <w:rPr>
          <w:rFonts w:hint="eastAsia" w:ascii="Times New Roman" w:hAnsi="Times New Roman" w:eastAsia="宋体" w:cs="Times New Roman"/>
          <w:b/>
          <w:bCs/>
          <w:color w:val="000000" w:themeColor="text1"/>
          <w:sz w:val="48"/>
          <w:szCs w:val="48"/>
        </w:rPr>
        <w:t>旬阳县赤岩镇水磨河口构皮沟毒重石（重晶石及伴生毒重石）矿扩建项目</w:t>
      </w:r>
    </w:p>
    <w:p>
      <w:pPr>
        <w:adjustRightInd w:val="0"/>
        <w:snapToGrid w:val="0"/>
        <w:spacing w:line="360" w:lineRule="auto"/>
        <w:jc w:val="center"/>
        <w:rPr>
          <w:rFonts w:ascii="Times New Roman" w:hAnsi="Times New Roman" w:eastAsia="宋体" w:cs="Times New Roman"/>
          <w:b/>
          <w:bCs/>
          <w:color w:val="000000" w:themeColor="text1"/>
          <w:sz w:val="48"/>
          <w:szCs w:val="48"/>
        </w:rPr>
      </w:pPr>
      <w:r>
        <w:rPr>
          <w:rFonts w:ascii="Times New Roman" w:hAnsi="Times New Roman" w:eastAsia="宋体" w:cs="Times New Roman"/>
          <w:b/>
          <w:bCs/>
          <w:color w:val="000000" w:themeColor="text1"/>
          <w:sz w:val="48"/>
          <w:szCs w:val="48"/>
        </w:rPr>
        <w:t>环境影响报告书</w:t>
      </w:r>
    </w:p>
    <w:p>
      <w:pPr>
        <w:pStyle w:val="5"/>
        <w:numPr>
          <w:ilvl w:val="2"/>
          <w:numId w:val="0"/>
        </w:numPr>
        <w:rPr>
          <w:color w:val="000000" w:themeColor="text1"/>
        </w:rPr>
      </w:pPr>
    </w:p>
    <w:p>
      <w:pPr>
        <w:rPr>
          <w:color w:val="000000" w:themeColor="text1"/>
        </w:rPr>
      </w:pPr>
    </w:p>
    <w:p>
      <w:pPr>
        <w:pStyle w:val="5"/>
        <w:numPr>
          <w:ilvl w:val="2"/>
          <w:numId w:val="0"/>
        </w:numPr>
        <w:rPr>
          <w:color w:val="000000" w:themeColor="text1"/>
        </w:rPr>
      </w:pPr>
    </w:p>
    <w:p>
      <w:pPr>
        <w:rPr>
          <w:color w:val="000000" w:themeColor="text1"/>
        </w:rPr>
      </w:pPr>
    </w:p>
    <w:p>
      <w:pPr>
        <w:rPr>
          <w:color w:val="000000" w:themeColor="text1"/>
        </w:rPr>
      </w:pPr>
    </w:p>
    <w:p>
      <w:pPr>
        <w:pStyle w:val="5"/>
        <w:numPr>
          <w:ilvl w:val="2"/>
          <w:numId w:val="0"/>
        </w:numPr>
        <w:rPr>
          <w:color w:val="000000" w:themeColor="text1"/>
        </w:rPr>
      </w:pPr>
    </w:p>
    <w:p>
      <w:pPr>
        <w:pStyle w:val="5"/>
        <w:numPr>
          <w:ilvl w:val="2"/>
          <w:numId w:val="0"/>
        </w:numPr>
        <w:rPr>
          <w:color w:val="000000" w:themeColor="text1"/>
        </w:rPr>
      </w:pPr>
    </w:p>
    <w:p>
      <w:pPr>
        <w:rPr>
          <w:color w:val="000000" w:themeColor="text1"/>
        </w:rPr>
      </w:pPr>
    </w:p>
    <w:p>
      <w:pPr>
        <w:adjustRightInd w:val="0"/>
        <w:snapToGrid w:val="0"/>
        <w:spacing w:line="360" w:lineRule="auto"/>
        <w:jc w:val="center"/>
        <w:rPr>
          <w:rFonts w:ascii="Times New Roman" w:hAnsi="Times New Roman" w:eastAsia="宋体" w:cs="Times New Roman"/>
          <w:b/>
          <w:bCs/>
          <w:color w:val="000000" w:themeColor="text1"/>
          <w:sz w:val="36"/>
          <w:szCs w:val="36"/>
        </w:rPr>
      </w:pPr>
    </w:p>
    <w:p>
      <w:pPr>
        <w:adjustRightInd w:val="0"/>
        <w:snapToGrid w:val="0"/>
        <w:spacing w:line="360" w:lineRule="auto"/>
        <w:jc w:val="center"/>
        <w:rPr>
          <w:rFonts w:ascii="Times New Roman" w:hAnsi="Times New Roman" w:eastAsia="宋体" w:cs="Times New Roman"/>
          <w:b/>
          <w:bCs/>
          <w:color w:val="000000" w:themeColor="text1"/>
          <w:sz w:val="36"/>
          <w:szCs w:val="36"/>
        </w:rPr>
      </w:pPr>
    </w:p>
    <w:p>
      <w:pPr>
        <w:adjustRightInd w:val="0"/>
        <w:snapToGrid w:val="0"/>
        <w:spacing w:line="360" w:lineRule="auto"/>
        <w:jc w:val="center"/>
        <w:rPr>
          <w:rFonts w:ascii="Times New Roman" w:hAnsi="Times New Roman" w:eastAsia="宋体" w:cs="Times New Roman"/>
          <w:b/>
          <w:bCs/>
          <w:color w:val="000000" w:themeColor="text1"/>
          <w:sz w:val="36"/>
          <w:szCs w:val="36"/>
        </w:rPr>
      </w:pPr>
    </w:p>
    <w:p>
      <w:pPr>
        <w:adjustRightInd w:val="0"/>
        <w:snapToGrid w:val="0"/>
        <w:spacing w:line="360" w:lineRule="auto"/>
        <w:jc w:val="center"/>
        <w:rPr>
          <w:rFonts w:ascii="Times New Roman" w:hAnsi="Times New Roman" w:eastAsia="宋体" w:cs="Times New Roman"/>
          <w:b/>
          <w:bCs/>
          <w:color w:val="000000" w:themeColor="text1"/>
          <w:sz w:val="36"/>
          <w:szCs w:val="36"/>
        </w:rPr>
      </w:pPr>
    </w:p>
    <w:p>
      <w:pPr>
        <w:adjustRightInd w:val="0"/>
        <w:snapToGrid w:val="0"/>
        <w:spacing w:line="360" w:lineRule="auto"/>
        <w:jc w:val="center"/>
        <w:rPr>
          <w:rFonts w:ascii="Times New Roman" w:hAnsi="Times New Roman" w:eastAsia="宋体" w:cs="Times New Roman"/>
          <w:b/>
          <w:bCs/>
          <w:color w:val="000000" w:themeColor="text1"/>
          <w:sz w:val="36"/>
          <w:szCs w:val="36"/>
        </w:rPr>
      </w:pPr>
    </w:p>
    <w:p>
      <w:pPr>
        <w:adjustRightInd w:val="0"/>
        <w:snapToGrid w:val="0"/>
        <w:spacing w:line="360" w:lineRule="auto"/>
        <w:jc w:val="center"/>
        <w:rPr>
          <w:rFonts w:ascii="Times New Roman" w:hAnsi="Times New Roman" w:eastAsia="宋体" w:cs="Times New Roman"/>
          <w:b/>
          <w:bCs/>
          <w:color w:val="000000" w:themeColor="text1"/>
          <w:sz w:val="36"/>
          <w:szCs w:val="36"/>
        </w:rPr>
      </w:pPr>
      <w:r>
        <w:rPr>
          <w:rFonts w:ascii="Times New Roman" w:hAnsi="Times New Roman" w:eastAsia="宋体" w:cs="Times New Roman"/>
          <w:b/>
          <w:bCs/>
          <w:color w:val="000000" w:themeColor="text1"/>
          <w:sz w:val="36"/>
          <w:szCs w:val="36"/>
        </w:rPr>
        <w:t>建设单位：</w:t>
      </w:r>
      <w:r>
        <w:rPr>
          <w:rFonts w:hint="eastAsia" w:ascii="Times New Roman" w:hAnsi="Times New Roman" w:eastAsia="宋体" w:cs="Times New Roman"/>
          <w:b/>
          <w:bCs/>
          <w:color w:val="000000" w:themeColor="text1"/>
          <w:sz w:val="36"/>
          <w:szCs w:val="36"/>
        </w:rPr>
        <w:t>旬阳县恒欣矿业有限公司</w:t>
      </w:r>
    </w:p>
    <w:p>
      <w:pPr>
        <w:adjustRightInd w:val="0"/>
        <w:snapToGrid w:val="0"/>
        <w:spacing w:line="360" w:lineRule="auto"/>
        <w:jc w:val="center"/>
        <w:rPr>
          <w:rFonts w:hint="eastAsia" w:ascii="Times New Roman" w:hAnsi="Times New Roman" w:eastAsia="宋体" w:cs="Times New Roman"/>
          <w:b/>
          <w:bCs/>
          <w:color w:val="000000" w:themeColor="text1"/>
          <w:sz w:val="36"/>
          <w:szCs w:val="36"/>
          <w:lang w:eastAsia="zh-CN"/>
        </w:rPr>
      </w:pPr>
      <w:r>
        <w:rPr>
          <w:rFonts w:ascii="Times New Roman" w:hAnsi="Times New Roman" w:eastAsia="宋体" w:cs="Times New Roman"/>
          <w:b/>
          <w:bCs/>
          <w:color w:val="000000" w:themeColor="text1"/>
          <w:sz w:val="36"/>
          <w:szCs w:val="36"/>
        </w:rPr>
        <w:t>编制单位：</w:t>
      </w:r>
      <w:r>
        <w:rPr>
          <w:rFonts w:hint="eastAsia" w:ascii="Times New Roman" w:hAnsi="Times New Roman" w:eastAsia="宋体" w:cs="Times New Roman"/>
          <w:b/>
          <w:bCs/>
          <w:color w:val="000000" w:themeColor="text1"/>
          <w:sz w:val="36"/>
          <w:szCs w:val="36"/>
          <w:lang w:eastAsia="zh-CN"/>
        </w:rPr>
        <w:t>中政国评（北京）科技有限公司</w:t>
      </w:r>
    </w:p>
    <w:p>
      <w:pPr>
        <w:adjustRightInd w:val="0"/>
        <w:snapToGrid w:val="0"/>
        <w:spacing w:line="360" w:lineRule="auto"/>
        <w:jc w:val="center"/>
        <w:rPr>
          <w:rFonts w:ascii="Times New Roman" w:hAnsi="Times New Roman" w:eastAsia="宋体" w:cs="Times New Roman"/>
          <w:b/>
          <w:bCs/>
          <w:color w:val="000000" w:themeColor="text1"/>
          <w:sz w:val="36"/>
          <w:szCs w:val="36"/>
        </w:rPr>
      </w:pPr>
      <w:r>
        <w:rPr>
          <w:rFonts w:ascii="Times New Roman" w:hAnsi="Times New Roman" w:eastAsia="宋体" w:cs="Times New Roman"/>
          <w:b/>
          <w:bCs/>
          <w:color w:val="000000" w:themeColor="text1"/>
          <w:sz w:val="36"/>
          <w:szCs w:val="36"/>
        </w:rPr>
        <w:t>202</w:t>
      </w:r>
      <w:r>
        <w:rPr>
          <w:rFonts w:hint="eastAsia" w:ascii="Times New Roman" w:hAnsi="Times New Roman" w:eastAsia="宋体" w:cs="Times New Roman"/>
          <w:b/>
          <w:bCs/>
          <w:color w:val="000000" w:themeColor="text1"/>
          <w:sz w:val="36"/>
          <w:szCs w:val="36"/>
          <w:lang w:val="en-US" w:eastAsia="zh-CN"/>
        </w:rPr>
        <w:t>2</w:t>
      </w:r>
      <w:r>
        <w:rPr>
          <w:rFonts w:ascii="Times New Roman" w:hAnsi="Times New Roman" w:eastAsia="宋体" w:cs="Times New Roman"/>
          <w:b/>
          <w:bCs/>
          <w:color w:val="000000" w:themeColor="text1"/>
          <w:sz w:val="36"/>
          <w:szCs w:val="36"/>
        </w:rPr>
        <w:t>年</w:t>
      </w:r>
      <w:r>
        <w:rPr>
          <w:rFonts w:hint="eastAsia" w:ascii="Times New Roman" w:hAnsi="Times New Roman" w:eastAsia="宋体" w:cs="Times New Roman"/>
          <w:b/>
          <w:bCs/>
          <w:color w:val="000000" w:themeColor="text1"/>
          <w:sz w:val="36"/>
          <w:szCs w:val="36"/>
          <w:lang w:val="en-US" w:eastAsia="zh-CN"/>
        </w:rPr>
        <w:t>11</w:t>
      </w:r>
      <w:r>
        <w:rPr>
          <w:rFonts w:ascii="Times New Roman" w:hAnsi="Times New Roman" w:eastAsia="宋体" w:cs="Times New Roman"/>
          <w:b/>
          <w:bCs/>
          <w:color w:val="000000" w:themeColor="text1"/>
          <w:sz w:val="36"/>
          <w:szCs w:val="36"/>
        </w:rPr>
        <w:t>月</w:t>
      </w:r>
    </w:p>
    <w:p>
      <w:pPr>
        <w:adjustRightInd w:val="0"/>
        <w:snapToGrid w:val="0"/>
        <w:spacing w:line="360" w:lineRule="auto"/>
        <w:jc w:val="center"/>
        <w:rPr>
          <w:rFonts w:ascii="Times New Roman" w:hAnsi="Times New Roman" w:eastAsia="宋体" w:cs="Times New Roman"/>
          <w:b/>
          <w:bCs/>
          <w:color w:val="000000" w:themeColor="text1"/>
          <w:sz w:val="48"/>
          <w:szCs w:val="48"/>
        </w:rPr>
      </w:pPr>
    </w:p>
    <w:p>
      <w:pPr>
        <w:pStyle w:val="26"/>
        <w:spacing w:line="360" w:lineRule="auto"/>
        <w:ind w:leftChars="0" w:firstLine="4500" w:firstLineChars="1500"/>
        <w:rPr>
          <w:color w:val="000000" w:themeColor="text1"/>
          <w:sz w:val="30"/>
          <w:szCs w:val="30"/>
        </w:rPr>
      </w:pPr>
    </w:p>
    <w:p>
      <w:pPr>
        <w:pStyle w:val="26"/>
        <w:ind w:left="0" w:leftChars="0"/>
        <w:rPr>
          <w:color w:val="000000" w:themeColor="text1"/>
        </w:rPr>
        <w:sectPr>
          <w:headerReference r:id="rId3" w:type="default"/>
          <w:pgSz w:w="11906" w:h="16838"/>
          <w:pgMar w:top="1134" w:right="1418" w:bottom="1134" w:left="1418" w:header="850" w:footer="567" w:gutter="0"/>
          <w:pgBorders>
            <w:top w:val="none" w:sz="0" w:space="0"/>
            <w:left w:val="none" w:sz="0" w:space="0"/>
            <w:bottom w:val="none" w:sz="0" w:space="0"/>
            <w:right w:val="none" w:sz="0" w:space="0"/>
          </w:pgBorders>
          <w:cols w:space="0" w:num="1"/>
          <w:titlePg/>
          <w:docGrid w:linePitch="326" w:charSpace="0"/>
        </w:sectPr>
      </w:pPr>
    </w:p>
    <w:p>
      <w:pPr>
        <w:pStyle w:val="26"/>
        <w:adjustRightInd w:val="0"/>
        <w:snapToGrid w:val="0"/>
        <w:spacing w:line="360" w:lineRule="auto"/>
        <w:ind w:left="0" w:leftChars="0" w:firstLine="0" w:firstLineChars="0"/>
        <w:jc w:val="left"/>
        <w:rPr>
          <w:rFonts w:hint="eastAsia"/>
          <w:b/>
          <w:bCs/>
          <w:color w:val="000000" w:themeColor="text1"/>
          <w:sz w:val="24"/>
        </w:rPr>
      </w:pPr>
    </w:p>
    <w:p>
      <w:pPr>
        <w:pStyle w:val="26"/>
        <w:adjustRightInd w:val="0"/>
        <w:snapToGrid w:val="0"/>
        <w:spacing w:line="360" w:lineRule="auto"/>
        <w:ind w:left="0" w:leftChars="0" w:firstLine="482" w:firstLineChars="200"/>
        <w:jc w:val="left"/>
        <w:rPr>
          <w:b/>
          <w:bCs/>
          <w:color w:val="000000" w:themeColor="text1"/>
          <w:sz w:val="24"/>
        </w:rPr>
      </w:pPr>
      <w:r>
        <w:rPr>
          <w:rFonts w:hint="eastAsia"/>
          <w:b/>
          <w:bCs/>
          <w:color w:val="000000" w:themeColor="text1"/>
          <w:sz w:val="24"/>
        </w:rPr>
        <w:t>附图：</w:t>
      </w:r>
    </w:p>
    <w:p>
      <w:pPr>
        <w:pStyle w:val="26"/>
        <w:adjustRightInd w:val="0"/>
        <w:snapToGrid w:val="0"/>
        <w:spacing w:beforeLines="0" w:line="360" w:lineRule="auto"/>
        <w:ind w:left="0" w:leftChars="0" w:firstLine="480" w:firstLineChars="0"/>
        <w:jc w:val="left"/>
        <w:rPr>
          <w:rFonts w:hint="eastAsia"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附图</w:t>
      </w:r>
      <w:r>
        <w:rPr>
          <w:rFonts w:hint="eastAsia" w:ascii="Times New Roman" w:hAnsi="Times New Roman" w:eastAsia="宋体" w:cs="Times New Roman"/>
          <w:color w:val="000000" w:themeColor="text1"/>
          <w:sz w:val="24"/>
          <w:lang w:val="en-US" w:eastAsia="zh-CN"/>
        </w:rPr>
        <w:t>1</w:t>
      </w:r>
      <w:r>
        <w:rPr>
          <w:rFonts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szCs w:val="24"/>
          <w:lang w:val="en-US" w:eastAsia="zh-CN"/>
        </w:rPr>
        <w:t>地理位置图</w:t>
      </w:r>
    </w:p>
    <w:p>
      <w:pPr>
        <w:pStyle w:val="26"/>
        <w:adjustRightInd w:val="0"/>
        <w:snapToGrid w:val="0"/>
        <w:spacing w:beforeLines="0" w:line="360" w:lineRule="auto"/>
        <w:ind w:left="0" w:leftChars="0" w:firstLine="480" w:firstLineChars="0"/>
        <w:jc w:val="left"/>
        <w:rPr>
          <w:rFonts w:hint="default" w:ascii="Times New Roman" w:hAnsi="Times New Roman" w:eastAsia="宋体" w:cs="Times New Roman"/>
          <w:color w:val="000000" w:themeColor="text1"/>
          <w:sz w:val="24"/>
          <w:lang w:val="en-US"/>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2  矿区范围图</w:t>
      </w:r>
    </w:p>
    <w:p>
      <w:pPr>
        <w:pStyle w:val="26"/>
        <w:adjustRightInd w:val="0"/>
        <w:snapToGrid w:val="0"/>
        <w:spacing w:beforeLines="0" w:line="360" w:lineRule="auto"/>
        <w:ind w:left="0" w:leftChars="0" w:firstLine="480" w:firstLineChars="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附图3  平面布置图</w:t>
      </w:r>
    </w:p>
    <w:p>
      <w:pPr>
        <w:pStyle w:val="26"/>
        <w:adjustRightInd w:val="0"/>
        <w:snapToGrid w:val="0"/>
        <w:spacing w:beforeLines="0" w:line="360" w:lineRule="auto"/>
        <w:ind w:left="0" w:leftChars="0" w:firstLine="480" w:firstLineChars="0"/>
        <w:jc w:val="left"/>
        <w:rPr>
          <w:color w:val="000000" w:themeColor="text1"/>
        </w:rPr>
      </w:pPr>
      <w:r>
        <w:rPr>
          <w:rFonts w:hint="eastAsia" w:ascii="Times New Roman" w:hAnsi="Times New Roman" w:eastAsia="宋体" w:cs="Times New Roman"/>
          <w:color w:val="000000" w:themeColor="text1"/>
          <w:sz w:val="24"/>
          <w:lang w:val="en-US" w:eastAsia="zh-CN"/>
        </w:rPr>
        <w:t>附图4  K1纵向布置图</w:t>
      </w:r>
    </w:p>
    <w:p>
      <w:pPr>
        <w:pStyle w:val="26"/>
        <w:adjustRightInd w:val="0"/>
        <w:snapToGrid w:val="0"/>
        <w:spacing w:beforeLines="0" w:line="360" w:lineRule="auto"/>
        <w:ind w:left="0" w:leftChars="0" w:firstLine="480" w:firstLineChars="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附图5  K2纵向布置图</w:t>
      </w:r>
    </w:p>
    <w:p>
      <w:pPr>
        <w:pStyle w:val="14"/>
        <w:adjustRightInd w:val="0"/>
        <w:snapToGrid w:val="0"/>
        <w:spacing w:beforeLines="0" w:line="360" w:lineRule="auto"/>
        <w:ind w:firstLine="480" w:firstLineChars="200"/>
        <w:jc w:val="left"/>
        <w:rPr>
          <w:rFonts w:hint="default" w:ascii="Times New Roman" w:hAnsi="Times New Roman" w:eastAsia="宋体" w:cs="Times New Roman"/>
          <w:color w:val="000000" w:themeColor="text1"/>
          <w:sz w:val="24"/>
          <w:szCs w:val="24"/>
          <w:lang w:val="en-US"/>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6</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监测点位示意图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eastAsia="zh-CN"/>
        </w:rPr>
        <w:t>敏感目标分布图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附件8  评价范围示意图</w:t>
      </w:r>
    </w:p>
    <w:p>
      <w:pPr>
        <w:pStyle w:val="14"/>
        <w:adjustRightInd w:val="0"/>
        <w:snapToGrid w:val="0"/>
        <w:spacing w:beforeLines="0"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附图</w:t>
      </w:r>
      <w:r>
        <w:rPr>
          <w:rFonts w:hint="default" w:ascii="Times New Roman" w:hAnsi="Times New Roman" w:eastAsia="宋体" w:cs="Times New Roman"/>
          <w:color w:val="000000" w:themeColor="text1"/>
          <w:sz w:val="24"/>
          <w:lang w:val="en-US" w:eastAsia="zh-CN"/>
        </w:rPr>
        <w:t>9</w:t>
      </w:r>
      <w:r>
        <w:rPr>
          <w:rFonts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陕西省生态功能区划</w:t>
      </w:r>
      <w:r>
        <w:rPr>
          <w:rFonts w:hint="eastAsia" w:ascii="Times New Roman" w:hAnsi="Times New Roman" w:eastAsia="宋体" w:cs="Times New Roman"/>
          <w:color w:val="000000" w:themeColor="text1"/>
          <w:sz w:val="24"/>
          <w:lang w:eastAsia="zh-CN"/>
        </w:rPr>
        <w:t>图</w:t>
      </w:r>
    </w:p>
    <w:p>
      <w:pPr>
        <w:pStyle w:val="14"/>
        <w:adjustRightInd w:val="0"/>
        <w:snapToGrid w:val="0"/>
        <w:spacing w:beforeLines="0" w:line="360" w:lineRule="auto"/>
        <w:ind w:firstLine="480" w:firstLineChars="200"/>
        <w:jc w:val="left"/>
        <w:rPr>
          <w:rFonts w:hint="default"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rPr>
        <w:t>附图</w:t>
      </w:r>
      <w:r>
        <w:rPr>
          <w:rFonts w:hint="default" w:ascii="Times New Roman" w:hAnsi="Times New Roman" w:eastAsia="宋体" w:cs="Times New Roman"/>
          <w:color w:val="000000" w:themeColor="text1"/>
          <w:sz w:val="24"/>
          <w:lang w:val="en-US" w:eastAsia="zh-CN"/>
        </w:rPr>
        <w:t>10</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陕西省主体功能区划图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val="en-US" w:eastAsia="zh-CN"/>
        </w:rPr>
        <w:t>1</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陕西省水土流失重点防治区划分成果图</w:t>
      </w:r>
    </w:p>
    <w:p>
      <w:pPr>
        <w:pStyle w:val="14"/>
        <w:adjustRightInd w:val="0"/>
        <w:snapToGrid w:val="0"/>
        <w:spacing w:beforeLines="0" w:line="360" w:lineRule="auto"/>
        <w:ind w:firstLine="480" w:firstLineChars="200"/>
        <w:jc w:val="left"/>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附图1</w:t>
      </w:r>
      <w:r>
        <w:rPr>
          <w:rFonts w:hint="default"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val="en-US" w:eastAsia="zh-CN"/>
        </w:rPr>
        <w:t xml:space="preserve">  陕西省生态环境管控单元分布图  </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附图1</w:t>
      </w:r>
      <w:r>
        <w:rPr>
          <w:rFonts w:hint="default"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val="en-US" w:eastAsia="zh-CN"/>
        </w:rPr>
        <w:t xml:space="preserve">  陕西省生态保护红线图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附图1</w:t>
      </w:r>
      <w:r>
        <w:rPr>
          <w:rFonts w:hint="default"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val="en-US" w:eastAsia="zh-CN"/>
        </w:rPr>
        <w:t xml:space="preserve">  安康市生态保护红线图</w:t>
      </w:r>
    </w:p>
    <w:p>
      <w:pPr>
        <w:pStyle w:val="14"/>
        <w:adjustRightInd w:val="0"/>
        <w:snapToGrid w:val="0"/>
        <w:spacing w:beforeLines="0" w:line="360" w:lineRule="auto"/>
        <w:ind w:firstLine="480" w:firstLineChars="200"/>
        <w:jc w:val="left"/>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附图1</w:t>
      </w:r>
      <w:r>
        <w:rPr>
          <w:rFonts w:hint="default" w:ascii="Times New Roman" w:hAnsi="Times New Roman" w:eastAsia="宋体" w:cs="Times New Roman"/>
          <w:color w:val="000000" w:themeColor="text1"/>
          <w:sz w:val="24"/>
          <w:szCs w:val="24"/>
          <w:lang w:val="en-US" w:eastAsia="zh-CN"/>
        </w:rPr>
        <w:t>5</w:t>
      </w:r>
      <w:r>
        <w:rPr>
          <w:rFonts w:hint="eastAsia" w:ascii="Times New Roman" w:hAnsi="Times New Roman" w:eastAsia="宋体" w:cs="Times New Roman"/>
          <w:color w:val="000000" w:themeColor="text1"/>
          <w:sz w:val="24"/>
          <w:szCs w:val="24"/>
          <w:lang w:val="en-US" w:eastAsia="zh-CN"/>
        </w:rPr>
        <w:t xml:space="preserve">  旬阳市水系图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附图1</w:t>
      </w:r>
      <w:r>
        <w:rPr>
          <w:rFonts w:hint="default" w:ascii="Times New Roman" w:hAnsi="Times New Roman" w:eastAsia="宋体" w:cs="Times New Roman"/>
          <w:color w:val="000000" w:themeColor="text1"/>
          <w:sz w:val="24"/>
          <w:szCs w:val="24"/>
          <w:lang w:val="en-US" w:eastAsia="zh-CN"/>
        </w:rPr>
        <w:t>6</w:t>
      </w:r>
      <w:r>
        <w:rPr>
          <w:rFonts w:hint="eastAsia" w:ascii="Times New Roman" w:hAnsi="Times New Roman" w:eastAsia="宋体" w:cs="Times New Roman"/>
          <w:color w:val="000000" w:themeColor="text1"/>
          <w:sz w:val="24"/>
          <w:szCs w:val="24"/>
          <w:lang w:val="en-US" w:eastAsia="zh-CN"/>
        </w:rPr>
        <w:t xml:space="preserve">  植被类型图</w:t>
      </w:r>
    </w:p>
    <w:p>
      <w:pPr>
        <w:pStyle w:val="14"/>
        <w:adjustRightInd w:val="0"/>
        <w:snapToGrid w:val="0"/>
        <w:spacing w:beforeLines="0"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szCs w:val="24"/>
          <w:lang w:val="en-US" w:eastAsia="zh-CN"/>
        </w:rPr>
        <w:t>附图17  土地利用</w:t>
      </w:r>
      <w:r>
        <w:rPr>
          <w:rFonts w:ascii="Times New Roman" w:hAnsi="Times New Roman" w:eastAsia="宋体" w:cs="Times New Roman"/>
          <w:color w:val="000000" w:themeColor="text1"/>
          <w:sz w:val="24"/>
        </w:rPr>
        <w:t>现状图</w:t>
      </w:r>
    </w:p>
    <w:p>
      <w:pPr>
        <w:pStyle w:val="14"/>
        <w:spacing w:beforeLines="0"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附图18  土壤侵蚀</w:t>
      </w:r>
      <w:r>
        <w:rPr>
          <w:rFonts w:ascii="Times New Roman" w:hAnsi="Times New Roman" w:eastAsia="宋体" w:cs="Times New Roman"/>
          <w:color w:val="000000" w:themeColor="text1"/>
          <w:sz w:val="24"/>
        </w:rPr>
        <w:t>图</w:t>
      </w:r>
    </w:p>
    <w:p>
      <w:pPr>
        <w:pStyle w:val="14"/>
        <w:spacing w:beforeLines="0" w:line="360" w:lineRule="auto"/>
        <w:ind w:firstLine="480" w:firstLineChars="200"/>
        <w:rPr>
          <w:rFonts w:hint="eastAsia"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19</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eastAsia="zh-CN"/>
        </w:rPr>
        <w:t>岩移范围图</w:t>
      </w:r>
    </w:p>
    <w:p>
      <w:pPr>
        <w:pStyle w:val="14"/>
        <w:spacing w:beforeLines="0" w:line="360" w:lineRule="auto"/>
        <w:ind w:firstLine="480" w:firstLineChars="200"/>
        <w:rPr>
          <w:rFonts w:hint="default"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20  项目所在区域水文地质图</w:t>
      </w:r>
    </w:p>
    <w:p>
      <w:pPr>
        <w:pStyle w:val="14"/>
        <w:spacing w:beforeLines="0"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szCs w:val="24"/>
          <w:lang w:val="en-US" w:eastAsia="zh-CN"/>
        </w:rPr>
        <w:t>附图21  矿区水文地质</w:t>
      </w:r>
      <w:r>
        <w:rPr>
          <w:rFonts w:ascii="Times New Roman" w:hAnsi="Times New Roman" w:eastAsia="宋体" w:cs="Times New Roman"/>
          <w:color w:val="000000" w:themeColor="text1"/>
          <w:sz w:val="24"/>
          <w:szCs w:val="24"/>
        </w:rPr>
        <w:t>图</w:t>
      </w:r>
    </w:p>
    <w:p>
      <w:pPr>
        <w:pStyle w:val="14"/>
        <w:adjustRightInd w:val="0"/>
        <w:snapToGrid w:val="0"/>
        <w:spacing w:beforeLines="0" w:line="360" w:lineRule="auto"/>
        <w:ind w:firstLine="480" w:firstLineChars="200"/>
        <w:jc w:val="left"/>
        <w:rPr>
          <w:rFonts w:hint="default" w:ascii="Times New Roman" w:hAnsi="Times New Roman" w:eastAsia="宋体" w:cs="Times New Roman"/>
          <w:color w:val="000000" w:themeColor="text1"/>
          <w:sz w:val="24"/>
          <w:szCs w:val="24"/>
          <w:lang w:val="en-US"/>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22</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 xml:space="preserve"> 分区防渗示意图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23</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本项目已形成的采空区与周边同一矿带形成的采空区分布示意图</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24</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现状照片</w:t>
      </w:r>
    </w:p>
    <w:p>
      <w:pPr>
        <w:pStyle w:val="14"/>
        <w:adjustRightInd w:val="0"/>
        <w:snapToGrid w:val="0"/>
        <w:spacing w:beforeLines="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szCs w:val="24"/>
        </w:rPr>
        <w:t>附图</w:t>
      </w:r>
      <w:r>
        <w:rPr>
          <w:rFonts w:hint="eastAsia" w:ascii="Times New Roman" w:hAnsi="Times New Roman" w:eastAsia="宋体" w:cs="Times New Roman"/>
          <w:color w:val="000000" w:themeColor="text1"/>
          <w:sz w:val="24"/>
          <w:szCs w:val="24"/>
          <w:lang w:val="en-US" w:eastAsia="zh-CN"/>
        </w:rPr>
        <w:t>25</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使用林地现状图</w:t>
      </w:r>
    </w:p>
    <w:p>
      <w:pPr>
        <w:rPr>
          <w:rFonts w:hint="default"/>
          <w:lang w:val="en-US"/>
        </w:rPr>
      </w:pPr>
    </w:p>
    <w:p>
      <w:pPr>
        <w:pStyle w:val="14"/>
        <w:spacing w:beforeLines="0" w:line="360" w:lineRule="auto"/>
        <w:ind w:firstLine="480" w:firstLineChars="200"/>
        <w:rPr>
          <w:rFonts w:ascii="Times New Roman" w:hAnsi="Times New Roman" w:eastAsia="宋体" w:cs="Times New Roman"/>
          <w:color w:val="000000" w:themeColor="text1"/>
          <w:sz w:val="24"/>
          <w:szCs w:val="24"/>
        </w:rPr>
      </w:pPr>
    </w:p>
    <w:p>
      <w:pPr>
        <w:pStyle w:val="14"/>
        <w:spacing w:beforeLines="0" w:line="360" w:lineRule="auto"/>
        <w:ind w:firstLine="480" w:firstLineChars="200"/>
        <w:rPr>
          <w:rFonts w:ascii="Times New Roman" w:hAnsi="Times New Roman" w:eastAsia="宋体" w:cs="Times New Roman"/>
          <w:color w:val="000000" w:themeColor="text1"/>
          <w:sz w:val="24"/>
          <w:szCs w:val="24"/>
        </w:rPr>
      </w:pP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Chars="0"/>
        <w:jc w:val="left"/>
        <w:textAlignment w:val="auto"/>
        <w:rPr>
          <w:rFonts w:hint="eastAsia"/>
          <w:b/>
          <w:bCs/>
          <w:color w:val="000000" w:themeColor="text1"/>
          <w:sz w:val="24"/>
        </w:rPr>
        <w:sectPr>
          <w:headerReference r:id="rId4" w:type="default"/>
          <w:footerReference r:id="rId5" w:type="default"/>
          <w:pgSz w:w="11906" w:h="16838"/>
          <w:pgMar w:top="1134" w:right="1418" w:bottom="1134" w:left="1418" w:header="850" w:footer="567" w:gutter="0"/>
          <w:pgBorders>
            <w:top w:val="none" w:sz="0" w:space="0"/>
            <w:left w:val="none" w:sz="0" w:space="0"/>
            <w:bottom w:val="none" w:sz="0" w:space="0"/>
            <w:right w:val="none" w:sz="0" w:space="0"/>
          </w:pgBorders>
          <w:pgNumType w:start="1"/>
          <w:cols w:space="720" w:num="1"/>
          <w:docGrid w:linePitch="326" w:charSpace="0"/>
        </w:sectPr>
      </w:pPr>
      <w:r>
        <w:rPr>
          <w:rFonts w:hint="eastAsia"/>
          <w:color w:val="000000" w:themeColor="text1"/>
          <w:lang w:val="en-US" w:eastAsia="zh-CN"/>
        </w:rPr>
        <w:t xml:space="preserve">    </w:t>
      </w:r>
    </w:p>
    <w:p>
      <w:pPr>
        <w:adjustRightInd w:val="0"/>
        <w:snapToGrid w:val="0"/>
        <w:spacing w:line="360" w:lineRule="auto"/>
        <w:ind w:firstLine="482" w:firstLineChars="200"/>
        <w:jc w:val="left"/>
        <w:rPr>
          <w:b/>
          <w:bCs/>
          <w:color w:val="000000" w:themeColor="text1"/>
        </w:rPr>
      </w:pPr>
      <w:r>
        <w:rPr>
          <w:rFonts w:hint="eastAsia"/>
          <w:b/>
          <w:bCs/>
          <w:color w:val="000000" w:themeColor="text1"/>
          <w:sz w:val="24"/>
        </w:rPr>
        <w:t>附件：</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1</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委托书</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2</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项目备案确认书</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3</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采矿许可证</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附件4  临时用地申请</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5</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临时用地复垦协议</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附件6  营业执照</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附件7  旬阳县环境保护局《关于旬阳县赤岩镇水磨河口构皮沟毒重石矿开采项目环境影响报告表的批复》（旬环保函</w:t>
      </w:r>
      <w:r>
        <w:rPr>
          <w:rFonts w:hint="eastAsia" w:ascii="黑体" w:hAnsi="黑体" w:eastAsia="黑体" w:cs="黑体"/>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2008</w:t>
      </w:r>
      <w:r>
        <w:rPr>
          <w:rFonts w:hint="eastAsia" w:ascii="黑体" w:hAnsi="黑体" w:eastAsia="黑体" w:cs="黑体"/>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66号）</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8</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《陕西省旬阳县赤岩镇毒重石矿（整合区）资源储量核实报告》主要内容</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 xml:space="preserve">9 </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安康市国土资源局文件《陕西省旬阳县赤岩镇毒重石矿（整合区）资源储量核实报告》矿产资源储量评审备案证明（安国土资储备</w:t>
      </w:r>
      <w:r>
        <w:rPr>
          <w:rFonts w:hint="eastAsia" w:ascii="黑体" w:hAnsi="黑体" w:eastAsia="黑体" w:cs="黑体"/>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2012</w:t>
      </w:r>
      <w:r>
        <w:rPr>
          <w:rFonts w:hint="eastAsia" w:ascii="黑体" w:hAnsi="黑体" w:eastAsia="黑体" w:cs="黑体"/>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21号）</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10  陕西省旬阳县赤岩镇水磨河口构皮沟毒重石矿矿产资源开发利用方案审查意见</w:t>
      </w:r>
      <w:r>
        <w:rPr>
          <w:rFonts w:hint="eastAsia" w:ascii="Times New Roman" w:hAnsi="Times New Roman" w:eastAsia="宋体" w:cs="Times New Roman"/>
          <w:color w:val="000000" w:themeColor="text1"/>
          <w:sz w:val="24"/>
        </w:rPr>
        <w:t xml:space="preserve">  </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rPr>
      </w:pPr>
      <w:r>
        <w:rPr>
          <w:rFonts w:hint="eastAsia" w:ascii="Times New Roman" w:hAnsi="Times New Roman" w:eastAsia="宋体" w:cs="Times New Roman"/>
          <w:color w:val="000000" w:themeColor="text1"/>
          <w:sz w:val="24"/>
        </w:rPr>
        <w:t>附件</w:t>
      </w:r>
      <w:r>
        <w:rPr>
          <w:rFonts w:hint="eastAsia" w:ascii="Times New Roman" w:hAnsi="Times New Roman" w:eastAsia="宋体" w:cs="Times New Roman"/>
          <w:color w:val="000000" w:themeColor="text1"/>
          <w:sz w:val="24"/>
          <w:lang w:val="en-US" w:eastAsia="zh-CN"/>
        </w:rPr>
        <w:t>11</w:t>
      </w:r>
      <w:r>
        <w:rPr>
          <w:rFonts w:hint="eastAsia"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lang w:val="en-US" w:eastAsia="zh-CN"/>
        </w:rPr>
        <w:t>旬阳县水利局《关于旬阳县赤岩镇水磨河口构皮沟毒重石矿水保方案报告表的批复》（旬水函</w:t>
      </w:r>
      <w:r>
        <w:rPr>
          <w:rFonts w:hint="eastAsia" w:ascii="黑体" w:hAnsi="黑体" w:eastAsia="黑体" w:cs="黑体"/>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2019</w:t>
      </w:r>
      <w:r>
        <w:rPr>
          <w:rFonts w:hint="eastAsia" w:ascii="黑体" w:hAnsi="黑体" w:eastAsia="黑体" w:cs="黑体"/>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20号）</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附件</w:t>
      </w:r>
      <w:r>
        <w:rPr>
          <w:rFonts w:hint="default"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val="en-US" w:eastAsia="zh-CN"/>
        </w:rPr>
        <w:t xml:space="preserve">  固定污染源排污登记回执</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lang w:val="en-US" w:eastAsia="zh-CN"/>
        </w:rPr>
        <w:t>附件1</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val="en-US" w:eastAsia="zh-CN"/>
        </w:rPr>
        <w:t xml:space="preserve">  安康市国土资源局文件《关于给旬阳县恒欣矿业有限公司划定旬阳县赤岩镇水磨河口构皮沟毒重石矿矿区范围的批复》</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安国土资办发〔2009〕46号）</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附件1</w:t>
      </w:r>
      <w:r>
        <w:rPr>
          <w:rFonts w:hint="eastAsia"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lang w:val="en-US" w:eastAsia="zh-CN"/>
        </w:rPr>
        <w:t xml:space="preserve">  </w:t>
      </w:r>
      <w:r>
        <w:rPr>
          <w:rFonts w:hint="eastAsia" w:ascii="Times New Roman" w:hAnsi="Times New Roman" w:eastAsia="宋体" w:cs="Times New Roman"/>
          <w:color w:val="000000" w:themeColor="text1"/>
          <w:sz w:val="24"/>
          <w:szCs w:val="24"/>
          <w:lang w:val="en-US" w:eastAsia="zh-CN"/>
        </w:rPr>
        <w:t>旬阳县恒欣矿业有限公司涉镉等</w:t>
      </w:r>
      <w:r>
        <w:rPr>
          <w:rFonts w:hint="default" w:ascii="Times New Roman" w:hAnsi="Times New Roman" w:eastAsia="宋体" w:cs="Times New Roman"/>
          <w:color w:val="000000" w:themeColor="text1"/>
          <w:sz w:val="24"/>
          <w:szCs w:val="24"/>
          <w:lang w:val="en-US" w:eastAsia="zh-CN"/>
        </w:rPr>
        <w:t>重金属</w:t>
      </w:r>
      <w:r>
        <w:rPr>
          <w:rFonts w:hint="eastAsia" w:ascii="Times New Roman" w:hAnsi="Times New Roman" w:eastAsia="宋体" w:cs="Times New Roman"/>
          <w:color w:val="000000" w:themeColor="text1"/>
          <w:sz w:val="24"/>
          <w:szCs w:val="24"/>
          <w:lang w:val="en-US" w:eastAsia="zh-CN"/>
        </w:rPr>
        <w:t>重点污染源整治现场核查（二次）意见</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附件1</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lang w:val="en-US" w:eastAsia="zh-CN"/>
        </w:rPr>
        <w:t xml:space="preserve">  应急预案</w:t>
      </w:r>
      <w:r>
        <w:rPr>
          <w:rFonts w:hint="eastAsia" w:ascii="Times New Roman" w:hAnsi="Times New Roman" w:eastAsia="宋体" w:cs="Times New Roman"/>
          <w:color w:val="000000" w:themeColor="text1"/>
          <w:sz w:val="24"/>
          <w:szCs w:val="24"/>
          <w:lang w:val="en-US" w:eastAsia="zh-CN"/>
        </w:rPr>
        <w:t>备案表</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附件</w:t>
      </w:r>
      <w:r>
        <w:rPr>
          <w:rFonts w:hint="default"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lang w:val="en-US" w:eastAsia="zh-CN"/>
        </w:rPr>
        <w:t xml:space="preserve"> </w:t>
      </w:r>
      <w:r>
        <w:rPr>
          <w:rFonts w:hint="default"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val="en-US" w:eastAsia="zh-CN"/>
        </w:rPr>
        <w:t>取水证</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附件</w:t>
      </w:r>
      <w:r>
        <w:rPr>
          <w:rFonts w:hint="default"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val="en-US" w:eastAsia="zh-CN"/>
        </w:rPr>
        <w:t>7</w:t>
      </w:r>
      <w:r>
        <w:rPr>
          <w:rFonts w:hint="default" w:ascii="Times New Roman" w:hAnsi="Times New Roman" w:eastAsia="宋体" w:cs="Times New Roman"/>
          <w:color w:val="000000" w:themeColor="text1"/>
          <w:sz w:val="24"/>
          <w:szCs w:val="24"/>
          <w:lang w:val="en-US" w:eastAsia="zh-CN"/>
        </w:rPr>
        <w:t xml:space="preserve"> </w:t>
      </w:r>
      <w:r>
        <w:rPr>
          <w:rFonts w:hint="default" w:ascii="Times New Roman" w:hAnsi="Times New Roman" w:eastAsia="宋体" w:cs="Times New Roman"/>
          <w:color w:val="000000" w:themeColor="text1"/>
          <w:sz w:val="24"/>
          <w:szCs w:val="24"/>
        </w:rPr>
        <w:t xml:space="preserve"> </w:t>
      </w:r>
      <w:r>
        <w:rPr>
          <w:rFonts w:hint="default" w:ascii="Times New Roman" w:hAnsi="Times New Roman" w:eastAsia="宋体" w:cs="Times New Roman"/>
          <w:color w:val="000000" w:themeColor="text1"/>
          <w:sz w:val="24"/>
          <w:szCs w:val="24"/>
          <w:lang w:val="en-US" w:eastAsia="zh-CN"/>
        </w:rPr>
        <w:t>监测报告</w:t>
      </w:r>
    </w:p>
    <w:p>
      <w:pPr>
        <w:adjustRightInd w:val="0"/>
        <w:snapToGrid w:val="0"/>
        <w:spacing w:line="360" w:lineRule="auto"/>
        <w:ind w:firstLine="420" w:firstLineChars="200"/>
        <w:jc w:val="left"/>
        <w:rPr>
          <w:rFonts w:hint="eastAsia"/>
          <w:lang w:val="en-US" w:eastAsia="zh-CN"/>
        </w:rPr>
      </w:pPr>
    </w:p>
    <w:p>
      <w:pPr>
        <w:rPr>
          <w:rFonts w:hint="eastAsia"/>
          <w:lang w:val="en-US" w:eastAsia="zh-CN"/>
        </w:rPr>
      </w:pPr>
    </w:p>
    <w:p>
      <w:pPr>
        <w:adjustRightInd w:val="0"/>
        <w:snapToGrid w:val="0"/>
        <w:spacing w:line="360" w:lineRule="auto"/>
        <w:ind w:firstLine="480" w:firstLineChars="200"/>
        <w:jc w:val="left"/>
        <w:rPr>
          <w:rFonts w:hint="eastAsia"/>
          <w:color w:val="000000" w:themeColor="text1"/>
          <w:lang w:val="en-US" w:eastAsia="zh-CN"/>
        </w:rPr>
      </w:pPr>
      <w:r>
        <w:rPr>
          <w:rFonts w:hint="eastAsia" w:ascii="Times New Roman" w:hAnsi="Times New Roman" w:eastAsia="宋体" w:cs="Times New Roman"/>
          <w:color w:val="000000" w:themeColor="text1"/>
          <w:sz w:val="24"/>
          <w:lang w:val="en-US" w:eastAsia="zh-CN"/>
        </w:rPr>
        <w:t>附表  建设项目环评审批基础信息表</w:t>
      </w:r>
      <w:r>
        <w:rPr>
          <w:rFonts w:hint="eastAsia"/>
          <w:color w:val="000000" w:themeColor="text1"/>
          <w:lang w:val="en-US" w:eastAsia="zh-CN"/>
        </w:rPr>
        <w:t xml:space="preserve"> </w:t>
      </w:r>
    </w:p>
    <w:p>
      <w:pPr>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rPr>
          <w:rFonts w:hint="eastAsia"/>
          <w:color w:val="000000" w:themeColor="text1"/>
          <w:lang w:val="en-US" w:eastAsia="zh-CN"/>
        </w:rPr>
      </w:pPr>
    </w:p>
    <w:p>
      <w:pPr>
        <w:pStyle w:val="4"/>
        <w:numPr>
          <w:ilvl w:val="1"/>
          <w:numId w:val="0"/>
        </w:numPr>
        <w:ind w:leftChars="0"/>
        <w:rPr>
          <w:rFonts w:hint="eastAsia"/>
          <w:lang w:val="en-US" w:eastAsia="zh-CN"/>
        </w:rPr>
        <w:sectPr>
          <w:footerReference r:id="rId6" w:type="default"/>
          <w:pgSz w:w="11906" w:h="16838"/>
          <w:pgMar w:top="1134" w:right="1418" w:bottom="1134" w:left="1418" w:header="850" w:footer="567" w:gutter="0"/>
          <w:pgBorders>
            <w:top w:val="none" w:sz="0" w:space="0"/>
            <w:left w:val="none" w:sz="0" w:space="0"/>
            <w:bottom w:val="none" w:sz="0" w:space="0"/>
            <w:right w:val="none" w:sz="0" w:space="0"/>
          </w:pgBorders>
          <w:pgNumType w:start="1"/>
          <w:cols w:space="720" w:num="1"/>
          <w:docGrid w:linePitch="326" w:charSpace="0"/>
        </w:sectPr>
      </w:pPr>
    </w:p>
    <w:p>
      <w:pPr>
        <w:rPr>
          <w:rFonts w:hint="eastAsia"/>
          <w:lang w:val="en-US" w:eastAsia="zh-CN"/>
        </w:rPr>
      </w:pPr>
    </w:p>
    <w:sdt>
      <w:sdtPr>
        <w:rPr>
          <w:rFonts w:ascii="宋体" w:hAnsi="宋体" w:eastAsia="宋体" w:cstheme="minorBidi"/>
          <w:color w:val="000000" w:themeColor="text1"/>
          <w:kern w:val="2"/>
          <w:sz w:val="21"/>
          <w:szCs w:val="24"/>
          <w:lang w:val="en-US" w:eastAsia="zh-CN" w:bidi="ar-SA"/>
        </w:rPr>
        <w:id w:val="147467583"/>
        <w:docPartObj>
          <w:docPartGallery w:val="Table of Contents"/>
          <w:docPartUnique/>
        </w:docPartObj>
      </w:sdtPr>
      <w:sdtEndPr>
        <w:rPr>
          <w:rFonts w:hint="eastAsia" w:eastAsia="黑体" w:asciiTheme="minorAscii" w:hAnsiTheme="minorAscii" w:cstheme="minorBidi"/>
          <w:bCs/>
          <w:color w:val="000000" w:themeColor="text1"/>
          <w:kern w:val="44"/>
          <w:sz w:val="44"/>
          <w:szCs w:val="44"/>
          <w:lang w:val="en-US" w:eastAsia="zh-CN" w:bidi="ar-SA"/>
        </w:rPr>
      </w:sdtEndPr>
      <w:sdtContent>
        <w:p>
          <w:pPr>
            <w:spacing w:before="0" w:beforeLines="0" w:after="0" w:afterLines="0" w:line="240" w:lineRule="auto"/>
            <w:ind w:left="0" w:leftChars="0" w:right="0" w:rightChars="0" w:firstLine="0" w:firstLineChars="0"/>
            <w:jc w:val="center"/>
            <w:rPr>
              <w:color w:val="000000" w:themeColor="text1"/>
            </w:rPr>
          </w:pPr>
          <w:r>
            <w:rPr>
              <w:rFonts w:ascii="宋体" w:hAnsi="宋体" w:eastAsia="宋体"/>
              <w:color w:val="000000" w:themeColor="text1"/>
              <w:sz w:val="21"/>
            </w:rPr>
            <w:t>目录</w:t>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TOC \o "1-3" \h \u </w:instrText>
          </w:r>
          <w:r>
            <w:rPr>
              <w:rFonts w:hint="eastAsia"/>
              <w:color w:val="000000" w:themeColor="text1"/>
              <w:lang w:val="en-US" w:eastAsia="zh-CN"/>
            </w:rPr>
            <w:fldChar w:fldCharType="separate"/>
          </w:r>
          <w:r>
            <w:rPr>
              <w:rFonts w:hint="eastAsia"/>
              <w:color w:val="000000" w:themeColor="text1"/>
              <w:lang w:val="en-US" w:eastAsia="zh-CN"/>
            </w:rPr>
            <w:fldChar w:fldCharType="begin"/>
          </w:r>
          <w:r>
            <w:rPr>
              <w:rFonts w:hint="eastAsia"/>
              <w:color w:val="000000" w:themeColor="text1"/>
              <w:lang w:val="en-US" w:eastAsia="zh-CN"/>
            </w:rPr>
            <w:instrText xml:space="preserve"> HYPERLINK \l _Toc9485 </w:instrText>
          </w:r>
          <w:r>
            <w:rPr>
              <w:rFonts w:hint="eastAsia"/>
              <w:color w:val="000000" w:themeColor="text1"/>
              <w:lang w:val="en-US" w:eastAsia="zh-CN"/>
            </w:rPr>
            <w:fldChar w:fldCharType="separate"/>
          </w:r>
          <w:r>
            <w:rPr>
              <w:rFonts w:hint="default"/>
              <w:color w:val="000000" w:themeColor="text1"/>
            </w:rPr>
            <w:t xml:space="preserve">1. </w:t>
          </w:r>
          <w:r>
            <w:rPr>
              <w:color w:val="000000" w:themeColor="text1"/>
            </w:rPr>
            <w:t>概述</w:t>
          </w:r>
          <w:r>
            <w:rPr>
              <w:color w:val="000000" w:themeColor="text1"/>
            </w:rPr>
            <w:tab/>
          </w:r>
          <w:r>
            <w:rPr>
              <w:color w:val="000000" w:themeColor="text1"/>
            </w:rPr>
            <w:fldChar w:fldCharType="begin"/>
          </w:r>
          <w:r>
            <w:rPr>
              <w:color w:val="000000" w:themeColor="text1"/>
            </w:rPr>
            <w:instrText xml:space="preserve"> PAGEREF _Toc9485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_Toc5977 </w:instrText>
          </w:r>
          <w:r>
            <w:rPr>
              <w:rFonts w:hint="eastAsia"/>
              <w:color w:val="000000" w:themeColor="text1"/>
              <w:lang w:val="en-US" w:eastAsia="zh-CN"/>
            </w:rPr>
            <w:fldChar w:fldCharType="separate"/>
          </w:r>
          <w:r>
            <w:rPr>
              <w:rFonts w:hint="default"/>
              <w:color w:val="000000" w:themeColor="text1"/>
            </w:rPr>
            <w:t xml:space="preserve">1.1. </w:t>
          </w:r>
          <w:r>
            <w:rPr>
              <w:color w:val="000000" w:themeColor="text1"/>
            </w:rPr>
            <w:t>项目背景</w:t>
          </w:r>
          <w:r>
            <w:rPr>
              <w:color w:val="000000" w:themeColor="text1"/>
            </w:rPr>
            <w:tab/>
          </w:r>
          <w:r>
            <w:rPr>
              <w:color w:val="000000" w:themeColor="text1"/>
            </w:rPr>
            <w:fldChar w:fldCharType="begin"/>
          </w:r>
          <w:r>
            <w:rPr>
              <w:color w:val="000000" w:themeColor="text1"/>
            </w:rPr>
            <w:instrText xml:space="preserve"> PAGEREF _Toc5977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_Toc31740 </w:instrText>
          </w:r>
          <w:r>
            <w:rPr>
              <w:rFonts w:hint="eastAsia"/>
              <w:color w:val="000000" w:themeColor="text1"/>
              <w:lang w:val="en-US" w:eastAsia="zh-CN"/>
            </w:rPr>
            <w:fldChar w:fldCharType="separate"/>
          </w:r>
          <w:r>
            <w:rPr>
              <w:rFonts w:hint="default"/>
              <w:color w:val="000000" w:themeColor="text1"/>
            </w:rPr>
            <w:t xml:space="preserve">1.2. </w:t>
          </w:r>
          <w:r>
            <w:rPr>
              <w:rFonts w:hint="eastAsia"/>
              <w:color w:val="000000" w:themeColor="text1"/>
            </w:rPr>
            <w:t>建设项目特点</w:t>
          </w:r>
          <w:r>
            <w:rPr>
              <w:color w:val="000000" w:themeColor="text1"/>
            </w:rPr>
            <w:tab/>
          </w:r>
          <w:r>
            <w:rPr>
              <w:color w:val="000000" w:themeColor="text1"/>
            </w:rPr>
            <w:fldChar w:fldCharType="begin"/>
          </w:r>
          <w:r>
            <w:rPr>
              <w:color w:val="000000" w:themeColor="text1"/>
            </w:rPr>
            <w:instrText xml:space="preserve"> PAGEREF _Toc31740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_Toc11184 </w:instrText>
          </w:r>
          <w:r>
            <w:rPr>
              <w:rFonts w:hint="eastAsia"/>
              <w:color w:val="000000" w:themeColor="text1"/>
              <w:lang w:val="en-US" w:eastAsia="zh-CN"/>
            </w:rPr>
            <w:fldChar w:fldCharType="separate"/>
          </w:r>
          <w:r>
            <w:rPr>
              <w:rFonts w:hint="default"/>
              <w:color w:val="000000" w:themeColor="text1"/>
            </w:rPr>
            <w:t xml:space="preserve">1.3. </w:t>
          </w:r>
          <w:r>
            <w:rPr>
              <w:rFonts w:hint="eastAsia"/>
              <w:color w:val="000000" w:themeColor="text1"/>
            </w:rPr>
            <w:t>工作过程</w:t>
          </w:r>
          <w:r>
            <w:rPr>
              <w:color w:val="000000" w:themeColor="text1"/>
            </w:rPr>
            <w:tab/>
          </w:r>
          <w:r>
            <w:rPr>
              <w:color w:val="000000" w:themeColor="text1"/>
            </w:rPr>
            <w:fldChar w:fldCharType="begin"/>
          </w:r>
          <w:r>
            <w:rPr>
              <w:color w:val="000000" w:themeColor="text1"/>
            </w:rPr>
            <w:instrText xml:space="preserve"> PAGEREF _Toc11184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_Toc4910 </w:instrText>
          </w:r>
          <w:r>
            <w:rPr>
              <w:rFonts w:hint="eastAsia"/>
              <w:color w:val="000000" w:themeColor="text1"/>
              <w:lang w:val="en-US" w:eastAsia="zh-CN"/>
            </w:rPr>
            <w:fldChar w:fldCharType="separate"/>
          </w:r>
          <w:r>
            <w:rPr>
              <w:rFonts w:hint="default"/>
              <w:color w:val="000000" w:themeColor="text1"/>
            </w:rPr>
            <w:t xml:space="preserve">1.4. </w:t>
          </w:r>
          <w:r>
            <w:rPr>
              <w:rFonts w:hint="eastAsia"/>
              <w:color w:val="000000" w:themeColor="text1"/>
            </w:rPr>
            <w:t>分析判定相关情况</w:t>
          </w:r>
          <w:r>
            <w:rPr>
              <w:color w:val="000000" w:themeColor="text1"/>
            </w:rPr>
            <w:tab/>
          </w:r>
          <w:r>
            <w:rPr>
              <w:color w:val="000000" w:themeColor="text1"/>
            </w:rPr>
            <w:fldChar w:fldCharType="begin"/>
          </w:r>
          <w:r>
            <w:rPr>
              <w:color w:val="000000" w:themeColor="text1"/>
            </w:rPr>
            <w:instrText xml:space="preserve"> PAGEREF _Toc4910 </w:instrText>
          </w:r>
          <w:r>
            <w:rPr>
              <w:color w:val="000000" w:themeColor="text1"/>
            </w:rPr>
            <w:fldChar w:fldCharType="separate"/>
          </w:r>
          <w:r>
            <w:rPr>
              <w:color w:val="000000" w:themeColor="text1"/>
            </w:rPr>
            <w:t>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_Toc2714 </w:instrText>
          </w:r>
          <w:r>
            <w:rPr>
              <w:rFonts w:hint="eastAsia"/>
              <w:color w:val="000000" w:themeColor="text1"/>
              <w:lang w:val="en-US" w:eastAsia="zh-CN"/>
            </w:rPr>
            <w:fldChar w:fldCharType="separate"/>
          </w:r>
          <w:r>
            <w:rPr>
              <w:rFonts w:hint="default"/>
              <w:color w:val="000000" w:themeColor="text1"/>
            </w:rPr>
            <w:t xml:space="preserve">1.4.1. </w:t>
          </w:r>
          <w:r>
            <w:rPr>
              <w:color w:val="000000" w:themeColor="text1"/>
            </w:rPr>
            <w:t>产业政策符合性分析</w:t>
          </w:r>
          <w:r>
            <w:rPr>
              <w:color w:val="000000" w:themeColor="text1"/>
            </w:rPr>
            <w:tab/>
          </w:r>
          <w:r>
            <w:rPr>
              <w:color w:val="000000" w:themeColor="text1"/>
            </w:rPr>
            <w:fldChar w:fldCharType="begin"/>
          </w:r>
          <w:r>
            <w:rPr>
              <w:color w:val="000000" w:themeColor="text1"/>
            </w:rPr>
            <w:instrText xml:space="preserve"> PAGEREF _Toc2714 </w:instrText>
          </w:r>
          <w:r>
            <w:rPr>
              <w:color w:val="000000" w:themeColor="text1"/>
            </w:rPr>
            <w:fldChar w:fldCharType="separate"/>
          </w:r>
          <w:r>
            <w:rPr>
              <w:color w:val="000000" w:themeColor="text1"/>
            </w:rPr>
            <w:t>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_Toc9619 </w:instrText>
          </w:r>
          <w:r>
            <w:rPr>
              <w:rFonts w:hint="eastAsia"/>
              <w:color w:val="000000" w:themeColor="text1"/>
              <w:lang w:val="en-US" w:eastAsia="zh-CN"/>
            </w:rPr>
            <w:fldChar w:fldCharType="separate"/>
          </w:r>
          <w:r>
            <w:rPr>
              <w:rFonts w:hint="default"/>
              <w:color w:val="000000" w:themeColor="text1"/>
              <w:lang w:val="en-US" w:eastAsia="zh-CN"/>
            </w:rPr>
            <w:t xml:space="preserve">1.4.2. </w:t>
          </w:r>
          <w:r>
            <w:rPr>
              <w:rFonts w:hint="eastAsia"/>
              <w:color w:val="000000" w:themeColor="text1"/>
              <w:lang w:val="en-US" w:eastAsia="zh-CN"/>
            </w:rPr>
            <w:t>“三线一单”符合性分析</w:t>
          </w:r>
          <w:r>
            <w:rPr>
              <w:color w:val="000000" w:themeColor="text1"/>
            </w:rPr>
            <w:tab/>
          </w:r>
          <w:r>
            <w:rPr>
              <w:color w:val="000000" w:themeColor="text1"/>
            </w:rPr>
            <w:fldChar w:fldCharType="begin"/>
          </w:r>
          <w:r>
            <w:rPr>
              <w:color w:val="000000" w:themeColor="text1"/>
            </w:rPr>
            <w:instrText xml:space="preserve"> PAGEREF _Toc9619 </w:instrText>
          </w:r>
          <w:r>
            <w:rPr>
              <w:color w:val="000000" w:themeColor="text1"/>
            </w:rPr>
            <w:fldChar w:fldCharType="separate"/>
          </w:r>
          <w:r>
            <w:rPr>
              <w:color w:val="000000" w:themeColor="text1"/>
            </w:rPr>
            <w:t>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_Toc28701 </w:instrText>
          </w:r>
          <w:r>
            <w:rPr>
              <w:rFonts w:hint="eastAsia"/>
              <w:color w:val="000000" w:themeColor="text1"/>
              <w:lang w:val="en-US" w:eastAsia="zh-CN"/>
            </w:rPr>
            <w:fldChar w:fldCharType="separate"/>
          </w:r>
          <w:r>
            <w:rPr>
              <w:rFonts w:hint="default"/>
              <w:color w:val="000000" w:themeColor="text1"/>
              <w:lang w:val="en-US" w:eastAsia="zh-CN"/>
            </w:rPr>
            <w:t xml:space="preserve">1.4.3. </w:t>
          </w:r>
          <w:r>
            <w:rPr>
              <w:rFonts w:hint="eastAsia"/>
              <w:color w:val="000000" w:themeColor="text1"/>
              <w:lang w:val="en-US" w:eastAsia="zh-CN"/>
            </w:rPr>
            <w:t>相关规划符合性分析</w:t>
          </w:r>
          <w:r>
            <w:rPr>
              <w:color w:val="000000" w:themeColor="text1"/>
            </w:rPr>
            <w:tab/>
          </w:r>
          <w:r>
            <w:rPr>
              <w:color w:val="000000" w:themeColor="text1"/>
            </w:rPr>
            <w:fldChar w:fldCharType="begin"/>
          </w:r>
          <w:r>
            <w:rPr>
              <w:color w:val="000000" w:themeColor="text1"/>
            </w:rPr>
            <w:instrText xml:space="preserve"> PAGEREF _Toc28701 </w:instrText>
          </w:r>
          <w:r>
            <w:rPr>
              <w:color w:val="000000" w:themeColor="text1"/>
            </w:rPr>
            <w:fldChar w:fldCharType="separate"/>
          </w:r>
          <w:r>
            <w:rPr>
              <w:color w:val="000000" w:themeColor="text1"/>
            </w:rPr>
            <w:t>10</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_Toc8334 </w:instrText>
          </w:r>
          <w:r>
            <w:rPr>
              <w:rFonts w:hint="eastAsia"/>
              <w:color w:val="000000" w:themeColor="text1"/>
              <w:lang w:val="en-US" w:eastAsia="zh-CN"/>
            </w:rPr>
            <w:fldChar w:fldCharType="separate"/>
          </w:r>
          <w:r>
            <w:rPr>
              <w:rFonts w:hint="default"/>
              <w:color w:val="000000" w:themeColor="text1"/>
              <w:lang w:val="en-US" w:eastAsia="zh-CN"/>
            </w:rPr>
            <w:t xml:space="preserve">1.4.4. </w:t>
          </w:r>
          <w:r>
            <w:rPr>
              <w:rFonts w:hint="eastAsia"/>
              <w:color w:val="000000" w:themeColor="text1"/>
              <w:lang w:val="en-US" w:eastAsia="zh-CN"/>
            </w:rPr>
            <w:t>相关污染防治技术文件符合性分析</w:t>
          </w:r>
          <w:r>
            <w:rPr>
              <w:color w:val="000000" w:themeColor="text1"/>
            </w:rPr>
            <w:tab/>
          </w:r>
          <w:r>
            <w:rPr>
              <w:color w:val="000000" w:themeColor="text1"/>
            </w:rPr>
            <w:fldChar w:fldCharType="begin"/>
          </w:r>
          <w:r>
            <w:rPr>
              <w:color w:val="000000" w:themeColor="text1"/>
            </w:rPr>
            <w:instrText xml:space="preserve"> PAGEREF _Toc8334 </w:instrText>
          </w:r>
          <w:r>
            <w:rPr>
              <w:color w:val="000000" w:themeColor="text1"/>
            </w:rPr>
            <w:fldChar w:fldCharType="separate"/>
          </w:r>
          <w:r>
            <w:rPr>
              <w:color w:val="000000" w:themeColor="text1"/>
            </w:rPr>
            <w:t>16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_Toc30657 </w:instrText>
          </w:r>
          <w:r>
            <w:rPr>
              <w:rFonts w:hint="eastAsia"/>
              <w:color w:val="000000" w:themeColor="text1"/>
              <w:lang w:val="en-US" w:eastAsia="zh-CN"/>
            </w:rPr>
            <w:fldChar w:fldCharType="separate"/>
          </w:r>
          <w:r>
            <w:rPr>
              <w:rFonts w:hint="default"/>
              <w:color w:val="000000" w:themeColor="text1"/>
            </w:rPr>
            <w:t xml:space="preserve">1.4.5. </w:t>
          </w:r>
          <w:r>
            <w:rPr>
              <w:rFonts w:hint="eastAsia"/>
              <w:color w:val="000000" w:themeColor="text1"/>
            </w:rPr>
            <w:t>关注的主要环境问题及环境影响</w:t>
          </w:r>
          <w:r>
            <w:rPr>
              <w:color w:val="000000" w:themeColor="text1"/>
            </w:rPr>
            <w:tab/>
          </w:r>
          <w:r>
            <w:rPr>
              <w:color w:val="000000" w:themeColor="text1"/>
            </w:rPr>
            <w:fldChar w:fldCharType="begin"/>
          </w:r>
          <w:r>
            <w:rPr>
              <w:color w:val="000000" w:themeColor="text1"/>
            </w:rPr>
            <w:instrText xml:space="preserve"> PAGEREF _Toc30657 </w:instrText>
          </w:r>
          <w:r>
            <w:rPr>
              <w:color w:val="000000" w:themeColor="text1"/>
            </w:rPr>
            <w:fldChar w:fldCharType="separate"/>
          </w:r>
          <w:r>
            <w:rPr>
              <w:color w:val="000000" w:themeColor="text1"/>
            </w:rPr>
            <w:t>23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_Toc11913 </w:instrText>
          </w:r>
          <w:r>
            <w:rPr>
              <w:rFonts w:hint="eastAsia"/>
              <w:color w:val="000000" w:themeColor="text1"/>
              <w:lang w:val="en-US" w:eastAsia="zh-CN"/>
            </w:rPr>
            <w:fldChar w:fldCharType="separate"/>
          </w:r>
          <w:r>
            <w:rPr>
              <w:rFonts w:hint="default"/>
              <w:color w:val="000000" w:themeColor="text1"/>
            </w:rPr>
            <w:t xml:space="preserve">1.4.6. </w:t>
          </w:r>
          <w:r>
            <w:rPr>
              <w:rFonts w:hint="eastAsia"/>
              <w:color w:val="000000" w:themeColor="text1"/>
            </w:rPr>
            <w:t>主要结论</w:t>
          </w:r>
          <w:r>
            <w:rPr>
              <w:color w:val="000000" w:themeColor="text1"/>
            </w:rPr>
            <w:tab/>
          </w:r>
          <w:r>
            <w:rPr>
              <w:color w:val="000000" w:themeColor="text1"/>
            </w:rPr>
            <w:fldChar w:fldCharType="begin"/>
          </w:r>
          <w:r>
            <w:rPr>
              <w:color w:val="000000" w:themeColor="text1"/>
            </w:rPr>
            <w:instrText xml:space="preserve"> PAGEREF _Toc11913 </w:instrText>
          </w:r>
          <w:r>
            <w:rPr>
              <w:color w:val="000000" w:themeColor="text1"/>
            </w:rPr>
            <w:fldChar w:fldCharType="separate"/>
          </w:r>
          <w:r>
            <w:rPr>
              <w:color w:val="000000" w:themeColor="text1"/>
            </w:rPr>
            <w:t>24</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_Toc13115 </w:instrText>
          </w:r>
          <w:r>
            <w:rPr>
              <w:rFonts w:hint="eastAsia"/>
              <w:color w:val="000000" w:themeColor="text1"/>
              <w:lang w:val="en-US" w:eastAsia="zh-CN"/>
            </w:rPr>
            <w:fldChar w:fldCharType="separate"/>
          </w:r>
          <w:r>
            <w:rPr>
              <w:rFonts w:hint="default"/>
              <w:color w:val="000000" w:themeColor="text1"/>
            </w:rPr>
            <w:t>2. 总则</w:t>
          </w:r>
          <w:r>
            <w:rPr>
              <w:color w:val="000000" w:themeColor="text1"/>
            </w:rPr>
            <w:tab/>
          </w:r>
          <w:r>
            <w:rPr>
              <w:color w:val="000000" w:themeColor="text1"/>
            </w:rPr>
            <w:fldChar w:fldCharType="begin"/>
          </w:r>
          <w:r>
            <w:rPr>
              <w:color w:val="000000" w:themeColor="text1"/>
            </w:rPr>
            <w:instrText xml:space="preserve"> PAGEREF _Toc13115 </w:instrText>
          </w:r>
          <w:r>
            <w:rPr>
              <w:color w:val="000000" w:themeColor="text1"/>
            </w:rPr>
            <w:fldChar w:fldCharType="separate"/>
          </w:r>
          <w:r>
            <w:rPr>
              <w:color w:val="000000" w:themeColor="text1"/>
            </w:rPr>
            <w:t>25</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_Toc20341 </w:instrText>
          </w:r>
          <w:r>
            <w:rPr>
              <w:rFonts w:hint="eastAsia"/>
              <w:color w:val="000000" w:themeColor="text1"/>
              <w:lang w:val="en-US" w:eastAsia="zh-CN"/>
            </w:rPr>
            <w:fldChar w:fldCharType="separate"/>
          </w:r>
          <w:r>
            <w:rPr>
              <w:rFonts w:hint="default"/>
              <w:color w:val="000000" w:themeColor="text1"/>
            </w:rPr>
            <w:t xml:space="preserve">2.1. </w:t>
          </w:r>
          <w:r>
            <w:rPr>
              <w:color w:val="000000" w:themeColor="text1"/>
            </w:rPr>
            <w:t>编制依据</w:t>
          </w:r>
          <w:r>
            <w:rPr>
              <w:color w:val="000000" w:themeColor="text1"/>
            </w:rPr>
            <w:tab/>
          </w:r>
          <w:r>
            <w:rPr>
              <w:color w:val="000000" w:themeColor="text1"/>
            </w:rPr>
            <w:fldChar w:fldCharType="begin"/>
          </w:r>
          <w:r>
            <w:rPr>
              <w:color w:val="000000" w:themeColor="text1"/>
            </w:rPr>
            <w:instrText xml:space="preserve"> PAGEREF _Toc20341 </w:instrText>
          </w:r>
          <w:r>
            <w:rPr>
              <w:color w:val="000000" w:themeColor="text1"/>
            </w:rPr>
            <w:fldChar w:fldCharType="separate"/>
          </w:r>
          <w:r>
            <w:rPr>
              <w:color w:val="000000" w:themeColor="text1"/>
            </w:rPr>
            <w:t>25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_Toc19335 </w:instrText>
          </w:r>
          <w:r>
            <w:rPr>
              <w:rFonts w:hint="eastAsia"/>
              <w:color w:val="000000" w:themeColor="text1"/>
              <w:lang w:val="en-US" w:eastAsia="zh-CN"/>
            </w:rPr>
            <w:fldChar w:fldCharType="separate"/>
          </w:r>
          <w:r>
            <w:rPr>
              <w:rFonts w:hint="default"/>
              <w:color w:val="000000" w:themeColor="text1"/>
            </w:rPr>
            <w:t xml:space="preserve">2.1.1. </w:t>
          </w:r>
          <w:r>
            <w:rPr>
              <w:color w:val="000000" w:themeColor="text1"/>
            </w:rPr>
            <w:t>法律法规</w:t>
          </w:r>
          <w:r>
            <w:rPr>
              <w:color w:val="000000" w:themeColor="text1"/>
            </w:rPr>
            <w:tab/>
          </w:r>
          <w:r>
            <w:rPr>
              <w:color w:val="000000" w:themeColor="text1"/>
            </w:rPr>
            <w:fldChar w:fldCharType="begin"/>
          </w:r>
          <w:r>
            <w:rPr>
              <w:color w:val="000000" w:themeColor="text1"/>
            </w:rPr>
            <w:instrText xml:space="preserve"> PAGEREF _Toc19335 </w:instrText>
          </w:r>
          <w:r>
            <w:rPr>
              <w:color w:val="000000" w:themeColor="text1"/>
            </w:rPr>
            <w:fldChar w:fldCharType="separate"/>
          </w:r>
          <w:r>
            <w:rPr>
              <w:color w:val="000000" w:themeColor="text1"/>
            </w:rPr>
            <w:t>25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_Toc13826 </w:instrText>
          </w:r>
          <w:r>
            <w:rPr>
              <w:rFonts w:hint="eastAsia"/>
              <w:color w:val="000000" w:themeColor="text1"/>
              <w:lang w:val="en-US" w:eastAsia="zh-CN"/>
            </w:rPr>
            <w:fldChar w:fldCharType="separate"/>
          </w:r>
          <w:r>
            <w:rPr>
              <w:rFonts w:hint="default"/>
              <w:color w:val="000000" w:themeColor="text1"/>
            </w:rPr>
            <w:t xml:space="preserve">2.1.2. </w:t>
          </w:r>
          <w:r>
            <w:rPr>
              <w:color w:val="000000" w:themeColor="text1"/>
            </w:rPr>
            <w:t>规章和规范性文件</w:t>
          </w:r>
          <w:r>
            <w:rPr>
              <w:color w:val="000000" w:themeColor="text1"/>
            </w:rPr>
            <w:tab/>
          </w:r>
          <w:r>
            <w:rPr>
              <w:color w:val="000000" w:themeColor="text1"/>
            </w:rPr>
            <w:fldChar w:fldCharType="begin"/>
          </w:r>
          <w:r>
            <w:rPr>
              <w:color w:val="000000" w:themeColor="text1"/>
            </w:rPr>
            <w:instrText xml:space="preserve"> PAGEREF _Toc13826 </w:instrText>
          </w:r>
          <w:r>
            <w:rPr>
              <w:color w:val="000000" w:themeColor="text1"/>
            </w:rPr>
            <w:fldChar w:fldCharType="separate"/>
          </w:r>
          <w:r>
            <w:rPr>
              <w:color w:val="000000" w:themeColor="text1"/>
            </w:rPr>
            <w:t>25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_Toc10155 </w:instrText>
          </w:r>
          <w:r>
            <w:rPr>
              <w:rFonts w:hint="eastAsia"/>
              <w:color w:val="000000" w:themeColor="text1"/>
              <w:lang w:val="en-US" w:eastAsia="zh-CN"/>
            </w:rPr>
            <w:fldChar w:fldCharType="separate"/>
          </w:r>
          <w:r>
            <w:rPr>
              <w:rFonts w:hint="default"/>
              <w:color w:val="000000" w:themeColor="text1"/>
            </w:rPr>
            <w:t xml:space="preserve">2.1.3. </w:t>
          </w:r>
          <w:r>
            <w:rPr>
              <w:color w:val="000000" w:themeColor="text1"/>
            </w:rPr>
            <w:t>地方行政规章及规范性文件</w:t>
          </w:r>
          <w:r>
            <w:rPr>
              <w:color w:val="000000" w:themeColor="text1"/>
            </w:rPr>
            <w:tab/>
          </w:r>
          <w:r>
            <w:rPr>
              <w:color w:val="000000" w:themeColor="text1"/>
            </w:rPr>
            <w:fldChar w:fldCharType="begin"/>
          </w:r>
          <w:r>
            <w:rPr>
              <w:color w:val="000000" w:themeColor="text1"/>
            </w:rPr>
            <w:instrText xml:space="preserve"> PAGEREF _Toc10155 </w:instrText>
          </w:r>
          <w:r>
            <w:rPr>
              <w:color w:val="000000" w:themeColor="text1"/>
            </w:rPr>
            <w:fldChar w:fldCharType="separate"/>
          </w:r>
          <w:r>
            <w:rPr>
              <w:color w:val="000000" w:themeColor="text1"/>
            </w:rPr>
            <w:t>26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_Toc20449 </w:instrText>
          </w:r>
          <w:r>
            <w:rPr>
              <w:rFonts w:hint="eastAsia"/>
              <w:color w:val="000000" w:themeColor="text1"/>
              <w:lang w:val="en-US" w:eastAsia="zh-CN"/>
            </w:rPr>
            <w:fldChar w:fldCharType="separate"/>
          </w:r>
          <w:r>
            <w:rPr>
              <w:rFonts w:hint="default"/>
              <w:color w:val="000000" w:themeColor="text1"/>
            </w:rPr>
            <w:t xml:space="preserve">2.1.4. </w:t>
          </w:r>
          <w:r>
            <w:rPr>
              <w:color w:val="000000" w:themeColor="text1"/>
            </w:rPr>
            <w:t>技术规范</w:t>
          </w:r>
          <w:r>
            <w:rPr>
              <w:color w:val="000000" w:themeColor="text1"/>
            </w:rPr>
            <w:tab/>
          </w:r>
          <w:r>
            <w:rPr>
              <w:color w:val="000000" w:themeColor="text1"/>
            </w:rPr>
            <w:fldChar w:fldCharType="begin"/>
          </w:r>
          <w:r>
            <w:rPr>
              <w:color w:val="000000" w:themeColor="text1"/>
            </w:rPr>
            <w:instrText xml:space="preserve"> PAGEREF _Toc20449 </w:instrText>
          </w:r>
          <w:r>
            <w:rPr>
              <w:color w:val="000000" w:themeColor="text1"/>
            </w:rPr>
            <w:fldChar w:fldCharType="separate"/>
          </w:r>
          <w:r>
            <w:rPr>
              <w:color w:val="000000" w:themeColor="text1"/>
            </w:rPr>
            <w:t>27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_Toc9944 </w:instrText>
          </w:r>
          <w:r>
            <w:rPr>
              <w:rFonts w:hint="eastAsia"/>
              <w:color w:val="000000" w:themeColor="text1"/>
              <w:lang w:val="en-US" w:eastAsia="zh-CN"/>
            </w:rPr>
            <w:fldChar w:fldCharType="separate"/>
          </w:r>
          <w:r>
            <w:rPr>
              <w:rFonts w:hint="default"/>
              <w:color w:val="000000" w:themeColor="text1"/>
            </w:rPr>
            <w:t xml:space="preserve">2.1.5. </w:t>
          </w:r>
          <w:r>
            <w:rPr>
              <w:color w:val="000000" w:themeColor="text1"/>
            </w:rPr>
            <w:t>建设单位提供的相关资料</w:t>
          </w:r>
          <w:r>
            <w:rPr>
              <w:color w:val="000000" w:themeColor="text1"/>
            </w:rPr>
            <w:tab/>
          </w:r>
          <w:r>
            <w:rPr>
              <w:color w:val="000000" w:themeColor="text1"/>
            </w:rPr>
            <w:fldChar w:fldCharType="begin"/>
          </w:r>
          <w:r>
            <w:rPr>
              <w:color w:val="000000" w:themeColor="text1"/>
            </w:rPr>
            <w:instrText xml:space="preserve"> PAGEREF _Toc9944 </w:instrText>
          </w:r>
          <w:r>
            <w:rPr>
              <w:color w:val="000000" w:themeColor="text1"/>
            </w:rPr>
            <w:fldChar w:fldCharType="separate"/>
          </w:r>
          <w:r>
            <w:rPr>
              <w:color w:val="000000" w:themeColor="text1"/>
            </w:rPr>
            <w:t>28</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_Toc28204 </w:instrText>
          </w:r>
          <w:r>
            <w:rPr>
              <w:rFonts w:hint="eastAsia"/>
              <w:color w:val="000000" w:themeColor="text1"/>
              <w:lang w:val="en-US" w:eastAsia="zh-CN"/>
            </w:rPr>
            <w:fldChar w:fldCharType="separate"/>
          </w:r>
          <w:r>
            <w:rPr>
              <w:rFonts w:hint="default"/>
              <w:color w:val="000000" w:themeColor="text1"/>
            </w:rPr>
            <w:t xml:space="preserve">2.2. </w:t>
          </w:r>
          <w:r>
            <w:rPr>
              <w:color w:val="000000" w:themeColor="text1"/>
            </w:rPr>
            <w:t>环境影响识别和评价因子筛选</w:t>
          </w:r>
          <w:r>
            <w:rPr>
              <w:color w:val="000000" w:themeColor="text1"/>
            </w:rPr>
            <w:tab/>
          </w:r>
          <w:r>
            <w:rPr>
              <w:color w:val="000000" w:themeColor="text1"/>
            </w:rPr>
            <w:fldChar w:fldCharType="begin"/>
          </w:r>
          <w:r>
            <w:rPr>
              <w:color w:val="000000" w:themeColor="text1"/>
            </w:rPr>
            <w:instrText xml:space="preserve"> PAGEREF _Toc28204 </w:instrText>
          </w:r>
          <w:r>
            <w:rPr>
              <w:color w:val="000000" w:themeColor="text1"/>
            </w:rPr>
            <w:fldChar w:fldCharType="separate"/>
          </w:r>
          <w:r>
            <w:rPr>
              <w:color w:val="000000" w:themeColor="text1"/>
            </w:rPr>
            <w:t>29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_Toc312 </w:instrText>
          </w:r>
          <w:r>
            <w:rPr>
              <w:rFonts w:hint="eastAsia"/>
              <w:color w:val="000000" w:themeColor="text1"/>
              <w:lang w:val="en-US" w:eastAsia="zh-CN"/>
            </w:rPr>
            <w:fldChar w:fldCharType="separate"/>
          </w:r>
          <w:r>
            <w:rPr>
              <w:rFonts w:hint="default"/>
              <w:color w:val="000000" w:themeColor="text1"/>
            </w:rPr>
            <w:t>2.2.1. 环境影响要素识别</w:t>
          </w:r>
          <w:r>
            <w:rPr>
              <w:color w:val="000000" w:themeColor="text1"/>
            </w:rPr>
            <w:tab/>
          </w:r>
          <w:r>
            <w:rPr>
              <w:color w:val="000000" w:themeColor="text1"/>
            </w:rPr>
            <w:fldChar w:fldCharType="begin"/>
          </w:r>
          <w:r>
            <w:rPr>
              <w:color w:val="000000" w:themeColor="text1"/>
            </w:rPr>
            <w:instrText xml:space="preserve"> PAGEREF _Toc312 </w:instrText>
          </w:r>
          <w:r>
            <w:rPr>
              <w:color w:val="000000" w:themeColor="text1"/>
            </w:rPr>
            <w:fldChar w:fldCharType="separate"/>
          </w:r>
          <w:r>
            <w:rPr>
              <w:color w:val="000000" w:themeColor="text1"/>
            </w:rPr>
            <w:t>29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_Toc25577 </w:instrText>
          </w:r>
          <w:r>
            <w:rPr>
              <w:rFonts w:hint="eastAsia"/>
              <w:color w:val="000000" w:themeColor="text1"/>
              <w:lang w:val="en-US" w:eastAsia="zh-CN"/>
            </w:rPr>
            <w:fldChar w:fldCharType="separate"/>
          </w:r>
          <w:r>
            <w:rPr>
              <w:rFonts w:hint="default"/>
              <w:color w:val="000000" w:themeColor="text1"/>
            </w:rPr>
            <w:t xml:space="preserve">2.2.2. </w:t>
          </w:r>
          <w:r>
            <w:rPr>
              <w:color w:val="000000" w:themeColor="text1"/>
            </w:rPr>
            <w:t>评价因子筛选</w:t>
          </w:r>
          <w:r>
            <w:rPr>
              <w:color w:val="000000" w:themeColor="text1"/>
            </w:rPr>
            <w:tab/>
          </w:r>
          <w:r>
            <w:rPr>
              <w:color w:val="000000" w:themeColor="text1"/>
            </w:rPr>
            <w:fldChar w:fldCharType="begin"/>
          </w:r>
          <w:r>
            <w:rPr>
              <w:color w:val="000000" w:themeColor="text1"/>
            </w:rPr>
            <w:instrText xml:space="preserve"> PAGEREF _Toc25577 </w:instrText>
          </w:r>
          <w:r>
            <w:rPr>
              <w:color w:val="000000" w:themeColor="text1"/>
            </w:rPr>
            <w:fldChar w:fldCharType="separate"/>
          </w:r>
          <w:r>
            <w:rPr>
              <w:color w:val="000000" w:themeColor="text1"/>
            </w:rPr>
            <w:t>30</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_Toc9095 </w:instrText>
          </w:r>
          <w:r>
            <w:rPr>
              <w:rFonts w:hint="eastAsia"/>
              <w:color w:val="000000" w:themeColor="text1"/>
              <w:lang w:val="en-US" w:eastAsia="zh-CN"/>
            </w:rPr>
            <w:fldChar w:fldCharType="separate"/>
          </w:r>
          <w:r>
            <w:rPr>
              <w:rFonts w:hint="default"/>
              <w:color w:val="000000" w:themeColor="text1"/>
            </w:rPr>
            <w:t xml:space="preserve">2.3. </w:t>
          </w:r>
          <w:r>
            <w:rPr>
              <w:color w:val="000000" w:themeColor="text1"/>
            </w:rPr>
            <w:t>环境功能区划</w:t>
          </w:r>
          <w:r>
            <w:rPr>
              <w:color w:val="000000" w:themeColor="text1"/>
            </w:rPr>
            <w:tab/>
          </w:r>
          <w:r>
            <w:rPr>
              <w:color w:val="000000" w:themeColor="text1"/>
            </w:rPr>
            <w:fldChar w:fldCharType="begin"/>
          </w:r>
          <w:r>
            <w:rPr>
              <w:color w:val="000000" w:themeColor="text1"/>
            </w:rPr>
            <w:instrText xml:space="preserve"> PAGEREF _Toc9095 </w:instrText>
          </w:r>
          <w:r>
            <w:rPr>
              <w:color w:val="000000" w:themeColor="text1"/>
            </w:rPr>
            <w:fldChar w:fldCharType="separate"/>
          </w:r>
          <w:r>
            <w:rPr>
              <w:color w:val="000000" w:themeColor="text1"/>
            </w:rPr>
            <w:t>32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_Toc15372 </w:instrText>
          </w:r>
          <w:r>
            <w:rPr>
              <w:rFonts w:hint="eastAsia"/>
              <w:color w:val="000000" w:themeColor="text1"/>
              <w:lang w:val="en-US" w:eastAsia="zh-CN"/>
            </w:rPr>
            <w:fldChar w:fldCharType="separate"/>
          </w:r>
          <w:r>
            <w:rPr>
              <w:rFonts w:hint="default"/>
              <w:color w:val="000000" w:themeColor="text1"/>
            </w:rPr>
            <w:t xml:space="preserve">2.3.1. </w:t>
          </w:r>
          <w:r>
            <w:rPr>
              <w:color w:val="000000" w:themeColor="text1"/>
            </w:rPr>
            <w:t>环境空气</w:t>
          </w:r>
          <w:r>
            <w:rPr>
              <w:color w:val="000000" w:themeColor="text1"/>
            </w:rPr>
            <w:tab/>
          </w:r>
          <w:r>
            <w:rPr>
              <w:color w:val="000000" w:themeColor="text1"/>
            </w:rPr>
            <w:fldChar w:fldCharType="begin"/>
          </w:r>
          <w:r>
            <w:rPr>
              <w:color w:val="000000" w:themeColor="text1"/>
            </w:rPr>
            <w:instrText xml:space="preserve"> PAGEREF _Toc15372 </w:instrText>
          </w:r>
          <w:r>
            <w:rPr>
              <w:color w:val="000000" w:themeColor="text1"/>
            </w:rPr>
            <w:fldChar w:fldCharType="separate"/>
          </w:r>
          <w:r>
            <w:rPr>
              <w:color w:val="000000" w:themeColor="text1"/>
            </w:rPr>
            <w:t>32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_Toc277 </w:instrText>
          </w:r>
          <w:r>
            <w:rPr>
              <w:rFonts w:hint="eastAsia"/>
              <w:color w:val="000000" w:themeColor="text1"/>
              <w:lang w:val="en-US" w:eastAsia="zh-CN"/>
            </w:rPr>
            <w:fldChar w:fldCharType="separate"/>
          </w:r>
          <w:r>
            <w:rPr>
              <w:rFonts w:hint="default"/>
              <w:color w:val="000000" w:themeColor="text1"/>
            </w:rPr>
            <w:t xml:space="preserve">2.3.2. </w:t>
          </w:r>
          <w:r>
            <w:rPr>
              <w:color w:val="000000" w:themeColor="text1"/>
            </w:rPr>
            <w:t>声环境</w:t>
          </w:r>
          <w:r>
            <w:rPr>
              <w:color w:val="000000" w:themeColor="text1"/>
            </w:rPr>
            <w:tab/>
          </w:r>
          <w:r>
            <w:rPr>
              <w:color w:val="000000" w:themeColor="text1"/>
            </w:rPr>
            <w:fldChar w:fldCharType="begin"/>
          </w:r>
          <w:r>
            <w:rPr>
              <w:color w:val="000000" w:themeColor="text1"/>
            </w:rPr>
            <w:instrText xml:space="preserve"> PAGEREF _Toc277 </w:instrText>
          </w:r>
          <w:r>
            <w:rPr>
              <w:color w:val="000000" w:themeColor="text1"/>
            </w:rPr>
            <w:fldChar w:fldCharType="separate"/>
          </w:r>
          <w:r>
            <w:rPr>
              <w:color w:val="000000" w:themeColor="text1"/>
            </w:rPr>
            <w:t>32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_Toc2082 </w:instrText>
          </w:r>
          <w:r>
            <w:rPr>
              <w:rFonts w:hint="eastAsia"/>
              <w:color w:val="000000" w:themeColor="text1"/>
              <w:lang w:val="en-US" w:eastAsia="zh-CN"/>
            </w:rPr>
            <w:fldChar w:fldCharType="separate"/>
          </w:r>
          <w:r>
            <w:rPr>
              <w:rFonts w:hint="default"/>
              <w:color w:val="000000" w:themeColor="text1"/>
            </w:rPr>
            <w:t xml:space="preserve">2.3.3. </w:t>
          </w:r>
          <w:r>
            <w:rPr>
              <w:color w:val="000000" w:themeColor="text1"/>
            </w:rPr>
            <w:t>地表水环境</w:t>
          </w:r>
          <w:r>
            <w:rPr>
              <w:color w:val="000000" w:themeColor="text1"/>
            </w:rPr>
            <w:tab/>
          </w:r>
          <w:r>
            <w:rPr>
              <w:color w:val="000000" w:themeColor="text1"/>
            </w:rPr>
            <w:fldChar w:fldCharType="begin"/>
          </w:r>
          <w:r>
            <w:rPr>
              <w:color w:val="000000" w:themeColor="text1"/>
            </w:rPr>
            <w:instrText xml:space="preserve"> PAGEREF _Toc2082 </w:instrText>
          </w:r>
          <w:r>
            <w:rPr>
              <w:color w:val="000000" w:themeColor="text1"/>
            </w:rPr>
            <w:fldChar w:fldCharType="separate"/>
          </w:r>
          <w:r>
            <w:rPr>
              <w:color w:val="000000" w:themeColor="text1"/>
            </w:rPr>
            <w:t>32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_Toc10927 </w:instrText>
          </w:r>
          <w:r>
            <w:rPr>
              <w:rFonts w:hint="eastAsia"/>
              <w:color w:val="000000" w:themeColor="text1"/>
              <w:lang w:val="en-US" w:eastAsia="zh-CN"/>
            </w:rPr>
            <w:fldChar w:fldCharType="separate"/>
          </w:r>
          <w:r>
            <w:rPr>
              <w:rFonts w:hint="default"/>
              <w:color w:val="000000" w:themeColor="text1"/>
            </w:rPr>
            <w:t xml:space="preserve">2.3.4. </w:t>
          </w:r>
          <w:r>
            <w:rPr>
              <w:color w:val="000000" w:themeColor="text1"/>
            </w:rPr>
            <w:t>地下水环境</w:t>
          </w:r>
          <w:r>
            <w:rPr>
              <w:color w:val="000000" w:themeColor="text1"/>
            </w:rPr>
            <w:tab/>
          </w:r>
          <w:r>
            <w:rPr>
              <w:color w:val="000000" w:themeColor="text1"/>
            </w:rPr>
            <w:fldChar w:fldCharType="begin"/>
          </w:r>
          <w:r>
            <w:rPr>
              <w:color w:val="000000" w:themeColor="text1"/>
            </w:rPr>
            <w:instrText xml:space="preserve"> PAGEREF _Toc10927 </w:instrText>
          </w:r>
          <w:r>
            <w:rPr>
              <w:color w:val="000000" w:themeColor="text1"/>
            </w:rPr>
            <w:fldChar w:fldCharType="separate"/>
          </w:r>
          <w:r>
            <w:rPr>
              <w:color w:val="000000" w:themeColor="text1"/>
            </w:rPr>
            <w:t>32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_Toc11610 </w:instrText>
          </w:r>
          <w:r>
            <w:rPr>
              <w:rFonts w:hint="eastAsia"/>
              <w:color w:val="000000" w:themeColor="text1"/>
              <w:lang w:val="en-US" w:eastAsia="zh-CN"/>
            </w:rPr>
            <w:fldChar w:fldCharType="separate"/>
          </w:r>
          <w:r>
            <w:rPr>
              <w:rFonts w:hint="default"/>
              <w:color w:val="000000" w:themeColor="text1"/>
            </w:rPr>
            <w:t xml:space="preserve">2.3.5. </w:t>
          </w:r>
          <w:r>
            <w:rPr>
              <w:color w:val="000000" w:themeColor="text1"/>
            </w:rPr>
            <w:t>生态环境</w:t>
          </w:r>
          <w:r>
            <w:rPr>
              <w:color w:val="000000" w:themeColor="text1"/>
            </w:rPr>
            <w:tab/>
          </w:r>
          <w:r>
            <w:rPr>
              <w:color w:val="000000" w:themeColor="text1"/>
            </w:rPr>
            <w:fldChar w:fldCharType="begin"/>
          </w:r>
          <w:r>
            <w:rPr>
              <w:color w:val="000000" w:themeColor="text1"/>
            </w:rPr>
            <w:instrText xml:space="preserve"> PAGEREF _Toc11610 </w:instrText>
          </w:r>
          <w:r>
            <w:rPr>
              <w:color w:val="000000" w:themeColor="text1"/>
            </w:rPr>
            <w:fldChar w:fldCharType="separate"/>
          </w:r>
          <w:r>
            <w:rPr>
              <w:color w:val="000000" w:themeColor="text1"/>
            </w:rPr>
            <w:t>32</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_Toc29211 </w:instrText>
          </w:r>
          <w:r>
            <w:rPr>
              <w:rFonts w:hint="eastAsia"/>
              <w:color w:val="000000" w:themeColor="text1"/>
              <w:lang w:val="en-US" w:eastAsia="zh-CN"/>
            </w:rPr>
            <w:fldChar w:fldCharType="separate"/>
          </w:r>
          <w:r>
            <w:rPr>
              <w:rFonts w:hint="default"/>
              <w:color w:val="000000" w:themeColor="text1"/>
            </w:rPr>
            <w:t xml:space="preserve">2.4. </w:t>
          </w:r>
          <w:r>
            <w:rPr>
              <w:color w:val="000000" w:themeColor="text1"/>
            </w:rPr>
            <w:t>评价标准</w:t>
          </w:r>
          <w:r>
            <w:rPr>
              <w:color w:val="000000" w:themeColor="text1"/>
            </w:rPr>
            <w:tab/>
          </w:r>
          <w:r>
            <w:rPr>
              <w:color w:val="000000" w:themeColor="text1"/>
            </w:rPr>
            <w:fldChar w:fldCharType="begin"/>
          </w:r>
          <w:r>
            <w:rPr>
              <w:color w:val="000000" w:themeColor="text1"/>
            </w:rPr>
            <w:instrText xml:space="preserve"> PAGEREF _Toc29211 </w:instrText>
          </w:r>
          <w:r>
            <w:rPr>
              <w:color w:val="000000" w:themeColor="text1"/>
            </w:rPr>
            <w:fldChar w:fldCharType="separate"/>
          </w:r>
          <w:r>
            <w:rPr>
              <w:color w:val="000000" w:themeColor="text1"/>
            </w:rPr>
            <w:t>33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_Toc23167 </w:instrText>
          </w:r>
          <w:r>
            <w:rPr>
              <w:rFonts w:hint="eastAsia"/>
              <w:color w:val="000000" w:themeColor="text1"/>
              <w:lang w:val="en-US" w:eastAsia="zh-CN"/>
            </w:rPr>
            <w:fldChar w:fldCharType="separate"/>
          </w:r>
          <w:r>
            <w:rPr>
              <w:rFonts w:hint="default"/>
              <w:color w:val="000000" w:themeColor="text1"/>
            </w:rPr>
            <w:t>2.4.1. 环境质量标准</w:t>
          </w:r>
          <w:r>
            <w:rPr>
              <w:color w:val="000000" w:themeColor="text1"/>
            </w:rPr>
            <w:tab/>
          </w:r>
          <w:r>
            <w:rPr>
              <w:color w:val="000000" w:themeColor="text1"/>
            </w:rPr>
            <w:fldChar w:fldCharType="begin"/>
          </w:r>
          <w:r>
            <w:rPr>
              <w:color w:val="000000" w:themeColor="text1"/>
            </w:rPr>
            <w:instrText xml:space="preserve"> PAGEREF _Toc23167 </w:instrText>
          </w:r>
          <w:r>
            <w:rPr>
              <w:color w:val="000000" w:themeColor="text1"/>
            </w:rPr>
            <w:fldChar w:fldCharType="separate"/>
          </w:r>
          <w:r>
            <w:rPr>
              <w:color w:val="000000" w:themeColor="text1"/>
            </w:rPr>
            <w:t>33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_Toc26250 </w:instrText>
          </w:r>
          <w:r>
            <w:rPr>
              <w:rFonts w:hint="eastAsia"/>
              <w:color w:val="000000" w:themeColor="text1"/>
              <w:lang w:val="en-US" w:eastAsia="zh-CN"/>
            </w:rPr>
            <w:fldChar w:fldCharType="separate"/>
          </w:r>
          <w:r>
            <w:rPr>
              <w:rFonts w:hint="default" w:ascii="Times New Roman" w:hAnsi="Times New Roman" w:eastAsia="宋体" w:cs="Times New Roman"/>
              <w:color w:val="000000" w:themeColor="text1"/>
            </w:rPr>
            <w:t>2.4.2. 污染物排放标准</w:t>
          </w:r>
          <w:r>
            <w:rPr>
              <w:color w:val="000000" w:themeColor="text1"/>
            </w:rPr>
            <w:tab/>
          </w:r>
          <w:r>
            <w:rPr>
              <w:color w:val="000000" w:themeColor="text1"/>
            </w:rPr>
            <w:fldChar w:fldCharType="begin"/>
          </w:r>
          <w:r>
            <w:rPr>
              <w:color w:val="000000" w:themeColor="text1"/>
            </w:rPr>
            <w:instrText xml:space="preserve"> PAGEREF _Toc26250 </w:instrText>
          </w:r>
          <w:r>
            <w:rPr>
              <w:color w:val="000000" w:themeColor="text1"/>
            </w:rPr>
            <w:fldChar w:fldCharType="separate"/>
          </w:r>
          <w:r>
            <w:rPr>
              <w:color w:val="000000" w:themeColor="text1"/>
            </w:rPr>
            <w:t>35</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_Toc30518 </w:instrText>
          </w:r>
          <w:r>
            <w:rPr>
              <w:rFonts w:hint="eastAsia"/>
              <w:color w:val="000000" w:themeColor="text1"/>
              <w:lang w:val="en-US" w:eastAsia="zh-CN"/>
            </w:rPr>
            <w:fldChar w:fldCharType="separate"/>
          </w:r>
          <w:r>
            <w:rPr>
              <w:rFonts w:hint="default"/>
              <w:color w:val="000000" w:themeColor="text1"/>
            </w:rPr>
            <w:t xml:space="preserve">2.5. </w:t>
          </w:r>
          <w:r>
            <w:rPr>
              <w:color w:val="000000" w:themeColor="text1"/>
            </w:rPr>
            <w:t>评价等级</w:t>
          </w:r>
          <w:r>
            <w:rPr>
              <w:color w:val="000000" w:themeColor="text1"/>
            </w:rPr>
            <w:tab/>
          </w:r>
          <w:r>
            <w:rPr>
              <w:color w:val="000000" w:themeColor="text1"/>
            </w:rPr>
            <w:fldChar w:fldCharType="begin"/>
          </w:r>
          <w:r>
            <w:rPr>
              <w:color w:val="000000" w:themeColor="text1"/>
            </w:rPr>
            <w:instrText xml:space="preserve"> PAGEREF _Toc30518 </w:instrText>
          </w:r>
          <w:r>
            <w:rPr>
              <w:color w:val="000000" w:themeColor="text1"/>
            </w:rPr>
            <w:fldChar w:fldCharType="separate"/>
          </w:r>
          <w:r>
            <w:rPr>
              <w:color w:val="000000" w:themeColor="text1"/>
            </w:rPr>
            <w:t>37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_Toc7613 </w:instrText>
          </w:r>
          <w:r>
            <w:rPr>
              <w:rFonts w:hint="eastAsia"/>
              <w:color w:val="000000" w:themeColor="text1"/>
              <w:lang w:val="en-US" w:eastAsia="zh-CN"/>
            </w:rPr>
            <w:fldChar w:fldCharType="separate"/>
          </w:r>
          <w:r>
            <w:rPr>
              <w:rFonts w:hint="default"/>
              <w:color w:val="000000" w:themeColor="text1"/>
            </w:rPr>
            <w:t xml:space="preserve">2.6. </w:t>
          </w:r>
          <w:r>
            <w:rPr>
              <w:color w:val="000000" w:themeColor="text1"/>
            </w:rPr>
            <w:t>评价范围</w:t>
          </w:r>
          <w:r>
            <w:rPr>
              <w:color w:val="000000" w:themeColor="text1"/>
            </w:rPr>
            <w:tab/>
          </w:r>
          <w:r>
            <w:rPr>
              <w:color w:val="000000" w:themeColor="text1"/>
            </w:rPr>
            <w:fldChar w:fldCharType="begin"/>
          </w:r>
          <w:r>
            <w:rPr>
              <w:color w:val="000000" w:themeColor="text1"/>
            </w:rPr>
            <w:instrText xml:space="preserve"> PAGEREF _Toc7613 </w:instrText>
          </w:r>
          <w:r>
            <w:rPr>
              <w:color w:val="000000" w:themeColor="text1"/>
            </w:rPr>
            <w:fldChar w:fldCharType="separate"/>
          </w:r>
          <w:r>
            <w:rPr>
              <w:color w:val="000000" w:themeColor="text1"/>
            </w:rPr>
            <w:t>42</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_Toc22508 </w:instrText>
          </w:r>
          <w:r>
            <w:rPr>
              <w:rFonts w:hint="eastAsia"/>
              <w:color w:val="000000" w:themeColor="text1"/>
              <w:lang w:val="en-US" w:eastAsia="zh-CN"/>
            </w:rPr>
            <w:fldChar w:fldCharType="separate"/>
          </w:r>
          <w:r>
            <w:rPr>
              <w:rFonts w:hint="default"/>
              <w:color w:val="000000" w:themeColor="text1"/>
            </w:rPr>
            <w:t xml:space="preserve">2.7. </w:t>
          </w:r>
          <w:r>
            <w:rPr>
              <w:color w:val="000000" w:themeColor="text1"/>
            </w:rPr>
            <w:t>环境保护目标</w:t>
          </w:r>
          <w:r>
            <w:rPr>
              <w:color w:val="000000" w:themeColor="text1"/>
            </w:rPr>
            <w:tab/>
          </w:r>
          <w:r>
            <w:rPr>
              <w:color w:val="000000" w:themeColor="text1"/>
            </w:rPr>
            <w:fldChar w:fldCharType="begin"/>
          </w:r>
          <w:r>
            <w:rPr>
              <w:color w:val="000000" w:themeColor="text1"/>
            </w:rPr>
            <w:instrText xml:space="preserve"> PAGEREF _Toc22508 </w:instrText>
          </w:r>
          <w:r>
            <w:rPr>
              <w:color w:val="000000" w:themeColor="text1"/>
            </w:rPr>
            <w:fldChar w:fldCharType="separate"/>
          </w:r>
          <w:r>
            <w:rPr>
              <w:color w:val="000000" w:themeColor="text1"/>
            </w:rPr>
            <w:t>44</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_Toc31735 </w:instrText>
          </w:r>
          <w:r>
            <w:rPr>
              <w:rFonts w:hint="eastAsia"/>
              <w:color w:val="000000" w:themeColor="text1"/>
              <w:lang w:val="en-US" w:eastAsia="zh-CN"/>
            </w:rPr>
            <w:fldChar w:fldCharType="separate"/>
          </w:r>
          <w:r>
            <w:rPr>
              <w:rFonts w:hint="default"/>
              <w:color w:val="000000" w:themeColor="text1"/>
            </w:rPr>
            <w:t xml:space="preserve">3. </w:t>
          </w:r>
          <w:r>
            <w:rPr>
              <w:rFonts w:hint="eastAsia"/>
              <w:color w:val="000000" w:themeColor="text1"/>
              <w:lang w:val="en-US" w:eastAsia="zh-CN"/>
            </w:rPr>
            <w:t>建设项目工程分析</w:t>
          </w:r>
          <w:r>
            <w:rPr>
              <w:color w:val="000000" w:themeColor="text1"/>
            </w:rPr>
            <w:tab/>
          </w:r>
          <w:r>
            <w:rPr>
              <w:color w:val="000000" w:themeColor="text1"/>
            </w:rPr>
            <w:fldChar w:fldCharType="begin"/>
          </w:r>
          <w:r>
            <w:rPr>
              <w:color w:val="000000" w:themeColor="text1"/>
            </w:rPr>
            <w:instrText xml:space="preserve"> PAGEREF _Toc31735 </w:instrText>
          </w:r>
          <w:r>
            <w:rPr>
              <w:color w:val="000000" w:themeColor="text1"/>
            </w:rPr>
            <w:fldChar w:fldCharType="separate"/>
          </w:r>
          <w:r>
            <w:rPr>
              <w:color w:val="000000" w:themeColor="text1"/>
            </w:rPr>
            <w:t>46</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_Toc8641 </w:instrText>
          </w:r>
          <w:r>
            <w:rPr>
              <w:rFonts w:hint="eastAsia"/>
              <w:color w:val="000000" w:themeColor="text1"/>
              <w:lang w:val="en-US" w:eastAsia="zh-CN"/>
            </w:rPr>
            <w:fldChar w:fldCharType="separate"/>
          </w:r>
          <w:r>
            <w:rPr>
              <w:rFonts w:hint="default"/>
              <w:color w:val="000000" w:themeColor="text1"/>
            </w:rPr>
            <w:t xml:space="preserve">3.1. </w:t>
          </w:r>
          <w:r>
            <w:rPr>
              <w:rFonts w:hint="eastAsia"/>
              <w:color w:val="000000" w:themeColor="text1"/>
              <w:lang w:val="en-US" w:eastAsia="zh-CN"/>
            </w:rPr>
            <w:t>现有</w:t>
          </w:r>
          <w:r>
            <w:rPr>
              <w:color w:val="000000" w:themeColor="text1"/>
            </w:rPr>
            <w:t>建设项目基本情况</w:t>
          </w:r>
          <w:r>
            <w:rPr>
              <w:color w:val="000000" w:themeColor="text1"/>
            </w:rPr>
            <w:tab/>
          </w:r>
          <w:r>
            <w:rPr>
              <w:color w:val="000000" w:themeColor="text1"/>
            </w:rPr>
            <w:fldChar w:fldCharType="begin"/>
          </w:r>
          <w:r>
            <w:rPr>
              <w:color w:val="000000" w:themeColor="text1"/>
            </w:rPr>
            <w:instrText xml:space="preserve"> PAGEREF _Toc8641 </w:instrText>
          </w:r>
          <w:r>
            <w:rPr>
              <w:color w:val="000000" w:themeColor="text1"/>
            </w:rPr>
            <w:fldChar w:fldCharType="separate"/>
          </w:r>
          <w:r>
            <w:rPr>
              <w:color w:val="000000" w:themeColor="text1"/>
            </w:rPr>
            <w:t>46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_Toc7566 </w:instrText>
          </w:r>
          <w:r>
            <w:rPr>
              <w:rFonts w:hint="eastAsia"/>
              <w:color w:val="000000" w:themeColor="text1"/>
              <w:lang w:val="en-US" w:eastAsia="zh-CN"/>
            </w:rPr>
            <w:fldChar w:fldCharType="separate"/>
          </w:r>
          <w:r>
            <w:rPr>
              <w:rFonts w:hint="default"/>
              <w:color w:val="000000" w:themeColor="text1"/>
              <w:lang w:val="en-US" w:eastAsia="zh-CN"/>
            </w:rPr>
            <w:t xml:space="preserve">3.1.1. </w:t>
          </w:r>
          <w:r>
            <w:rPr>
              <w:rFonts w:hint="eastAsia"/>
              <w:color w:val="000000" w:themeColor="text1"/>
              <w:lang w:val="en-US" w:eastAsia="zh-CN"/>
            </w:rPr>
            <w:t>项目历史情况介绍</w:t>
          </w:r>
          <w:r>
            <w:rPr>
              <w:color w:val="000000" w:themeColor="text1"/>
            </w:rPr>
            <w:tab/>
          </w:r>
          <w:r>
            <w:rPr>
              <w:color w:val="000000" w:themeColor="text1"/>
            </w:rPr>
            <w:fldChar w:fldCharType="begin"/>
          </w:r>
          <w:r>
            <w:rPr>
              <w:color w:val="000000" w:themeColor="text1"/>
            </w:rPr>
            <w:instrText xml:space="preserve"> PAGEREF _Toc7566 </w:instrText>
          </w:r>
          <w:r>
            <w:rPr>
              <w:color w:val="000000" w:themeColor="text1"/>
            </w:rPr>
            <w:fldChar w:fldCharType="separate"/>
          </w:r>
          <w:r>
            <w:rPr>
              <w:color w:val="000000" w:themeColor="text1"/>
            </w:rPr>
            <w:t>46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_Toc14804 </w:instrText>
          </w:r>
          <w:r>
            <w:rPr>
              <w:rFonts w:hint="eastAsia"/>
              <w:color w:val="000000" w:themeColor="text1"/>
              <w:lang w:val="en-US" w:eastAsia="zh-CN"/>
            </w:rPr>
            <w:fldChar w:fldCharType="separate"/>
          </w:r>
          <w:r>
            <w:rPr>
              <w:rFonts w:hint="default"/>
              <w:color w:val="000000" w:themeColor="text1"/>
              <w:lang w:val="en-US" w:eastAsia="zh-CN"/>
            </w:rPr>
            <w:t>3.1.2. 现有项目概况</w:t>
          </w:r>
          <w:r>
            <w:rPr>
              <w:color w:val="000000" w:themeColor="text1"/>
            </w:rPr>
            <w:tab/>
          </w:r>
          <w:r>
            <w:rPr>
              <w:color w:val="000000" w:themeColor="text1"/>
            </w:rPr>
            <w:fldChar w:fldCharType="begin"/>
          </w:r>
          <w:r>
            <w:rPr>
              <w:color w:val="000000" w:themeColor="text1"/>
            </w:rPr>
            <w:instrText xml:space="preserve"> PAGEREF _Toc14804 </w:instrText>
          </w:r>
          <w:r>
            <w:rPr>
              <w:color w:val="000000" w:themeColor="text1"/>
            </w:rPr>
            <w:fldChar w:fldCharType="separate"/>
          </w:r>
          <w:r>
            <w:rPr>
              <w:color w:val="000000" w:themeColor="text1"/>
            </w:rPr>
            <w:t>47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_Toc28784 </w:instrText>
          </w:r>
          <w:r>
            <w:rPr>
              <w:rFonts w:hint="eastAsia"/>
              <w:color w:val="000000" w:themeColor="text1"/>
              <w:lang w:val="en-US" w:eastAsia="zh-CN"/>
            </w:rPr>
            <w:fldChar w:fldCharType="separate"/>
          </w:r>
          <w:r>
            <w:rPr>
              <w:rFonts w:hint="default"/>
              <w:color w:val="000000" w:themeColor="text1"/>
            </w:rPr>
            <w:t>3.1.3. 矿山开采现状</w:t>
          </w:r>
          <w:r>
            <w:rPr>
              <w:color w:val="000000" w:themeColor="text1"/>
            </w:rPr>
            <w:tab/>
          </w:r>
          <w:r>
            <w:rPr>
              <w:color w:val="000000" w:themeColor="text1"/>
            </w:rPr>
            <w:fldChar w:fldCharType="begin"/>
          </w:r>
          <w:r>
            <w:rPr>
              <w:color w:val="000000" w:themeColor="text1"/>
            </w:rPr>
            <w:instrText xml:space="preserve"> PAGEREF _Toc28784 </w:instrText>
          </w:r>
          <w:r>
            <w:rPr>
              <w:color w:val="000000" w:themeColor="text1"/>
            </w:rPr>
            <w:fldChar w:fldCharType="separate"/>
          </w:r>
          <w:r>
            <w:rPr>
              <w:color w:val="000000" w:themeColor="text1"/>
            </w:rPr>
            <w:t>48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_Toc15109 </w:instrText>
          </w:r>
          <w:r>
            <w:rPr>
              <w:rFonts w:hint="eastAsia"/>
              <w:color w:val="000000" w:themeColor="text1"/>
              <w:lang w:val="en-US" w:eastAsia="zh-CN"/>
            </w:rPr>
            <w:fldChar w:fldCharType="separate"/>
          </w:r>
          <w:r>
            <w:rPr>
              <w:rFonts w:hint="default"/>
              <w:color w:val="000000" w:themeColor="text1"/>
              <w:lang w:val="en-US" w:eastAsia="zh-CN"/>
            </w:rPr>
            <w:t xml:space="preserve">3.1.4. </w:t>
          </w:r>
          <w:r>
            <w:rPr>
              <w:rFonts w:hint="eastAsia"/>
              <w:color w:val="000000" w:themeColor="text1"/>
              <w:lang w:val="en-US" w:eastAsia="zh-CN"/>
            </w:rPr>
            <w:t>现有项目环境影响评价手续履行情况</w:t>
          </w:r>
          <w:r>
            <w:rPr>
              <w:color w:val="000000" w:themeColor="text1"/>
            </w:rPr>
            <w:tab/>
          </w:r>
          <w:r>
            <w:rPr>
              <w:color w:val="000000" w:themeColor="text1"/>
            </w:rPr>
            <w:fldChar w:fldCharType="begin"/>
          </w:r>
          <w:r>
            <w:rPr>
              <w:color w:val="000000" w:themeColor="text1"/>
            </w:rPr>
            <w:instrText xml:space="preserve"> PAGEREF _Toc15109 </w:instrText>
          </w:r>
          <w:r>
            <w:rPr>
              <w:color w:val="000000" w:themeColor="text1"/>
            </w:rPr>
            <w:fldChar w:fldCharType="separate"/>
          </w:r>
          <w:r>
            <w:rPr>
              <w:color w:val="000000" w:themeColor="text1"/>
            </w:rPr>
            <w:t>48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_Toc7671 </w:instrText>
          </w:r>
          <w:r>
            <w:rPr>
              <w:rFonts w:hint="eastAsia"/>
              <w:color w:val="000000" w:themeColor="text1"/>
              <w:lang w:val="en-US" w:eastAsia="zh-CN"/>
            </w:rPr>
            <w:fldChar w:fldCharType="separate"/>
          </w:r>
          <w:r>
            <w:rPr>
              <w:rFonts w:hint="default"/>
              <w:color w:val="000000" w:themeColor="text1"/>
              <w:lang w:val="en-US" w:eastAsia="zh-CN"/>
            </w:rPr>
            <w:t xml:space="preserve">3.1.5. </w:t>
          </w:r>
          <w:r>
            <w:rPr>
              <w:rFonts w:hint="eastAsia"/>
              <w:color w:val="000000" w:themeColor="text1"/>
              <w:lang w:val="en-US" w:eastAsia="zh-CN"/>
            </w:rPr>
            <w:t>现有项目主要生产设备</w:t>
          </w:r>
          <w:r>
            <w:rPr>
              <w:color w:val="000000" w:themeColor="text1"/>
            </w:rPr>
            <w:tab/>
          </w:r>
          <w:r>
            <w:rPr>
              <w:color w:val="000000" w:themeColor="text1"/>
            </w:rPr>
            <w:fldChar w:fldCharType="begin"/>
          </w:r>
          <w:r>
            <w:rPr>
              <w:color w:val="000000" w:themeColor="text1"/>
            </w:rPr>
            <w:instrText xml:space="preserve"> PAGEREF _Toc7671 </w:instrText>
          </w:r>
          <w:r>
            <w:rPr>
              <w:color w:val="000000" w:themeColor="text1"/>
            </w:rPr>
            <w:fldChar w:fldCharType="separate"/>
          </w:r>
          <w:r>
            <w:rPr>
              <w:color w:val="000000" w:themeColor="text1"/>
            </w:rPr>
            <w:t>49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_Toc17216 </w:instrText>
          </w:r>
          <w:r>
            <w:rPr>
              <w:rFonts w:hint="eastAsia"/>
              <w:color w:val="000000" w:themeColor="text1"/>
              <w:lang w:val="en-US" w:eastAsia="zh-CN"/>
            </w:rPr>
            <w:fldChar w:fldCharType="separate"/>
          </w:r>
          <w:r>
            <w:rPr>
              <w:rFonts w:hint="default"/>
              <w:color w:val="000000" w:themeColor="text1"/>
              <w:lang w:val="en-US" w:eastAsia="zh-CN"/>
            </w:rPr>
            <w:t xml:space="preserve">3.1.6. </w:t>
          </w:r>
          <w:r>
            <w:rPr>
              <w:rFonts w:hint="eastAsia"/>
              <w:color w:val="000000" w:themeColor="text1"/>
              <w:lang w:val="en-US" w:eastAsia="zh-CN"/>
            </w:rPr>
            <w:t>现有项目原辅材料用量情况</w:t>
          </w:r>
          <w:r>
            <w:rPr>
              <w:color w:val="000000" w:themeColor="text1"/>
            </w:rPr>
            <w:tab/>
          </w:r>
          <w:r>
            <w:rPr>
              <w:color w:val="000000" w:themeColor="text1"/>
            </w:rPr>
            <w:fldChar w:fldCharType="begin"/>
          </w:r>
          <w:r>
            <w:rPr>
              <w:color w:val="000000" w:themeColor="text1"/>
            </w:rPr>
            <w:instrText xml:space="preserve"> PAGEREF _Toc17216 </w:instrText>
          </w:r>
          <w:r>
            <w:rPr>
              <w:color w:val="000000" w:themeColor="text1"/>
            </w:rPr>
            <w:fldChar w:fldCharType="separate"/>
          </w:r>
          <w:r>
            <w:rPr>
              <w:color w:val="000000" w:themeColor="text1"/>
            </w:rPr>
            <w:t>49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_Toc2913 </w:instrText>
          </w:r>
          <w:r>
            <w:rPr>
              <w:rFonts w:hint="eastAsia"/>
              <w:color w:val="000000" w:themeColor="text1"/>
              <w:lang w:val="en-US" w:eastAsia="zh-CN"/>
            </w:rPr>
            <w:fldChar w:fldCharType="separate"/>
          </w:r>
          <w:r>
            <w:rPr>
              <w:rFonts w:hint="default"/>
              <w:color w:val="000000" w:themeColor="text1"/>
              <w:lang w:val="en-US" w:eastAsia="zh-CN"/>
            </w:rPr>
            <w:t xml:space="preserve">3.1.7. </w:t>
          </w:r>
          <w:r>
            <w:rPr>
              <w:rFonts w:hint="eastAsia"/>
              <w:color w:val="000000" w:themeColor="text1"/>
              <w:lang w:val="en-US" w:eastAsia="zh-CN"/>
            </w:rPr>
            <w:t>现有项目劳动定员及工作制度</w:t>
          </w:r>
          <w:r>
            <w:rPr>
              <w:color w:val="000000" w:themeColor="text1"/>
            </w:rPr>
            <w:tab/>
          </w:r>
          <w:r>
            <w:rPr>
              <w:color w:val="000000" w:themeColor="text1"/>
            </w:rPr>
            <w:fldChar w:fldCharType="begin"/>
          </w:r>
          <w:r>
            <w:rPr>
              <w:color w:val="000000" w:themeColor="text1"/>
            </w:rPr>
            <w:instrText xml:space="preserve"> PAGEREF _Toc2913 </w:instrText>
          </w:r>
          <w:r>
            <w:rPr>
              <w:color w:val="000000" w:themeColor="text1"/>
            </w:rPr>
            <w:fldChar w:fldCharType="separate"/>
          </w:r>
          <w:r>
            <w:rPr>
              <w:color w:val="000000" w:themeColor="text1"/>
            </w:rPr>
            <w:t>49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_Toc23031 </w:instrText>
          </w:r>
          <w:r>
            <w:rPr>
              <w:rFonts w:hint="eastAsia"/>
              <w:color w:val="000000" w:themeColor="text1"/>
              <w:lang w:val="en-US" w:eastAsia="zh-CN"/>
            </w:rPr>
            <w:fldChar w:fldCharType="separate"/>
          </w:r>
          <w:r>
            <w:rPr>
              <w:rFonts w:hint="default"/>
              <w:color w:val="000000" w:themeColor="text1"/>
              <w:lang w:val="en-US" w:eastAsia="zh-CN"/>
            </w:rPr>
            <w:t xml:space="preserve">3.1.8. </w:t>
          </w:r>
          <w:r>
            <w:rPr>
              <w:rFonts w:hint="eastAsia"/>
              <w:color w:val="000000" w:themeColor="text1"/>
              <w:lang w:val="en-US" w:eastAsia="zh-CN"/>
            </w:rPr>
            <w:t>现有工程生产工艺及流程图</w:t>
          </w:r>
          <w:r>
            <w:rPr>
              <w:color w:val="000000" w:themeColor="text1"/>
            </w:rPr>
            <w:tab/>
          </w:r>
          <w:r>
            <w:rPr>
              <w:color w:val="000000" w:themeColor="text1"/>
            </w:rPr>
            <w:fldChar w:fldCharType="begin"/>
          </w:r>
          <w:r>
            <w:rPr>
              <w:color w:val="000000" w:themeColor="text1"/>
            </w:rPr>
            <w:instrText xml:space="preserve"> PAGEREF _Toc23031 </w:instrText>
          </w:r>
          <w:r>
            <w:rPr>
              <w:color w:val="000000" w:themeColor="text1"/>
            </w:rPr>
            <w:fldChar w:fldCharType="separate"/>
          </w:r>
          <w:r>
            <w:rPr>
              <w:color w:val="000000" w:themeColor="text1"/>
            </w:rPr>
            <w:t>49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_Toc15174 </w:instrText>
          </w:r>
          <w:r>
            <w:rPr>
              <w:rFonts w:hint="eastAsia"/>
              <w:color w:val="000000" w:themeColor="text1"/>
              <w:lang w:val="en-US" w:eastAsia="zh-CN"/>
            </w:rPr>
            <w:fldChar w:fldCharType="separate"/>
          </w:r>
          <w:r>
            <w:rPr>
              <w:rFonts w:hint="default"/>
              <w:color w:val="000000" w:themeColor="text1"/>
              <w:lang w:val="en-US" w:eastAsia="zh-CN"/>
            </w:rPr>
            <w:t xml:space="preserve">3.1.9. </w:t>
          </w:r>
          <w:r>
            <w:rPr>
              <w:rFonts w:hint="eastAsia"/>
              <w:color w:val="000000" w:themeColor="text1"/>
              <w:lang w:val="en-US" w:eastAsia="zh-CN"/>
            </w:rPr>
            <w:t>现有工程污染防治措施及排放量</w:t>
          </w:r>
          <w:r>
            <w:rPr>
              <w:color w:val="000000" w:themeColor="text1"/>
            </w:rPr>
            <w:tab/>
          </w:r>
          <w:r>
            <w:rPr>
              <w:color w:val="000000" w:themeColor="text1"/>
            </w:rPr>
            <w:fldChar w:fldCharType="begin"/>
          </w:r>
          <w:r>
            <w:rPr>
              <w:color w:val="000000" w:themeColor="text1"/>
            </w:rPr>
            <w:instrText xml:space="preserve"> PAGEREF _Toc15174 </w:instrText>
          </w:r>
          <w:r>
            <w:rPr>
              <w:color w:val="000000" w:themeColor="text1"/>
            </w:rPr>
            <w:fldChar w:fldCharType="separate"/>
          </w:r>
          <w:r>
            <w:rPr>
              <w:color w:val="000000" w:themeColor="text1"/>
            </w:rPr>
            <w:t>49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_Toc24724 </w:instrText>
          </w:r>
          <w:r>
            <w:rPr>
              <w:rFonts w:hint="eastAsia"/>
              <w:color w:val="000000" w:themeColor="text1"/>
              <w:lang w:val="en-US" w:eastAsia="zh-CN"/>
            </w:rPr>
            <w:fldChar w:fldCharType="separate"/>
          </w:r>
          <w:r>
            <w:rPr>
              <w:rFonts w:hint="default"/>
              <w:color w:val="000000" w:themeColor="text1"/>
              <w:lang w:val="en-US" w:eastAsia="zh-CN"/>
            </w:rPr>
            <w:t xml:space="preserve">3.1.10. </w:t>
          </w:r>
          <w:r>
            <w:rPr>
              <w:rFonts w:hint="eastAsia"/>
              <w:color w:val="000000" w:themeColor="text1"/>
              <w:lang w:val="en-US" w:eastAsia="zh-CN"/>
            </w:rPr>
            <w:t>现有工程存在的主要环境问题及整改措施</w:t>
          </w:r>
          <w:r>
            <w:rPr>
              <w:color w:val="000000" w:themeColor="text1"/>
            </w:rPr>
            <w:tab/>
          </w:r>
          <w:r>
            <w:rPr>
              <w:color w:val="000000" w:themeColor="text1"/>
            </w:rPr>
            <w:fldChar w:fldCharType="begin"/>
          </w:r>
          <w:r>
            <w:rPr>
              <w:color w:val="000000" w:themeColor="text1"/>
            </w:rPr>
            <w:instrText xml:space="preserve"> PAGEREF _Toc24724 </w:instrText>
          </w:r>
          <w:r>
            <w:rPr>
              <w:color w:val="000000" w:themeColor="text1"/>
            </w:rPr>
            <w:fldChar w:fldCharType="separate"/>
          </w:r>
          <w:r>
            <w:rPr>
              <w:color w:val="000000" w:themeColor="text1"/>
            </w:rPr>
            <w:t>51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rFonts w:hint="eastAsia"/>
              <w:color w:val="000000" w:themeColor="text1"/>
              <w:lang w:val="en-US" w:eastAsia="zh-CN"/>
            </w:rPr>
            <w:sectPr>
              <w:footerReference r:id="rId7" w:type="default"/>
              <w:pgSz w:w="11906" w:h="16838"/>
              <w:pgMar w:top="1134" w:right="1418" w:bottom="1134" w:left="1418" w:header="850" w:footer="567" w:gutter="0"/>
              <w:pgBorders>
                <w:top w:val="none" w:sz="0" w:space="0"/>
                <w:left w:val="none" w:sz="0" w:space="0"/>
                <w:bottom w:val="none" w:sz="0" w:space="0"/>
                <w:right w:val="none" w:sz="0" w:space="0"/>
              </w:pgBorders>
              <w:pgNumType w:start="1"/>
              <w:cols w:space="720" w:num="1"/>
              <w:docGrid w:linePitch="326" w:charSpace="0"/>
            </w:sectPr>
          </w:pP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_Toc17319 </w:instrText>
          </w:r>
          <w:r>
            <w:rPr>
              <w:rFonts w:hint="eastAsia"/>
              <w:color w:val="000000" w:themeColor="text1"/>
              <w:lang w:val="en-US" w:eastAsia="zh-CN"/>
            </w:rPr>
            <w:fldChar w:fldCharType="separate"/>
          </w:r>
          <w:r>
            <w:rPr>
              <w:rFonts w:hint="default"/>
              <w:color w:val="000000" w:themeColor="text1"/>
            </w:rPr>
            <w:t xml:space="preserve">3.2. </w:t>
          </w:r>
          <w:r>
            <w:rPr>
              <w:rFonts w:hint="eastAsia"/>
              <w:color w:val="000000" w:themeColor="text1"/>
              <w:lang w:val="en-US" w:eastAsia="zh-CN"/>
            </w:rPr>
            <w:t>扩建项目基本情况</w:t>
          </w:r>
          <w:r>
            <w:rPr>
              <w:color w:val="000000" w:themeColor="text1"/>
            </w:rPr>
            <w:tab/>
          </w:r>
          <w:r>
            <w:rPr>
              <w:color w:val="000000" w:themeColor="text1"/>
            </w:rPr>
            <w:fldChar w:fldCharType="begin"/>
          </w:r>
          <w:r>
            <w:rPr>
              <w:color w:val="000000" w:themeColor="text1"/>
            </w:rPr>
            <w:instrText xml:space="preserve"> PAGEREF _Toc17319 </w:instrText>
          </w:r>
          <w:r>
            <w:rPr>
              <w:color w:val="000000" w:themeColor="text1"/>
            </w:rPr>
            <w:fldChar w:fldCharType="separate"/>
          </w:r>
          <w:r>
            <w:rPr>
              <w:color w:val="000000" w:themeColor="text1"/>
            </w:rPr>
            <w:t>55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_Toc21865 </w:instrText>
          </w:r>
          <w:r>
            <w:rPr>
              <w:rFonts w:hint="eastAsia"/>
              <w:color w:val="000000" w:themeColor="text1"/>
              <w:lang w:val="en-US" w:eastAsia="zh-CN"/>
            </w:rPr>
            <w:fldChar w:fldCharType="separate"/>
          </w:r>
          <w:r>
            <w:rPr>
              <w:rFonts w:hint="default"/>
              <w:color w:val="000000" w:themeColor="text1"/>
              <w:lang w:val="en-US" w:eastAsia="zh-CN"/>
            </w:rPr>
            <w:t xml:space="preserve">3.2.1. </w:t>
          </w:r>
          <w:r>
            <w:rPr>
              <w:rFonts w:hint="eastAsia"/>
              <w:color w:val="000000" w:themeColor="text1"/>
              <w:lang w:val="en-US" w:eastAsia="zh-CN"/>
            </w:rPr>
            <w:t>扩建项目概况</w:t>
          </w:r>
          <w:r>
            <w:rPr>
              <w:color w:val="000000" w:themeColor="text1"/>
            </w:rPr>
            <w:tab/>
          </w:r>
          <w:r>
            <w:rPr>
              <w:color w:val="000000" w:themeColor="text1"/>
            </w:rPr>
            <w:fldChar w:fldCharType="begin"/>
          </w:r>
          <w:r>
            <w:rPr>
              <w:color w:val="000000" w:themeColor="text1"/>
            </w:rPr>
            <w:instrText xml:space="preserve"> PAGEREF _Toc21865 </w:instrText>
          </w:r>
          <w:r>
            <w:rPr>
              <w:color w:val="000000" w:themeColor="text1"/>
            </w:rPr>
            <w:fldChar w:fldCharType="separate"/>
          </w:r>
          <w:r>
            <w:rPr>
              <w:color w:val="000000" w:themeColor="text1"/>
            </w:rPr>
            <w:t>55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_Toc4961 </w:instrText>
          </w:r>
          <w:r>
            <w:rPr>
              <w:rFonts w:hint="eastAsia"/>
              <w:color w:val="000000" w:themeColor="text1"/>
              <w:lang w:val="en-US" w:eastAsia="zh-CN"/>
            </w:rPr>
            <w:fldChar w:fldCharType="separate"/>
          </w:r>
          <w:r>
            <w:rPr>
              <w:rFonts w:hint="default"/>
              <w:color w:val="000000" w:themeColor="text1"/>
              <w:lang w:val="en-US" w:eastAsia="zh-CN"/>
            </w:rPr>
            <w:t xml:space="preserve">3.2.2. </w:t>
          </w:r>
          <w:r>
            <w:rPr>
              <w:rFonts w:hint="eastAsia"/>
              <w:color w:val="000000" w:themeColor="text1"/>
              <w:lang w:val="en-US" w:eastAsia="zh-CN"/>
            </w:rPr>
            <w:t>项目建设内容</w:t>
          </w:r>
          <w:r>
            <w:rPr>
              <w:color w:val="000000" w:themeColor="text1"/>
            </w:rPr>
            <w:tab/>
          </w:r>
          <w:r>
            <w:rPr>
              <w:color w:val="000000" w:themeColor="text1"/>
            </w:rPr>
            <w:fldChar w:fldCharType="begin"/>
          </w:r>
          <w:r>
            <w:rPr>
              <w:color w:val="000000" w:themeColor="text1"/>
            </w:rPr>
            <w:instrText xml:space="preserve"> PAGEREF _Toc4961 </w:instrText>
          </w:r>
          <w:r>
            <w:rPr>
              <w:color w:val="000000" w:themeColor="text1"/>
            </w:rPr>
            <w:fldChar w:fldCharType="separate"/>
          </w:r>
          <w:r>
            <w:rPr>
              <w:color w:val="000000" w:themeColor="text1"/>
            </w:rPr>
            <w:t>55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_Toc21295 </w:instrText>
          </w:r>
          <w:r>
            <w:rPr>
              <w:rFonts w:hint="eastAsia"/>
              <w:color w:val="000000" w:themeColor="text1"/>
              <w:lang w:val="en-US" w:eastAsia="zh-CN"/>
            </w:rPr>
            <w:fldChar w:fldCharType="separate"/>
          </w:r>
          <w:r>
            <w:rPr>
              <w:rFonts w:hint="default"/>
              <w:color w:val="000000" w:themeColor="text1"/>
              <w:lang w:val="en-US" w:eastAsia="zh-CN"/>
            </w:rPr>
            <w:t xml:space="preserve">3.2.3. </w:t>
          </w:r>
          <w:r>
            <w:rPr>
              <w:rFonts w:hint="eastAsia"/>
              <w:color w:val="000000" w:themeColor="text1"/>
              <w:lang w:val="en-US" w:eastAsia="zh-CN"/>
            </w:rPr>
            <w:t>扩建项目主要生产设备</w:t>
          </w:r>
          <w:r>
            <w:rPr>
              <w:color w:val="000000" w:themeColor="text1"/>
            </w:rPr>
            <w:tab/>
          </w:r>
          <w:r>
            <w:rPr>
              <w:color w:val="000000" w:themeColor="text1"/>
            </w:rPr>
            <w:fldChar w:fldCharType="begin"/>
          </w:r>
          <w:r>
            <w:rPr>
              <w:color w:val="000000" w:themeColor="text1"/>
            </w:rPr>
            <w:instrText xml:space="preserve"> PAGEREF _Toc21295 </w:instrText>
          </w:r>
          <w:r>
            <w:rPr>
              <w:color w:val="000000" w:themeColor="text1"/>
            </w:rPr>
            <w:fldChar w:fldCharType="separate"/>
          </w:r>
          <w:r>
            <w:rPr>
              <w:color w:val="000000" w:themeColor="text1"/>
            </w:rPr>
            <w:t>56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_Toc27731 </w:instrText>
          </w:r>
          <w:r>
            <w:rPr>
              <w:rFonts w:hint="eastAsia"/>
              <w:color w:val="000000" w:themeColor="text1"/>
              <w:lang w:val="en-US" w:eastAsia="zh-CN"/>
            </w:rPr>
            <w:fldChar w:fldCharType="separate"/>
          </w:r>
          <w:r>
            <w:rPr>
              <w:rFonts w:hint="default"/>
              <w:color w:val="000000" w:themeColor="text1"/>
              <w:lang w:val="en-US" w:eastAsia="zh-CN"/>
            </w:rPr>
            <w:t xml:space="preserve">3.2.4. </w:t>
          </w:r>
          <w:r>
            <w:rPr>
              <w:rFonts w:hint="eastAsia"/>
              <w:color w:val="000000" w:themeColor="text1"/>
              <w:lang w:val="en-US" w:eastAsia="zh-CN"/>
            </w:rPr>
            <w:t>扩建项目原辅材料用量情况</w:t>
          </w:r>
          <w:r>
            <w:rPr>
              <w:color w:val="000000" w:themeColor="text1"/>
            </w:rPr>
            <w:tab/>
          </w:r>
          <w:r>
            <w:rPr>
              <w:color w:val="000000" w:themeColor="text1"/>
            </w:rPr>
            <w:fldChar w:fldCharType="begin"/>
          </w:r>
          <w:r>
            <w:rPr>
              <w:color w:val="000000" w:themeColor="text1"/>
            </w:rPr>
            <w:instrText xml:space="preserve"> PAGEREF _Toc27731 </w:instrText>
          </w:r>
          <w:r>
            <w:rPr>
              <w:color w:val="000000" w:themeColor="text1"/>
            </w:rPr>
            <w:fldChar w:fldCharType="separate"/>
          </w:r>
          <w:r>
            <w:rPr>
              <w:color w:val="000000" w:themeColor="text1"/>
            </w:rPr>
            <w:t>62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_Toc31753 </w:instrText>
          </w:r>
          <w:r>
            <w:rPr>
              <w:rFonts w:hint="eastAsia"/>
              <w:color w:val="000000" w:themeColor="text1"/>
              <w:lang w:val="en-US" w:eastAsia="zh-CN"/>
            </w:rPr>
            <w:fldChar w:fldCharType="separate"/>
          </w:r>
          <w:r>
            <w:rPr>
              <w:rFonts w:hint="default"/>
              <w:color w:val="000000" w:themeColor="text1"/>
              <w:lang w:val="en-US" w:eastAsia="zh-CN"/>
            </w:rPr>
            <w:t xml:space="preserve">3.2.5. </w:t>
          </w:r>
          <w:r>
            <w:rPr>
              <w:rFonts w:hint="eastAsia"/>
              <w:color w:val="000000" w:themeColor="text1"/>
              <w:lang w:val="en-US" w:eastAsia="zh-CN"/>
            </w:rPr>
            <w:t>资源概况</w:t>
          </w:r>
          <w:r>
            <w:rPr>
              <w:color w:val="000000" w:themeColor="text1"/>
            </w:rPr>
            <w:tab/>
          </w:r>
          <w:r>
            <w:rPr>
              <w:color w:val="000000" w:themeColor="text1"/>
            </w:rPr>
            <w:fldChar w:fldCharType="begin"/>
          </w:r>
          <w:r>
            <w:rPr>
              <w:color w:val="000000" w:themeColor="text1"/>
            </w:rPr>
            <w:instrText xml:space="preserve"> PAGEREF _Toc31753 </w:instrText>
          </w:r>
          <w:r>
            <w:rPr>
              <w:color w:val="000000" w:themeColor="text1"/>
            </w:rPr>
            <w:fldChar w:fldCharType="separate"/>
          </w:r>
          <w:r>
            <w:rPr>
              <w:color w:val="000000" w:themeColor="text1"/>
            </w:rPr>
            <w:t>63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_Toc13997 </w:instrText>
          </w:r>
          <w:r>
            <w:rPr>
              <w:rFonts w:hint="eastAsia"/>
              <w:color w:val="000000" w:themeColor="text1"/>
              <w:lang w:val="en-US" w:eastAsia="zh-CN"/>
            </w:rPr>
            <w:fldChar w:fldCharType="separate"/>
          </w:r>
          <w:r>
            <w:rPr>
              <w:rFonts w:hint="default"/>
              <w:color w:val="000000" w:themeColor="text1"/>
              <w:lang w:val="en-US" w:eastAsia="zh-CN"/>
            </w:rPr>
            <w:t xml:space="preserve">3.2.6. </w:t>
          </w:r>
          <w:r>
            <w:rPr>
              <w:rFonts w:hint="eastAsia"/>
              <w:color w:val="000000" w:themeColor="text1"/>
              <w:lang w:val="en-US" w:eastAsia="zh-CN"/>
            </w:rPr>
            <w:t>周边矿权设置</w:t>
          </w:r>
          <w:r>
            <w:rPr>
              <w:color w:val="000000" w:themeColor="text1"/>
            </w:rPr>
            <w:tab/>
          </w:r>
          <w:r>
            <w:rPr>
              <w:color w:val="000000" w:themeColor="text1"/>
            </w:rPr>
            <w:fldChar w:fldCharType="begin"/>
          </w:r>
          <w:r>
            <w:rPr>
              <w:color w:val="000000" w:themeColor="text1"/>
            </w:rPr>
            <w:instrText xml:space="preserve"> PAGEREF _Toc13997 </w:instrText>
          </w:r>
          <w:r>
            <w:rPr>
              <w:color w:val="000000" w:themeColor="text1"/>
            </w:rPr>
            <w:fldChar w:fldCharType="separate"/>
          </w:r>
          <w:r>
            <w:rPr>
              <w:color w:val="000000" w:themeColor="text1"/>
            </w:rPr>
            <w:t>64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_Toc16062 </w:instrText>
          </w:r>
          <w:r>
            <w:rPr>
              <w:rFonts w:hint="eastAsia"/>
              <w:color w:val="000000" w:themeColor="text1"/>
              <w:lang w:val="en-US" w:eastAsia="zh-CN"/>
            </w:rPr>
            <w:fldChar w:fldCharType="separate"/>
          </w:r>
          <w:r>
            <w:rPr>
              <w:rFonts w:hint="default"/>
              <w:color w:val="000000" w:themeColor="text1"/>
              <w:lang w:val="en-US" w:eastAsia="zh-CN"/>
            </w:rPr>
            <w:t xml:space="preserve">3.2.7. </w:t>
          </w:r>
          <w:r>
            <w:rPr>
              <w:rFonts w:hint="eastAsia"/>
              <w:color w:val="000000" w:themeColor="text1"/>
              <w:lang w:val="en-US" w:eastAsia="zh-CN"/>
            </w:rPr>
            <w:t>区域地质概况</w:t>
          </w:r>
          <w:r>
            <w:rPr>
              <w:color w:val="000000" w:themeColor="text1"/>
            </w:rPr>
            <w:tab/>
          </w:r>
          <w:r>
            <w:rPr>
              <w:color w:val="000000" w:themeColor="text1"/>
            </w:rPr>
            <w:fldChar w:fldCharType="begin"/>
          </w:r>
          <w:r>
            <w:rPr>
              <w:color w:val="000000" w:themeColor="text1"/>
            </w:rPr>
            <w:instrText xml:space="preserve"> PAGEREF _Toc16062 </w:instrText>
          </w:r>
          <w:r>
            <w:rPr>
              <w:color w:val="000000" w:themeColor="text1"/>
            </w:rPr>
            <w:fldChar w:fldCharType="separate"/>
          </w:r>
          <w:r>
            <w:rPr>
              <w:color w:val="000000" w:themeColor="text1"/>
            </w:rPr>
            <w:t>64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_Toc6272 </w:instrText>
          </w:r>
          <w:r>
            <w:rPr>
              <w:rFonts w:hint="eastAsia"/>
              <w:color w:val="000000" w:themeColor="text1"/>
              <w:lang w:val="en-US" w:eastAsia="zh-CN"/>
            </w:rPr>
            <w:fldChar w:fldCharType="separate"/>
          </w:r>
          <w:r>
            <w:rPr>
              <w:rFonts w:hint="default"/>
              <w:color w:val="000000" w:themeColor="text1"/>
              <w:lang w:val="en-US" w:eastAsia="zh-CN"/>
            </w:rPr>
            <w:t xml:space="preserve">3.2.8. </w:t>
          </w:r>
          <w:r>
            <w:rPr>
              <w:rFonts w:hint="eastAsia"/>
              <w:color w:val="000000" w:themeColor="text1"/>
              <w:lang w:val="en-US" w:eastAsia="zh-CN"/>
            </w:rPr>
            <w:t>矿床地质及结构特征</w:t>
          </w:r>
          <w:r>
            <w:rPr>
              <w:color w:val="000000" w:themeColor="text1"/>
            </w:rPr>
            <w:tab/>
          </w:r>
          <w:r>
            <w:rPr>
              <w:color w:val="000000" w:themeColor="text1"/>
            </w:rPr>
            <w:fldChar w:fldCharType="begin"/>
          </w:r>
          <w:r>
            <w:rPr>
              <w:color w:val="000000" w:themeColor="text1"/>
            </w:rPr>
            <w:instrText xml:space="preserve"> PAGEREF _Toc6272 </w:instrText>
          </w:r>
          <w:r>
            <w:rPr>
              <w:color w:val="000000" w:themeColor="text1"/>
            </w:rPr>
            <w:fldChar w:fldCharType="separate"/>
          </w:r>
          <w:r>
            <w:rPr>
              <w:color w:val="000000" w:themeColor="text1"/>
            </w:rPr>
            <w:t>65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_Toc10118 </w:instrText>
          </w:r>
          <w:r>
            <w:rPr>
              <w:rFonts w:hint="eastAsia"/>
              <w:color w:val="000000" w:themeColor="text1"/>
              <w:lang w:val="en-US" w:eastAsia="zh-CN"/>
            </w:rPr>
            <w:fldChar w:fldCharType="separate"/>
          </w:r>
          <w:r>
            <w:rPr>
              <w:rFonts w:hint="default"/>
              <w:color w:val="000000" w:themeColor="text1"/>
              <w:lang w:val="en-US" w:eastAsia="zh-CN"/>
            </w:rPr>
            <w:t xml:space="preserve">3.2.9. </w:t>
          </w:r>
          <w:r>
            <w:rPr>
              <w:rFonts w:hint="eastAsia"/>
              <w:color w:val="000000" w:themeColor="text1"/>
              <w:lang w:val="en-US" w:eastAsia="zh-CN"/>
            </w:rPr>
            <w:t>矿物组成</w:t>
          </w:r>
          <w:r>
            <w:rPr>
              <w:color w:val="000000" w:themeColor="text1"/>
            </w:rPr>
            <w:tab/>
          </w:r>
          <w:r>
            <w:rPr>
              <w:color w:val="000000" w:themeColor="text1"/>
            </w:rPr>
            <w:fldChar w:fldCharType="begin"/>
          </w:r>
          <w:r>
            <w:rPr>
              <w:color w:val="000000" w:themeColor="text1"/>
            </w:rPr>
            <w:instrText xml:space="preserve"> PAGEREF _Toc10118 </w:instrText>
          </w:r>
          <w:r>
            <w:rPr>
              <w:color w:val="000000" w:themeColor="text1"/>
            </w:rPr>
            <w:fldChar w:fldCharType="separate"/>
          </w:r>
          <w:r>
            <w:rPr>
              <w:color w:val="000000" w:themeColor="text1"/>
            </w:rPr>
            <w:t>67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_Toc3842 </w:instrText>
          </w:r>
          <w:r>
            <w:rPr>
              <w:rFonts w:hint="eastAsia"/>
              <w:color w:val="000000" w:themeColor="text1"/>
              <w:lang w:val="en-US" w:eastAsia="zh-CN"/>
            </w:rPr>
            <w:fldChar w:fldCharType="separate"/>
          </w:r>
          <w:r>
            <w:rPr>
              <w:rFonts w:hint="default"/>
              <w:color w:val="000000" w:themeColor="text1"/>
              <w:lang w:val="en-US" w:eastAsia="zh-CN"/>
            </w:rPr>
            <w:t>3.2.10. 产品方案</w:t>
          </w:r>
          <w:r>
            <w:rPr>
              <w:color w:val="000000" w:themeColor="text1"/>
            </w:rPr>
            <w:tab/>
          </w:r>
          <w:r>
            <w:rPr>
              <w:color w:val="000000" w:themeColor="text1"/>
            </w:rPr>
            <w:fldChar w:fldCharType="begin"/>
          </w:r>
          <w:r>
            <w:rPr>
              <w:color w:val="000000" w:themeColor="text1"/>
            </w:rPr>
            <w:instrText xml:space="preserve"> PAGEREF _Toc3842 </w:instrText>
          </w:r>
          <w:r>
            <w:rPr>
              <w:color w:val="000000" w:themeColor="text1"/>
            </w:rPr>
            <w:fldChar w:fldCharType="separate"/>
          </w:r>
          <w:r>
            <w:rPr>
              <w:color w:val="000000" w:themeColor="text1"/>
            </w:rPr>
            <w:t>68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_Toc7829 </w:instrText>
          </w:r>
          <w:r>
            <w:rPr>
              <w:rFonts w:hint="eastAsia"/>
              <w:color w:val="000000" w:themeColor="text1"/>
              <w:lang w:val="en-US" w:eastAsia="zh-CN"/>
            </w:rPr>
            <w:fldChar w:fldCharType="separate"/>
          </w:r>
          <w:r>
            <w:rPr>
              <w:rFonts w:hint="default"/>
              <w:color w:val="000000" w:themeColor="text1"/>
              <w:lang w:val="en-US" w:eastAsia="zh-CN"/>
            </w:rPr>
            <w:t xml:space="preserve">3.2.11. </w:t>
          </w:r>
          <w:r>
            <w:rPr>
              <w:rFonts w:hint="eastAsia"/>
              <w:color w:val="000000" w:themeColor="text1"/>
              <w:lang w:val="en-US" w:eastAsia="zh-CN"/>
            </w:rPr>
            <w:t>矿山开采叙述</w:t>
          </w:r>
          <w:r>
            <w:rPr>
              <w:color w:val="000000" w:themeColor="text1"/>
            </w:rPr>
            <w:tab/>
          </w:r>
          <w:r>
            <w:rPr>
              <w:color w:val="000000" w:themeColor="text1"/>
            </w:rPr>
            <w:fldChar w:fldCharType="begin"/>
          </w:r>
          <w:r>
            <w:rPr>
              <w:color w:val="000000" w:themeColor="text1"/>
            </w:rPr>
            <w:instrText xml:space="preserve"> PAGEREF _Toc7829 </w:instrText>
          </w:r>
          <w:r>
            <w:rPr>
              <w:color w:val="000000" w:themeColor="text1"/>
            </w:rPr>
            <w:fldChar w:fldCharType="separate"/>
          </w:r>
          <w:r>
            <w:rPr>
              <w:color w:val="000000" w:themeColor="text1"/>
            </w:rPr>
            <w:t>68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_Toc21171 </w:instrText>
          </w:r>
          <w:r>
            <w:rPr>
              <w:rFonts w:hint="eastAsia"/>
              <w:color w:val="000000" w:themeColor="text1"/>
              <w:lang w:val="en-US" w:eastAsia="zh-CN"/>
            </w:rPr>
            <w:fldChar w:fldCharType="separate"/>
          </w:r>
          <w:r>
            <w:rPr>
              <w:rFonts w:hint="default"/>
              <w:color w:val="000000" w:themeColor="text1"/>
              <w:lang w:val="en-US" w:eastAsia="zh-CN"/>
            </w:rPr>
            <w:t>3.2.12. 工程总平面布置</w:t>
          </w:r>
          <w:r>
            <w:rPr>
              <w:color w:val="000000" w:themeColor="text1"/>
            </w:rPr>
            <w:tab/>
          </w:r>
          <w:r>
            <w:rPr>
              <w:color w:val="000000" w:themeColor="text1"/>
            </w:rPr>
            <w:fldChar w:fldCharType="begin"/>
          </w:r>
          <w:r>
            <w:rPr>
              <w:color w:val="000000" w:themeColor="text1"/>
            </w:rPr>
            <w:instrText xml:space="preserve"> PAGEREF _Toc21171 </w:instrText>
          </w:r>
          <w:r>
            <w:rPr>
              <w:color w:val="000000" w:themeColor="text1"/>
            </w:rPr>
            <w:fldChar w:fldCharType="separate"/>
          </w:r>
          <w:r>
            <w:rPr>
              <w:color w:val="000000" w:themeColor="text1"/>
            </w:rPr>
            <w:t>72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_Toc12037 </w:instrText>
          </w:r>
          <w:r>
            <w:rPr>
              <w:rFonts w:hint="eastAsia"/>
              <w:color w:val="000000" w:themeColor="text1"/>
              <w:lang w:val="en-US" w:eastAsia="zh-CN"/>
            </w:rPr>
            <w:fldChar w:fldCharType="separate"/>
          </w:r>
          <w:r>
            <w:rPr>
              <w:rFonts w:hint="default"/>
              <w:color w:val="000000" w:themeColor="text1"/>
              <w:lang w:val="en-US" w:eastAsia="zh-CN"/>
            </w:rPr>
            <w:t xml:space="preserve">3.2.13. </w:t>
          </w:r>
          <w:r>
            <w:rPr>
              <w:rFonts w:hint="eastAsia"/>
              <w:color w:val="000000" w:themeColor="text1"/>
              <w:lang w:val="en-US" w:eastAsia="zh-CN"/>
            </w:rPr>
            <w:t>公用工程</w:t>
          </w:r>
          <w:r>
            <w:rPr>
              <w:color w:val="000000" w:themeColor="text1"/>
            </w:rPr>
            <w:tab/>
          </w:r>
          <w:r>
            <w:rPr>
              <w:color w:val="000000" w:themeColor="text1"/>
            </w:rPr>
            <w:fldChar w:fldCharType="begin"/>
          </w:r>
          <w:r>
            <w:rPr>
              <w:color w:val="000000" w:themeColor="text1"/>
            </w:rPr>
            <w:instrText xml:space="preserve"> PAGEREF _Toc12037 </w:instrText>
          </w:r>
          <w:r>
            <w:rPr>
              <w:color w:val="000000" w:themeColor="text1"/>
            </w:rPr>
            <w:fldChar w:fldCharType="separate"/>
          </w:r>
          <w:r>
            <w:rPr>
              <w:color w:val="000000" w:themeColor="text1"/>
            </w:rPr>
            <w:t>73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_Toc18314 </w:instrText>
          </w:r>
          <w:r>
            <w:rPr>
              <w:rFonts w:hint="eastAsia"/>
              <w:color w:val="000000" w:themeColor="text1"/>
              <w:lang w:val="en-US" w:eastAsia="zh-CN"/>
            </w:rPr>
            <w:fldChar w:fldCharType="separate"/>
          </w:r>
          <w:r>
            <w:rPr>
              <w:rFonts w:hint="default"/>
              <w:color w:val="000000" w:themeColor="text1"/>
              <w:lang w:val="en-US" w:eastAsia="zh-CN"/>
            </w:rPr>
            <w:t xml:space="preserve">3.2.14. </w:t>
          </w:r>
          <w:r>
            <w:rPr>
              <w:rFonts w:hint="eastAsia"/>
              <w:color w:val="000000" w:themeColor="text1"/>
              <w:lang w:val="en-US" w:eastAsia="zh-CN"/>
            </w:rPr>
            <w:t>劳动定员及工作制度</w:t>
          </w:r>
          <w:r>
            <w:rPr>
              <w:color w:val="000000" w:themeColor="text1"/>
            </w:rPr>
            <w:tab/>
          </w:r>
          <w:r>
            <w:rPr>
              <w:color w:val="000000" w:themeColor="text1"/>
            </w:rPr>
            <w:fldChar w:fldCharType="begin"/>
          </w:r>
          <w:r>
            <w:rPr>
              <w:color w:val="000000" w:themeColor="text1"/>
            </w:rPr>
            <w:instrText xml:space="preserve"> PAGEREF _Toc18314 </w:instrText>
          </w:r>
          <w:r>
            <w:rPr>
              <w:color w:val="000000" w:themeColor="text1"/>
            </w:rPr>
            <w:fldChar w:fldCharType="separate"/>
          </w:r>
          <w:r>
            <w:rPr>
              <w:color w:val="000000" w:themeColor="text1"/>
            </w:rPr>
            <w:t>75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_Toc23550 </w:instrText>
          </w:r>
          <w:r>
            <w:rPr>
              <w:rFonts w:hint="eastAsia"/>
              <w:color w:val="000000" w:themeColor="text1"/>
              <w:lang w:val="en-US" w:eastAsia="zh-CN"/>
            </w:rPr>
            <w:fldChar w:fldCharType="separate"/>
          </w:r>
          <w:r>
            <w:rPr>
              <w:rFonts w:hint="default"/>
              <w:color w:val="000000" w:themeColor="text1"/>
              <w:lang w:val="en-US" w:eastAsia="zh-CN"/>
            </w:rPr>
            <w:t xml:space="preserve">3.2.15. </w:t>
          </w:r>
          <w:r>
            <w:rPr>
              <w:rFonts w:hint="eastAsia"/>
              <w:color w:val="000000" w:themeColor="text1"/>
              <w:lang w:val="en-US" w:eastAsia="zh-CN"/>
            </w:rPr>
            <w:t>工程投资</w:t>
          </w:r>
          <w:r>
            <w:rPr>
              <w:color w:val="000000" w:themeColor="text1"/>
            </w:rPr>
            <w:tab/>
          </w:r>
          <w:r>
            <w:rPr>
              <w:color w:val="000000" w:themeColor="text1"/>
            </w:rPr>
            <w:fldChar w:fldCharType="begin"/>
          </w:r>
          <w:r>
            <w:rPr>
              <w:color w:val="000000" w:themeColor="text1"/>
            </w:rPr>
            <w:instrText xml:space="preserve"> PAGEREF _Toc23550 </w:instrText>
          </w:r>
          <w:r>
            <w:rPr>
              <w:color w:val="000000" w:themeColor="text1"/>
            </w:rPr>
            <w:fldChar w:fldCharType="separate"/>
          </w:r>
          <w:r>
            <w:rPr>
              <w:color w:val="000000" w:themeColor="text1"/>
            </w:rPr>
            <w:t>75</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_Toc19948 </w:instrText>
          </w:r>
          <w:r>
            <w:rPr>
              <w:rFonts w:hint="eastAsia"/>
              <w:color w:val="000000" w:themeColor="text1"/>
              <w:lang w:val="en-US" w:eastAsia="zh-CN"/>
            </w:rPr>
            <w:fldChar w:fldCharType="separate"/>
          </w:r>
          <w:r>
            <w:rPr>
              <w:rFonts w:hint="default"/>
              <w:color w:val="000000" w:themeColor="text1"/>
              <w:lang w:val="en-US" w:eastAsia="zh-CN"/>
            </w:rPr>
            <w:t>3.3. 工程分析</w:t>
          </w:r>
          <w:r>
            <w:rPr>
              <w:color w:val="000000" w:themeColor="text1"/>
            </w:rPr>
            <w:tab/>
          </w:r>
          <w:r>
            <w:rPr>
              <w:color w:val="000000" w:themeColor="text1"/>
            </w:rPr>
            <w:fldChar w:fldCharType="begin"/>
          </w:r>
          <w:r>
            <w:rPr>
              <w:color w:val="000000" w:themeColor="text1"/>
            </w:rPr>
            <w:instrText xml:space="preserve"> PAGEREF _Toc19948 </w:instrText>
          </w:r>
          <w:r>
            <w:rPr>
              <w:color w:val="000000" w:themeColor="text1"/>
            </w:rPr>
            <w:fldChar w:fldCharType="separate"/>
          </w:r>
          <w:r>
            <w:rPr>
              <w:color w:val="000000" w:themeColor="text1"/>
            </w:rPr>
            <w:t>75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_Toc10678 </w:instrText>
          </w:r>
          <w:r>
            <w:rPr>
              <w:rFonts w:hint="eastAsia"/>
              <w:color w:val="000000" w:themeColor="text1"/>
              <w:lang w:val="en-US" w:eastAsia="zh-CN"/>
            </w:rPr>
            <w:fldChar w:fldCharType="separate"/>
          </w:r>
          <w:r>
            <w:rPr>
              <w:rFonts w:hint="default"/>
              <w:color w:val="000000" w:themeColor="text1"/>
              <w:lang w:val="en-US" w:eastAsia="zh-CN"/>
            </w:rPr>
            <w:t xml:space="preserve">3.3.1. </w:t>
          </w:r>
          <w:r>
            <w:rPr>
              <w:rFonts w:hint="eastAsia"/>
              <w:color w:val="000000" w:themeColor="text1"/>
              <w:lang w:val="en-US" w:eastAsia="zh-CN"/>
            </w:rPr>
            <w:t>施工期工程分析</w:t>
          </w:r>
          <w:r>
            <w:rPr>
              <w:color w:val="000000" w:themeColor="text1"/>
            </w:rPr>
            <w:tab/>
          </w:r>
          <w:r>
            <w:rPr>
              <w:color w:val="000000" w:themeColor="text1"/>
            </w:rPr>
            <w:fldChar w:fldCharType="begin"/>
          </w:r>
          <w:r>
            <w:rPr>
              <w:color w:val="000000" w:themeColor="text1"/>
            </w:rPr>
            <w:instrText xml:space="preserve"> PAGEREF _Toc10678 </w:instrText>
          </w:r>
          <w:r>
            <w:rPr>
              <w:color w:val="000000" w:themeColor="text1"/>
            </w:rPr>
            <w:fldChar w:fldCharType="separate"/>
          </w:r>
          <w:r>
            <w:rPr>
              <w:color w:val="000000" w:themeColor="text1"/>
            </w:rPr>
            <w:t>76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_Toc841 </w:instrText>
          </w:r>
          <w:r>
            <w:rPr>
              <w:rFonts w:hint="eastAsia"/>
              <w:color w:val="000000" w:themeColor="text1"/>
              <w:lang w:val="en-US" w:eastAsia="zh-CN"/>
            </w:rPr>
            <w:fldChar w:fldCharType="separate"/>
          </w:r>
          <w:r>
            <w:rPr>
              <w:rFonts w:hint="default"/>
              <w:color w:val="000000" w:themeColor="text1"/>
              <w:lang w:val="en-US" w:eastAsia="zh-CN"/>
            </w:rPr>
            <w:t xml:space="preserve">3.3.2. </w:t>
          </w:r>
          <w:r>
            <w:rPr>
              <w:rFonts w:hint="eastAsia"/>
              <w:color w:val="000000" w:themeColor="text1"/>
              <w:lang w:val="en-US" w:eastAsia="zh-CN"/>
            </w:rPr>
            <w:t>施工期污染源源强核算</w:t>
          </w:r>
          <w:r>
            <w:rPr>
              <w:color w:val="000000" w:themeColor="text1"/>
            </w:rPr>
            <w:tab/>
          </w:r>
          <w:r>
            <w:rPr>
              <w:color w:val="000000" w:themeColor="text1"/>
            </w:rPr>
            <w:fldChar w:fldCharType="begin"/>
          </w:r>
          <w:r>
            <w:rPr>
              <w:color w:val="000000" w:themeColor="text1"/>
            </w:rPr>
            <w:instrText xml:space="preserve"> PAGEREF _Toc841 </w:instrText>
          </w:r>
          <w:r>
            <w:rPr>
              <w:color w:val="000000" w:themeColor="text1"/>
            </w:rPr>
            <w:fldChar w:fldCharType="separate"/>
          </w:r>
          <w:r>
            <w:rPr>
              <w:color w:val="000000" w:themeColor="text1"/>
            </w:rPr>
            <w:t>77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_Toc27377 </w:instrText>
          </w:r>
          <w:r>
            <w:rPr>
              <w:rFonts w:hint="eastAsia"/>
              <w:color w:val="000000" w:themeColor="text1"/>
              <w:lang w:val="en-US" w:eastAsia="zh-CN"/>
            </w:rPr>
            <w:fldChar w:fldCharType="separate"/>
          </w:r>
          <w:r>
            <w:rPr>
              <w:rFonts w:hint="default"/>
              <w:color w:val="000000" w:themeColor="text1"/>
              <w:lang w:val="en-US" w:eastAsia="zh-CN"/>
            </w:rPr>
            <w:t xml:space="preserve">3.3.3. </w:t>
          </w:r>
          <w:r>
            <w:rPr>
              <w:rFonts w:hint="eastAsia"/>
              <w:color w:val="000000" w:themeColor="text1"/>
              <w:lang w:val="en-US" w:eastAsia="zh-CN"/>
            </w:rPr>
            <w:t>运营期工程分析</w:t>
          </w:r>
          <w:r>
            <w:rPr>
              <w:color w:val="000000" w:themeColor="text1"/>
            </w:rPr>
            <w:tab/>
          </w:r>
          <w:r>
            <w:rPr>
              <w:color w:val="000000" w:themeColor="text1"/>
            </w:rPr>
            <w:fldChar w:fldCharType="begin"/>
          </w:r>
          <w:r>
            <w:rPr>
              <w:color w:val="000000" w:themeColor="text1"/>
            </w:rPr>
            <w:instrText xml:space="preserve"> PAGEREF _Toc27377 </w:instrText>
          </w:r>
          <w:r>
            <w:rPr>
              <w:color w:val="000000" w:themeColor="text1"/>
            </w:rPr>
            <w:fldChar w:fldCharType="separate"/>
          </w:r>
          <w:r>
            <w:rPr>
              <w:color w:val="000000" w:themeColor="text1"/>
            </w:rPr>
            <w:t>82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_Toc7542 </w:instrText>
          </w:r>
          <w:r>
            <w:rPr>
              <w:rFonts w:hint="eastAsia"/>
              <w:color w:val="000000" w:themeColor="text1"/>
              <w:lang w:val="en-US" w:eastAsia="zh-CN"/>
            </w:rPr>
            <w:fldChar w:fldCharType="separate"/>
          </w:r>
          <w:r>
            <w:rPr>
              <w:rFonts w:hint="default"/>
              <w:color w:val="000000" w:themeColor="text1"/>
              <w:lang w:val="en-US" w:eastAsia="zh-CN"/>
            </w:rPr>
            <w:t xml:space="preserve">3.3.4. </w:t>
          </w:r>
          <w:r>
            <w:rPr>
              <w:rFonts w:hint="eastAsia"/>
              <w:color w:val="000000" w:themeColor="text1"/>
              <w:lang w:val="en-US" w:eastAsia="zh-CN"/>
            </w:rPr>
            <w:t>运营期</w:t>
          </w:r>
          <w:r>
            <w:rPr>
              <w:rFonts w:hint="default"/>
              <w:color w:val="000000" w:themeColor="text1"/>
              <w:lang w:val="en-US" w:eastAsia="zh-CN"/>
            </w:rPr>
            <w:t>污染源源强核算</w:t>
          </w:r>
          <w:r>
            <w:rPr>
              <w:color w:val="000000" w:themeColor="text1"/>
            </w:rPr>
            <w:tab/>
          </w:r>
          <w:r>
            <w:rPr>
              <w:color w:val="000000" w:themeColor="text1"/>
            </w:rPr>
            <w:fldChar w:fldCharType="begin"/>
          </w:r>
          <w:r>
            <w:rPr>
              <w:color w:val="000000" w:themeColor="text1"/>
            </w:rPr>
            <w:instrText xml:space="preserve"> PAGEREF _Toc7542 </w:instrText>
          </w:r>
          <w:r>
            <w:rPr>
              <w:color w:val="000000" w:themeColor="text1"/>
            </w:rPr>
            <w:fldChar w:fldCharType="separate"/>
          </w:r>
          <w:r>
            <w:rPr>
              <w:color w:val="000000" w:themeColor="text1"/>
            </w:rPr>
            <w:t>84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_Toc15794 </w:instrText>
          </w:r>
          <w:r>
            <w:rPr>
              <w:rFonts w:hint="eastAsia"/>
              <w:color w:val="000000" w:themeColor="text1"/>
              <w:lang w:val="en-US" w:eastAsia="zh-CN"/>
            </w:rPr>
            <w:fldChar w:fldCharType="separate"/>
          </w:r>
          <w:r>
            <w:rPr>
              <w:rFonts w:hint="default"/>
              <w:color w:val="000000" w:themeColor="text1"/>
              <w:lang w:val="en-US" w:eastAsia="zh-CN"/>
            </w:rPr>
            <w:t xml:space="preserve">3.3.5. </w:t>
          </w:r>
          <w:r>
            <w:rPr>
              <w:rFonts w:hint="eastAsia"/>
              <w:color w:val="000000" w:themeColor="text1"/>
              <w:lang w:val="en-US" w:eastAsia="zh-CN"/>
            </w:rPr>
            <w:t>退役期</w:t>
          </w:r>
          <w:r>
            <w:rPr>
              <w:color w:val="000000" w:themeColor="text1"/>
            </w:rPr>
            <w:tab/>
          </w:r>
          <w:r>
            <w:rPr>
              <w:color w:val="000000" w:themeColor="text1"/>
            </w:rPr>
            <w:fldChar w:fldCharType="begin"/>
          </w:r>
          <w:r>
            <w:rPr>
              <w:color w:val="000000" w:themeColor="text1"/>
            </w:rPr>
            <w:instrText xml:space="preserve"> PAGEREF _Toc15794 </w:instrText>
          </w:r>
          <w:r>
            <w:rPr>
              <w:color w:val="000000" w:themeColor="text1"/>
            </w:rPr>
            <w:fldChar w:fldCharType="separate"/>
          </w:r>
          <w:r>
            <w:rPr>
              <w:color w:val="000000" w:themeColor="text1"/>
            </w:rPr>
            <w:t>92</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_Toc7124 </w:instrText>
          </w:r>
          <w:r>
            <w:rPr>
              <w:rFonts w:hint="eastAsia"/>
              <w:color w:val="000000" w:themeColor="text1"/>
              <w:lang w:val="en-US" w:eastAsia="zh-CN"/>
            </w:rPr>
            <w:fldChar w:fldCharType="separate"/>
          </w:r>
          <w:r>
            <w:rPr>
              <w:rFonts w:hint="default"/>
              <w:color w:val="000000" w:themeColor="text1"/>
            </w:rPr>
            <w:t>3.4. 污染物排放总量及三本账</w:t>
          </w:r>
          <w:r>
            <w:rPr>
              <w:color w:val="000000" w:themeColor="text1"/>
            </w:rPr>
            <w:tab/>
          </w:r>
          <w:r>
            <w:rPr>
              <w:color w:val="000000" w:themeColor="text1"/>
            </w:rPr>
            <w:fldChar w:fldCharType="begin"/>
          </w:r>
          <w:r>
            <w:rPr>
              <w:color w:val="000000" w:themeColor="text1"/>
            </w:rPr>
            <w:instrText xml:space="preserve"> PAGEREF _Toc7124 </w:instrText>
          </w:r>
          <w:r>
            <w:rPr>
              <w:color w:val="000000" w:themeColor="text1"/>
            </w:rPr>
            <w:fldChar w:fldCharType="separate"/>
          </w:r>
          <w:r>
            <w:rPr>
              <w:color w:val="000000" w:themeColor="text1"/>
            </w:rPr>
            <w:t>92</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_Toc27778 </w:instrText>
          </w:r>
          <w:r>
            <w:rPr>
              <w:rFonts w:hint="eastAsia"/>
              <w:color w:val="000000" w:themeColor="text1"/>
              <w:lang w:val="en-US" w:eastAsia="zh-CN"/>
            </w:rPr>
            <w:fldChar w:fldCharType="separate"/>
          </w:r>
          <w:r>
            <w:rPr>
              <w:rFonts w:hint="default" w:ascii="Times New Roman" w:hAnsi="Times New Roman" w:eastAsia="宋体" w:cs="Times New Roman"/>
              <w:bCs w:val="0"/>
              <w:color w:val="000000" w:themeColor="text1"/>
              <w:szCs w:val="44"/>
            </w:rPr>
            <w:t xml:space="preserve">4. </w:t>
          </w:r>
          <w:r>
            <w:rPr>
              <w:rFonts w:hint="eastAsia"/>
              <w:color w:val="000000" w:themeColor="text1"/>
            </w:rPr>
            <w:t>环境现状调查与评价</w:t>
          </w:r>
          <w:r>
            <w:rPr>
              <w:color w:val="000000" w:themeColor="text1"/>
            </w:rPr>
            <w:tab/>
          </w:r>
          <w:r>
            <w:rPr>
              <w:color w:val="000000" w:themeColor="text1"/>
            </w:rPr>
            <w:fldChar w:fldCharType="begin"/>
          </w:r>
          <w:r>
            <w:rPr>
              <w:color w:val="000000" w:themeColor="text1"/>
            </w:rPr>
            <w:instrText xml:space="preserve"> PAGEREF _Toc27778 </w:instrText>
          </w:r>
          <w:r>
            <w:rPr>
              <w:color w:val="000000" w:themeColor="text1"/>
            </w:rPr>
            <w:fldChar w:fldCharType="separate"/>
          </w:r>
          <w:r>
            <w:rPr>
              <w:color w:val="000000" w:themeColor="text1"/>
            </w:rPr>
            <w:t>93</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_Toc25772 </w:instrText>
          </w:r>
          <w:r>
            <w:rPr>
              <w:rFonts w:hint="eastAsia"/>
              <w:color w:val="000000" w:themeColor="text1"/>
              <w:lang w:val="en-US" w:eastAsia="zh-CN"/>
            </w:rPr>
            <w:fldChar w:fldCharType="separate"/>
          </w:r>
          <w:r>
            <w:rPr>
              <w:rFonts w:hint="default"/>
              <w:color w:val="000000" w:themeColor="text1"/>
            </w:rPr>
            <w:t>4.1. 项目区环境概况</w:t>
          </w:r>
          <w:r>
            <w:rPr>
              <w:color w:val="000000" w:themeColor="text1"/>
            </w:rPr>
            <w:tab/>
          </w:r>
          <w:r>
            <w:rPr>
              <w:color w:val="000000" w:themeColor="text1"/>
            </w:rPr>
            <w:fldChar w:fldCharType="begin"/>
          </w:r>
          <w:r>
            <w:rPr>
              <w:color w:val="000000" w:themeColor="text1"/>
            </w:rPr>
            <w:instrText xml:space="preserve"> PAGEREF _Toc25772 </w:instrText>
          </w:r>
          <w:r>
            <w:rPr>
              <w:color w:val="000000" w:themeColor="text1"/>
            </w:rPr>
            <w:fldChar w:fldCharType="separate"/>
          </w:r>
          <w:r>
            <w:rPr>
              <w:color w:val="000000" w:themeColor="text1"/>
            </w:rPr>
            <w:t>93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_Toc31554 </w:instrText>
          </w:r>
          <w:r>
            <w:rPr>
              <w:rFonts w:hint="eastAsia"/>
              <w:color w:val="000000" w:themeColor="text1"/>
              <w:lang w:val="en-US" w:eastAsia="zh-CN"/>
            </w:rPr>
            <w:fldChar w:fldCharType="separate"/>
          </w:r>
          <w:r>
            <w:rPr>
              <w:rFonts w:hint="default"/>
              <w:color w:val="000000" w:themeColor="text1"/>
            </w:rPr>
            <w:t>4.1.1. 地理位置</w:t>
          </w:r>
          <w:r>
            <w:rPr>
              <w:color w:val="000000" w:themeColor="text1"/>
            </w:rPr>
            <w:tab/>
          </w:r>
          <w:r>
            <w:rPr>
              <w:color w:val="000000" w:themeColor="text1"/>
            </w:rPr>
            <w:fldChar w:fldCharType="begin"/>
          </w:r>
          <w:r>
            <w:rPr>
              <w:color w:val="000000" w:themeColor="text1"/>
            </w:rPr>
            <w:instrText xml:space="preserve"> PAGEREF _Toc31554 </w:instrText>
          </w:r>
          <w:r>
            <w:rPr>
              <w:color w:val="000000" w:themeColor="text1"/>
            </w:rPr>
            <w:fldChar w:fldCharType="separate"/>
          </w:r>
          <w:r>
            <w:rPr>
              <w:color w:val="000000" w:themeColor="text1"/>
            </w:rPr>
            <w:t>93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_Toc16689 </w:instrText>
          </w:r>
          <w:r>
            <w:rPr>
              <w:rFonts w:hint="eastAsia"/>
              <w:color w:val="000000" w:themeColor="text1"/>
              <w:lang w:val="en-US" w:eastAsia="zh-CN"/>
            </w:rPr>
            <w:fldChar w:fldCharType="separate"/>
          </w:r>
          <w:r>
            <w:rPr>
              <w:rFonts w:hint="default"/>
              <w:color w:val="000000" w:themeColor="text1"/>
            </w:rPr>
            <w:t>4.1.2. 地形地貌</w:t>
          </w:r>
          <w:r>
            <w:rPr>
              <w:color w:val="000000" w:themeColor="text1"/>
            </w:rPr>
            <w:tab/>
          </w:r>
          <w:r>
            <w:rPr>
              <w:color w:val="000000" w:themeColor="text1"/>
            </w:rPr>
            <w:fldChar w:fldCharType="begin"/>
          </w:r>
          <w:r>
            <w:rPr>
              <w:color w:val="000000" w:themeColor="text1"/>
            </w:rPr>
            <w:instrText xml:space="preserve"> PAGEREF _Toc16689 </w:instrText>
          </w:r>
          <w:r>
            <w:rPr>
              <w:color w:val="000000" w:themeColor="text1"/>
            </w:rPr>
            <w:fldChar w:fldCharType="separate"/>
          </w:r>
          <w:r>
            <w:rPr>
              <w:color w:val="000000" w:themeColor="text1"/>
            </w:rPr>
            <w:t>93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_Toc32127 </w:instrText>
          </w:r>
          <w:r>
            <w:rPr>
              <w:rFonts w:hint="eastAsia"/>
              <w:color w:val="000000" w:themeColor="text1"/>
              <w:lang w:val="en-US" w:eastAsia="zh-CN"/>
            </w:rPr>
            <w:fldChar w:fldCharType="separate"/>
          </w:r>
          <w:r>
            <w:rPr>
              <w:rFonts w:hint="default"/>
              <w:color w:val="000000" w:themeColor="text1"/>
              <w:lang w:val="en-US" w:eastAsia="zh-CN"/>
            </w:rPr>
            <w:t xml:space="preserve">4.1.3. </w:t>
          </w:r>
          <w:r>
            <w:rPr>
              <w:rFonts w:hint="eastAsia"/>
              <w:color w:val="000000" w:themeColor="text1"/>
              <w:lang w:val="en-US" w:eastAsia="zh-CN"/>
            </w:rPr>
            <w:t>植被</w:t>
          </w:r>
          <w:r>
            <w:rPr>
              <w:color w:val="000000" w:themeColor="text1"/>
            </w:rPr>
            <w:tab/>
          </w:r>
          <w:r>
            <w:rPr>
              <w:color w:val="000000" w:themeColor="text1"/>
            </w:rPr>
            <w:fldChar w:fldCharType="begin"/>
          </w:r>
          <w:r>
            <w:rPr>
              <w:color w:val="000000" w:themeColor="text1"/>
            </w:rPr>
            <w:instrText xml:space="preserve"> PAGEREF _Toc32127 </w:instrText>
          </w:r>
          <w:r>
            <w:rPr>
              <w:color w:val="000000" w:themeColor="text1"/>
            </w:rPr>
            <w:fldChar w:fldCharType="separate"/>
          </w:r>
          <w:r>
            <w:rPr>
              <w:color w:val="000000" w:themeColor="text1"/>
            </w:rPr>
            <w:t>93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_Toc23728 </w:instrText>
          </w:r>
          <w:r>
            <w:rPr>
              <w:rFonts w:hint="eastAsia"/>
              <w:color w:val="000000" w:themeColor="text1"/>
              <w:lang w:val="en-US" w:eastAsia="zh-CN"/>
            </w:rPr>
            <w:fldChar w:fldCharType="separate"/>
          </w:r>
          <w:r>
            <w:rPr>
              <w:rFonts w:hint="default"/>
              <w:color w:val="000000" w:themeColor="text1"/>
              <w:lang w:val="en-US" w:eastAsia="zh-CN"/>
            </w:rPr>
            <w:t xml:space="preserve">4.1.4. </w:t>
          </w:r>
          <w:r>
            <w:rPr>
              <w:rFonts w:hint="eastAsia"/>
              <w:color w:val="000000" w:themeColor="text1"/>
              <w:lang w:val="en-US" w:eastAsia="zh-CN"/>
            </w:rPr>
            <w:t>土壤</w:t>
          </w:r>
          <w:r>
            <w:rPr>
              <w:color w:val="000000" w:themeColor="text1"/>
            </w:rPr>
            <w:tab/>
          </w:r>
          <w:r>
            <w:rPr>
              <w:color w:val="000000" w:themeColor="text1"/>
            </w:rPr>
            <w:fldChar w:fldCharType="begin"/>
          </w:r>
          <w:r>
            <w:rPr>
              <w:color w:val="000000" w:themeColor="text1"/>
            </w:rPr>
            <w:instrText xml:space="preserve"> PAGEREF _Toc23728 </w:instrText>
          </w:r>
          <w:r>
            <w:rPr>
              <w:color w:val="000000" w:themeColor="text1"/>
            </w:rPr>
            <w:fldChar w:fldCharType="separate"/>
          </w:r>
          <w:r>
            <w:rPr>
              <w:color w:val="000000" w:themeColor="text1"/>
            </w:rPr>
            <w:t>93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_Toc1921 </w:instrText>
          </w:r>
          <w:r>
            <w:rPr>
              <w:rFonts w:hint="eastAsia"/>
              <w:color w:val="000000" w:themeColor="text1"/>
              <w:lang w:val="en-US" w:eastAsia="zh-CN"/>
            </w:rPr>
            <w:fldChar w:fldCharType="separate"/>
          </w:r>
          <w:r>
            <w:rPr>
              <w:rFonts w:hint="default"/>
              <w:color w:val="000000" w:themeColor="text1"/>
            </w:rPr>
            <w:t>4.1.5. 地层岩性与地质构造</w:t>
          </w:r>
          <w:r>
            <w:rPr>
              <w:color w:val="000000" w:themeColor="text1"/>
            </w:rPr>
            <w:tab/>
          </w:r>
          <w:r>
            <w:rPr>
              <w:color w:val="000000" w:themeColor="text1"/>
            </w:rPr>
            <w:fldChar w:fldCharType="begin"/>
          </w:r>
          <w:r>
            <w:rPr>
              <w:color w:val="000000" w:themeColor="text1"/>
            </w:rPr>
            <w:instrText xml:space="preserve"> PAGEREF _Toc1921 </w:instrText>
          </w:r>
          <w:r>
            <w:rPr>
              <w:color w:val="000000" w:themeColor="text1"/>
            </w:rPr>
            <w:fldChar w:fldCharType="separate"/>
          </w:r>
          <w:r>
            <w:rPr>
              <w:color w:val="000000" w:themeColor="text1"/>
            </w:rPr>
            <w:t>94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_Toc24531 </w:instrText>
          </w:r>
          <w:r>
            <w:rPr>
              <w:rFonts w:hint="eastAsia"/>
              <w:color w:val="000000" w:themeColor="text1"/>
              <w:lang w:val="en-US" w:eastAsia="zh-CN"/>
            </w:rPr>
            <w:fldChar w:fldCharType="separate"/>
          </w:r>
          <w:r>
            <w:rPr>
              <w:rFonts w:hint="default"/>
              <w:color w:val="000000" w:themeColor="text1"/>
            </w:rPr>
            <w:t>4.1.6. 地下水概况</w:t>
          </w:r>
          <w:r>
            <w:rPr>
              <w:color w:val="000000" w:themeColor="text1"/>
            </w:rPr>
            <w:tab/>
          </w:r>
          <w:r>
            <w:rPr>
              <w:color w:val="000000" w:themeColor="text1"/>
            </w:rPr>
            <w:fldChar w:fldCharType="begin"/>
          </w:r>
          <w:r>
            <w:rPr>
              <w:color w:val="000000" w:themeColor="text1"/>
            </w:rPr>
            <w:instrText xml:space="preserve"> PAGEREF _Toc24531 </w:instrText>
          </w:r>
          <w:r>
            <w:rPr>
              <w:color w:val="000000" w:themeColor="text1"/>
            </w:rPr>
            <w:fldChar w:fldCharType="separate"/>
          </w:r>
          <w:r>
            <w:rPr>
              <w:color w:val="000000" w:themeColor="text1"/>
            </w:rPr>
            <w:t>96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_Toc30399 </w:instrText>
          </w:r>
          <w:r>
            <w:rPr>
              <w:rFonts w:hint="eastAsia"/>
              <w:color w:val="000000" w:themeColor="text1"/>
              <w:lang w:val="en-US" w:eastAsia="zh-CN"/>
            </w:rPr>
            <w:fldChar w:fldCharType="separate"/>
          </w:r>
          <w:r>
            <w:rPr>
              <w:rFonts w:hint="default"/>
              <w:color w:val="000000" w:themeColor="text1"/>
            </w:rPr>
            <w:t>4.1.7. 水文地质</w:t>
          </w:r>
          <w:r>
            <w:rPr>
              <w:color w:val="000000" w:themeColor="text1"/>
            </w:rPr>
            <w:tab/>
          </w:r>
          <w:r>
            <w:rPr>
              <w:color w:val="000000" w:themeColor="text1"/>
            </w:rPr>
            <w:fldChar w:fldCharType="begin"/>
          </w:r>
          <w:r>
            <w:rPr>
              <w:color w:val="000000" w:themeColor="text1"/>
            </w:rPr>
            <w:instrText xml:space="preserve"> PAGEREF _Toc30399 </w:instrText>
          </w:r>
          <w:r>
            <w:rPr>
              <w:color w:val="000000" w:themeColor="text1"/>
            </w:rPr>
            <w:fldChar w:fldCharType="separate"/>
          </w:r>
          <w:r>
            <w:rPr>
              <w:color w:val="000000" w:themeColor="text1"/>
            </w:rPr>
            <w:t>97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_Toc5062 </w:instrText>
          </w:r>
          <w:r>
            <w:rPr>
              <w:rFonts w:hint="eastAsia"/>
              <w:color w:val="000000" w:themeColor="text1"/>
              <w:lang w:val="en-US" w:eastAsia="zh-CN"/>
            </w:rPr>
            <w:fldChar w:fldCharType="separate"/>
          </w:r>
          <w:r>
            <w:rPr>
              <w:rFonts w:hint="default"/>
              <w:color w:val="000000" w:themeColor="text1"/>
            </w:rPr>
            <w:t>4.1.8. 气候气象</w:t>
          </w:r>
          <w:r>
            <w:rPr>
              <w:color w:val="000000" w:themeColor="text1"/>
            </w:rPr>
            <w:tab/>
          </w:r>
          <w:r>
            <w:rPr>
              <w:color w:val="000000" w:themeColor="text1"/>
            </w:rPr>
            <w:fldChar w:fldCharType="begin"/>
          </w:r>
          <w:r>
            <w:rPr>
              <w:color w:val="000000" w:themeColor="text1"/>
            </w:rPr>
            <w:instrText xml:space="preserve"> PAGEREF _Toc5062 </w:instrText>
          </w:r>
          <w:r>
            <w:rPr>
              <w:color w:val="000000" w:themeColor="text1"/>
            </w:rPr>
            <w:fldChar w:fldCharType="separate"/>
          </w:r>
          <w:r>
            <w:rPr>
              <w:color w:val="000000" w:themeColor="text1"/>
            </w:rPr>
            <w:t>102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_Toc4861 </w:instrText>
          </w:r>
          <w:r>
            <w:rPr>
              <w:rFonts w:hint="eastAsia"/>
              <w:color w:val="000000" w:themeColor="text1"/>
              <w:lang w:val="en-US" w:eastAsia="zh-CN"/>
            </w:rPr>
            <w:fldChar w:fldCharType="separate"/>
          </w:r>
          <w:r>
            <w:rPr>
              <w:rFonts w:hint="default"/>
              <w:color w:val="000000" w:themeColor="text1"/>
            </w:rPr>
            <w:t>4.1.9. 河流水文</w:t>
          </w:r>
          <w:r>
            <w:rPr>
              <w:color w:val="000000" w:themeColor="text1"/>
            </w:rPr>
            <w:tab/>
          </w:r>
          <w:r>
            <w:rPr>
              <w:color w:val="000000" w:themeColor="text1"/>
            </w:rPr>
            <w:fldChar w:fldCharType="begin"/>
          </w:r>
          <w:r>
            <w:rPr>
              <w:color w:val="000000" w:themeColor="text1"/>
            </w:rPr>
            <w:instrText xml:space="preserve"> PAGEREF _Toc4861 </w:instrText>
          </w:r>
          <w:r>
            <w:rPr>
              <w:color w:val="000000" w:themeColor="text1"/>
            </w:rPr>
            <w:fldChar w:fldCharType="separate"/>
          </w:r>
          <w:r>
            <w:rPr>
              <w:color w:val="000000" w:themeColor="text1"/>
            </w:rPr>
            <w:t>104</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_Toc24414 </w:instrText>
          </w:r>
          <w:r>
            <w:rPr>
              <w:rFonts w:hint="eastAsia"/>
              <w:color w:val="000000" w:themeColor="text1"/>
              <w:lang w:val="en-US" w:eastAsia="zh-CN"/>
            </w:rPr>
            <w:fldChar w:fldCharType="separate"/>
          </w:r>
          <w:r>
            <w:rPr>
              <w:rFonts w:hint="default"/>
              <w:color w:val="000000" w:themeColor="text1"/>
              <w:lang w:val="en-US" w:eastAsia="zh-CN"/>
            </w:rPr>
            <w:t xml:space="preserve">4.2. </w:t>
          </w:r>
          <w:r>
            <w:rPr>
              <w:rFonts w:hint="eastAsia"/>
              <w:color w:val="000000" w:themeColor="text1"/>
              <w:lang w:val="en-US" w:eastAsia="zh-CN"/>
            </w:rPr>
            <w:t>环境质量现状与评价</w:t>
          </w:r>
          <w:r>
            <w:rPr>
              <w:color w:val="000000" w:themeColor="text1"/>
            </w:rPr>
            <w:tab/>
          </w:r>
          <w:r>
            <w:rPr>
              <w:color w:val="000000" w:themeColor="text1"/>
            </w:rPr>
            <w:fldChar w:fldCharType="begin"/>
          </w:r>
          <w:r>
            <w:rPr>
              <w:color w:val="000000" w:themeColor="text1"/>
            </w:rPr>
            <w:instrText xml:space="preserve"> PAGEREF _Toc24414 </w:instrText>
          </w:r>
          <w:r>
            <w:rPr>
              <w:color w:val="000000" w:themeColor="text1"/>
            </w:rPr>
            <w:fldChar w:fldCharType="separate"/>
          </w:r>
          <w:r>
            <w:rPr>
              <w:color w:val="000000" w:themeColor="text1"/>
            </w:rPr>
            <w:t>104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_Toc30047 </w:instrText>
          </w:r>
          <w:r>
            <w:rPr>
              <w:rFonts w:hint="eastAsia"/>
              <w:color w:val="000000" w:themeColor="text1"/>
              <w:lang w:val="en-US" w:eastAsia="zh-CN"/>
            </w:rPr>
            <w:fldChar w:fldCharType="separate"/>
          </w:r>
          <w:r>
            <w:rPr>
              <w:rFonts w:hint="default"/>
              <w:color w:val="000000" w:themeColor="text1"/>
              <w:lang w:val="en-US" w:eastAsia="zh-CN"/>
            </w:rPr>
            <w:t xml:space="preserve">4.2.1. </w:t>
          </w:r>
          <w:r>
            <w:rPr>
              <w:rFonts w:hint="eastAsia"/>
              <w:color w:val="000000" w:themeColor="text1"/>
              <w:lang w:val="en-US" w:eastAsia="zh-CN"/>
            </w:rPr>
            <w:t>环境空气现状与评价</w:t>
          </w:r>
          <w:r>
            <w:rPr>
              <w:color w:val="000000" w:themeColor="text1"/>
            </w:rPr>
            <w:tab/>
          </w:r>
          <w:r>
            <w:rPr>
              <w:color w:val="000000" w:themeColor="text1"/>
            </w:rPr>
            <w:fldChar w:fldCharType="begin"/>
          </w:r>
          <w:r>
            <w:rPr>
              <w:color w:val="000000" w:themeColor="text1"/>
            </w:rPr>
            <w:instrText xml:space="preserve"> PAGEREF _Toc30047 </w:instrText>
          </w:r>
          <w:r>
            <w:rPr>
              <w:color w:val="000000" w:themeColor="text1"/>
            </w:rPr>
            <w:fldChar w:fldCharType="separate"/>
          </w:r>
          <w:r>
            <w:rPr>
              <w:color w:val="000000" w:themeColor="text1"/>
            </w:rPr>
            <w:t>104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_Toc7160 </w:instrText>
          </w:r>
          <w:r>
            <w:rPr>
              <w:rFonts w:hint="eastAsia"/>
              <w:color w:val="000000" w:themeColor="text1"/>
              <w:lang w:val="en-US" w:eastAsia="zh-CN"/>
            </w:rPr>
            <w:fldChar w:fldCharType="separate"/>
          </w:r>
          <w:r>
            <w:rPr>
              <w:rFonts w:hint="default"/>
              <w:color w:val="000000" w:themeColor="text1"/>
              <w:lang w:val="en-US" w:eastAsia="zh-CN"/>
            </w:rPr>
            <w:t xml:space="preserve">4.2.4. </w:t>
          </w:r>
          <w:r>
            <w:rPr>
              <w:rFonts w:hint="eastAsia"/>
              <w:color w:val="000000" w:themeColor="text1"/>
              <w:lang w:val="en-US" w:eastAsia="zh-CN"/>
            </w:rPr>
            <w:t>土壤</w:t>
          </w:r>
          <w:r>
            <w:rPr>
              <w:rFonts w:hint="eastAsia"/>
              <w:color w:val="000000" w:themeColor="text1"/>
            </w:rPr>
            <w:t>环境质量现状监测与评价</w:t>
          </w:r>
          <w:r>
            <w:rPr>
              <w:color w:val="000000" w:themeColor="text1"/>
            </w:rPr>
            <w:tab/>
          </w:r>
          <w:r>
            <w:rPr>
              <w:color w:val="000000" w:themeColor="text1"/>
            </w:rPr>
            <w:fldChar w:fldCharType="begin"/>
          </w:r>
          <w:r>
            <w:rPr>
              <w:color w:val="000000" w:themeColor="text1"/>
            </w:rPr>
            <w:instrText xml:space="preserve"> PAGEREF _Toc7160 </w:instrText>
          </w:r>
          <w:r>
            <w:rPr>
              <w:color w:val="000000" w:themeColor="text1"/>
            </w:rPr>
            <w:fldChar w:fldCharType="separate"/>
          </w:r>
          <w:r>
            <w:rPr>
              <w:color w:val="000000" w:themeColor="text1"/>
            </w:rPr>
            <w:t>118</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_Toc28939 </w:instrText>
          </w:r>
          <w:r>
            <w:rPr>
              <w:rFonts w:hint="eastAsia"/>
              <w:color w:val="000000" w:themeColor="text1"/>
              <w:lang w:val="en-US" w:eastAsia="zh-CN"/>
            </w:rPr>
            <w:fldChar w:fldCharType="separate"/>
          </w:r>
          <w:r>
            <w:rPr>
              <w:rFonts w:hint="default"/>
              <w:color w:val="000000" w:themeColor="text1"/>
              <w:lang w:val="en-US" w:eastAsia="zh-CN"/>
            </w:rPr>
            <w:t xml:space="preserve">4.3. </w:t>
          </w:r>
          <w:r>
            <w:rPr>
              <w:rFonts w:hint="eastAsia"/>
              <w:color w:val="000000" w:themeColor="text1"/>
              <w:lang w:val="en-US" w:eastAsia="zh-CN"/>
            </w:rPr>
            <w:t>生态现状调查与评价</w:t>
          </w:r>
          <w:r>
            <w:rPr>
              <w:color w:val="000000" w:themeColor="text1"/>
            </w:rPr>
            <w:tab/>
          </w:r>
          <w:r>
            <w:rPr>
              <w:color w:val="000000" w:themeColor="text1"/>
            </w:rPr>
            <w:fldChar w:fldCharType="begin"/>
          </w:r>
          <w:r>
            <w:rPr>
              <w:color w:val="000000" w:themeColor="text1"/>
            </w:rPr>
            <w:instrText xml:space="preserve"> PAGEREF _Toc28939 </w:instrText>
          </w:r>
          <w:r>
            <w:rPr>
              <w:color w:val="000000" w:themeColor="text1"/>
            </w:rPr>
            <w:fldChar w:fldCharType="separate"/>
          </w:r>
          <w:r>
            <w:rPr>
              <w:color w:val="000000" w:themeColor="text1"/>
            </w:rPr>
            <w:t>133</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_Toc2316 </w:instrText>
          </w:r>
          <w:r>
            <w:rPr>
              <w:rFonts w:hint="eastAsia"/>
              <w:color w:val="000000" w:themeColor="text1"/>
              <w:lang w:val="en-US" w:eastAsia="zh-CN"/>
            </w:rPr>
            <w:fldChar w:fldCharType="separate"/>
          </w:r>
          <w:r>
            <w:rPr>
              <w:rFonts w:hint="default"/>
              <w:color w:val="000000" w:themeColor="text1"/>
              <w:lang w:val="en-US" w:eastAsia="zh-CN"/>
            </w:rPr>
            <w:t xml:space="preserve">5. </w:t>
          </w:r>
          <w:r>
            <w:rPr>
              <w:rFonts w:hint="eastAsia"/>
              <w:color w:val="000000" w:themeColor="text1"/>
              <w:lang w:val="en-US" w:eastAsia="zh-CN"/>
            </w:rPr>
            <w:t>环境影响预测与评价</w:t>
          </w:r>
          <w:r>
            <w:rPr>
              <w:color w:val="000000" w:themeColor="text1"/>
            </w:rPr>
            <w:tab/>
          </w:r>
          <w:r>
            <w:rPr>
              <w:color w:val="000000" w:themeColor="text1"/>
            </w:rPr>
            <w:fldChar w:fldCharType="begin"/>
          </w:r>
          <w:r>
            <w:rPr>
              <w:color w:val="000000" w:themeColor="text1"/>
            </w:rPr>
            <w:instrText xml:space="preserve"> PAGEREF _Toc2316 </w:instrText>
          </w:r>
          <w:r>
            <w:rPr>
              <w:color w:val="000000" w:themeColor="text1"/>
            </w:rPr>
            <w:fldChar w:fldCharType="separate"/>
          </w:r>
          <w:r>
            <w:rPr>
              <w:color w:val="000000" w:themeColor="text1"/>
            </w:rPr>
            <w:t>137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_Toc30712 </w:instrText>
          </w:r>
          <w:r>
            <w:rPr>
              <w:rFonts w:hint="eastAsia"/>
              <w:color w:val="000000" w:themeColor="text1"/>
              <w:lang w:val="en-US" w:eastAsia="zh-CN"/>
            </w:rPr>
            <w:fldChar w:fldCharType="separate"/>
          </w:r>
          <w:r>
            <w:rPr>
              <w:rFonts w:hint="default"/>
              <w:color w:val="000000" w:themeColor="text1"/>
              <w:lang w:eastAsia="zh-CN"/>
            </w:rPr>
            <w:t xml:space="preserve">5.1. </w:t>
          </w:r>
          <w:r>
            <w:rPr>
              <w:rFonts w:hint="eastAsia"/>
              <w:color w:val="000000" w:themeColor="text1"/>
              <w:lang w:val="en-US" w:eastAsia="zh-CN"/>
            </w:rPr>
            <w:t>施工</w:t>
          </w:r>
          <w:r>
            <w:rPr>
              <w:rFonts w:hint="eastAsia"/>
              <w:color w:val="000000" w:themeColor="text1"/>
            </w:rPr>
            <w:t>期</w:t>
          </w:r>
          <w:r>
            <w:rPr>
              <w:color w:val="000000" w:themeColor="text1"/>
            </w:rPr>
            <w:t>环境影响</w:t>
          </w:r>
          <w:r>
            <w:rPr>
              <w:rFonts w:hint="eastAsia"/>
              <w:color w:val="000000" w:themeColor="text1"/>
              <w:lang w:val="en-US" w:eastAsia="zh-CN"/>
            </w:rPr>
            <w:t>预测与评价</w:t>
          </w:r>
          <w:r>
            <w:rPr>
              <w:color w:val="000000" w:themeColor="text1"/>
            </w:rPr>
            <w:tab/>
          </w:r>
          <w:r>
            <w:rPr>
              <w:color w:val="000000" w:themeColor="text1"/>
            </w:rPr>
            <w:fldChar w:fldCharType="begin"/>
          </w:r>
          <w:r>
            <w:rPr>
              <w:color w:val="000000" w:themeColor="text1"/>
            </w:rPr>
            <w:instrText xml:space="preserve"> PAGEREF _Toc30712 </w:instrText>
          </w:r>
          <w:r>
            <w:rPr>
              <w:color w:val="000000" w:themeColor="text1"/>
            </w:rPr>
            <w:fldChar w:fldCharType="separate"/>
          </w:r>
          <w:r>
            <w:rPr>
              <w:color w:val="000000" w:themeColor="text1"/>
            </w:rPr>
            <w:t>137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_Toc19993 </w:instrText>
          </w:r>
          <w:r>
            <w:rPr>
              <w:rFonts w:hint="eastAsia"/>
              <w:color w:val="000000" w:themeColor="text1"/>
              <w:lang w:val="en-US" w:eastAsia="zh-CN"/>
            </w:rPr>
            <w:fldChar w:fldCharType="separate"/>
          </w:r>
          <w:r>
            <w:rPr>
              <w:rFonts w:hint="default"/>
              <w:color w:val="000000" w:themeColor="text1"/>
            </w:rPr>
            <w:t>5.1.1. 大气环境</w:t>
          </w:r>
          <w:r>
            <w:rPr>
              <w:color w:val="000000" w:themeColor="text1"/>
            </w:rPr>
            <w:tab/>
          </w:r>
          <w:r>
            <w:rPr>
              <w:color w:val="000000" w:themeColor="text1"/>
            </w:rPr>
            <w:fldChar w:fldCharType="begin"/>
          </w:r>
          <w:r>
            <w:rPr>
              <w:color w:val="000000" w:themeColor="text1"/>
            </w:rPr>
            <w:instrText xml:space="preserve"> PAGEREF _Toc19993 </w:instrText>
          </w:r>
          <w:r>
            <w:rPr>
              <w:color w:val="000000" w:themeColor="text1"/>
            </w:rPr>
            <w:fldChar w:fldCharType="separate"/>
          </w:r>
          <w:r>
            <w:rPr>
              <w:color w:val="000000" w:themeColor="text1"/>
            </w:rPr>
            <w:t>137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_Toc19446 </w:instrText>
          </w:r>
          <w:r>
            <w:rPr>
              <w:rFonts w:hint="eastAsia"/>
              <w:color w:val="000000" w:themeColor="text1"/>
              <w:lang w:val="en-US" w:eastAsia="zh-CN"/>
            </w:rPr>
            <w:fldChar w:fldCharType="separate"/>
          </w:r>
          <w:r>
            <w:rPr>
              <w:rFonts w:hint="default"/>
              <w:color w:val="000000" w:themeColor="text1"/>
              <w:lang w:val="en-US" w:eastAsia="zh-CN"/>
            </w:rPr>
            <w:t>5.1.2. 声环境</w:t>
          </w:r>
          <w:r>
            <w:rPr>
              <w:color w:val="000000" w:themeColor="text1"/>
            </w:rPr>
            <w:tab/>
          </w:r>
          <w:r>
            <w:rPr>
              <w:color w:val="000000" w:themeColor="text1"/>
            </w:rPr>
            <w:fldChar w:fldCharType="begin"/>
          </w:r>
          <w:r>
            <w:rPr>
              <w:color w:val="000000" w:themeColor="text1"/>
            </w:rPr>
            <w:instrText xml:space="preserve"> PAGEREF _Toc19446 </w:instrText>
          </w:r>
          <w:r>
            <w:rPr>
              <w:color w:val="000000" w:themeColor="text1"/>
            </w:rPr>
            <w:fldChar w:fldCharType="separate"/>
          </w:r>
          <w:r>
            <w:rPr>
              <w:color w:val="000000" w:themeColor="text1"/>
            </w:rPr>
            <w:t>138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_Toc22226 </w:instrText>
          </w:r>
          <w:r>
            <w:rPr>
              <w:rFonts w:hint="eastAsia"/>
              <w:color w:val="000000" w:themeColor="text1"/>
              <w:lang w:val="en-US" w:eastAsia="zh-CN"/>
            </w:rPr>
            <w:fldChar w:fldCharType="separate"/>
          </w:r>
          <w:r>
            <w:rPr>
              <w:rFonts w:hint="default"/>
              <w:color w:val="000000" w:themeColor="text1"/>
              <w:lang w:val="en-US" w:eastAsia="zh-CN"/>
            </w:rPr>
            <w:t xml:space="preserve">5.1.3. </w:t>
          </w:r>
          <w:r>
            <w:rPr>
              <w:rFonts w:hint="eastAsia"/>
              <w:color w:val="000000" w:themeColor="text1"/>
              <w:lang w:val="en-US" w:eastAsia="zh-CN"/>
            </w:rPr>
            <w:t>水环境影响</w:t>
          </w:r>
          <w:r>
            <w:rPr>
              <w:color w:val="000000" w:themeColor="text1"/>
            </w:rPr>
            <w:tab/>
          </w:r>
          <w:r>
            <w:rPr>
              <w:color w:val="000000" w:themeColor="text1"/>
            </w:rPr>
            <w:fldChar w:fldCharType="begin"/>
          </w:r>
          <w:r>
            <w:rPr>
              <w:color w:val="000000" w:themeColor="text1"/>
            </w:rPr>
            <w:instrText xml:space="preserve"> PAGEREF _Toc22226 </w:instrText>
          </w:r>
          <w:r>
            <w:rPr>
              <w:color w:val="000000" w:themeColor="text1"/>
            </w:rPr>
            <w:fldChar w:fldCharType="separate"/>
          </w:r>
          <w:r>
            <w:rPr>
              <w:color w:val="000000" w:themeColor="text1"/>
            </w:rPr>
            <w:t>139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_Toc22873 </w:instrText>
          </w:r>
          <w:r>
            <w:rPr>
              <w:rFonts w:hint="eastAsia"/>
              <w:color w:val="000000" w:themeColor="text1"/>
              <w:lang w:val="en-US" w:eastAsia="zh-CN"/>
            </w:rPr>
            <w:fldChar w:fldCharType="separate"/>
          </w:r>
          <w:r>
            <w:rPr>
              <w:rFonts w:hint="default"/>
              <w:color w:val="000000" w:themeColor="text1"/>
              <w:lang w:val="en-US" w:eastAsia="zh-CN"/>
            </w:rPr>
            <w:t xml:space="preserve">5.1.4. </w:t>
          </w:r>
          <w:r>
            <w:rPr>
              <w:rFonts w:hint="eastAsia"/>
              <w:color w:val="000000" w:themeColor="text1"/>
              <w:lang w:val="en-US" w:eastAsia="zh-CN"/>
            </w:rPr>
            <w:t>固体废弃物</w:t>
          </w:r>
          <w:r>
            <w:rPr>
              <w:color w:val="000000" w:themeColor="text1"/>
            </w:rPr>
            <w:tab/>
          </w:r>
          <w:r>
            <w:rPr>
              <w:color w:val="000000" w:themeColor="text1"/>
            </w:rPr>
            <w:fldChar w:fldCharType="begin"/>
          </w:r>
          <w:r>
            <w:rPr>
              <w:color w:val="000000" w:themeColor="text1"/>
            </w:rPr>
            <w:instrText xml:space="preserve"> PAGEREF _Toc22873 </w:instrText>
          </w:r>
          <w:r>
            <w:rPr>
              <w:color w:val="000000" w:themeColor="text1"/>
            </w:rPr>
            <w:fldChar w:fldCharType="separate"/>
          </w:r>
          <w:r>
            <w:rPr>
              <w:color w:val="000000" w:themeColor="text1"/>
            </w:rPr>
            <w:t>139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_Toc5921 </w:instrText>
          </w:r>
          <w:r>
            <w:rPr>
              <w:rFonts w:hint="eastAsia"/>
              <w:color w:val="000000" w:themeColor="text1"/>
              <w:lang w:val="en-US" w:eastAsia="zh-CN"/>
            </w:rPr>
            <w:fldChar w:fldCharType="separate"/>
          </w:r>
          <w:r>
            <w:rPr>
              <w:rFonts w:hint="default"/>
              <w:color w:val="000000" w:themeColor="text1"/>
              <w:lang w:val="en-US" w:eastAsia="zh-CN"/>
            </w:rPr>
            <w:t xml:space="preserve">5.1.5. </w:t>
          </w:r>
          <w:r>
            <w:rPr>
              <w:rFonts w:hint="eastAsia"/>
              <w:color w:val="000000" w:themeColor="text1"/>
              <w:lang w:val="en-US" w:eastAsia="zh-CN"/>
            </w:rPr>
            <w:t>土壤环境</w:t>
          </w:r>
          <w:r>
            <w:rPr>
              <w:color w:val="000000" w:themeColor="text1"/>
            </w:rPr>
            <w:tab/>
          </w:r>
          <w:r>
            <w:rPr>
              <w:color w:val="000000" w:themeColor="text1"/>
            </w:rPr>
            <w:fldChar w:fldCharType="begin"/>
          </w:r>
          <w:r>
            <w:rPr>
              <w:color w:val="000000" w:themeColor="text1"/>
            </w:rPr>
            <w:instrText xml:space="preserve"> PAGEREF _Toc5921 </w:instrText>
          </w:r>
          <w:r>
            <w:rPr>
              <w:color w:val="000000" w:themeColor="text1"/>
            </w:rPr>
            <w:fldChar w:fldCharType="separate"/>
          </w:r>
          <w:r>
            <w:rPr>
              <w:color w:val="000000" w:themeColor="text1"/>
            </w:rPr>
            <w:t>140</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_Toc1591 </w:instrText>
          </w:r>
          <w:r>
            <w:rPr>
              <w:rFonts w:hint="eastAsia"/>
              <w:color w:val="000000" w:themeColor="text1"/>
              <w:lang w:val="en-US" w:eastAsia="zh-CN"/>
            </w:rPr>
            <w:fldChar w:fldCharType="separate"/>
          </w:r>
          <w:r>
            <w:rPr>
              <w:rFonts w:hint="default"/>
              <w:color w:val="000000" w:themeColor="text1"/>
              <w:lang w:val="en-US" w:eastAsia="zh-CN"/>
            </w:rPr>
            <w:t xml:space="preserve">5.1.6. </w:t>
          </w:r>
          <w:r>
            <w:rPr>
              <w:rFonts w:hint="eastAsia"/>
              <w:color w:val="000000" w:themeColor="text1"/>
              <w:lang w:val="en-US" w:eastAsia="zh-CN"/>
            </w:rPr>
            <w:t>生态影响</w:t>
          </w:r>
          <w:r>
            <w:rPr>
              <w:color w:val="000000" w:themeColor="text1"/>
            </w:rPr>
            <w:tab/>
          </w:r>
          <w:r>
            <w:rPr>
              <w:color w:val="000000" w:themeColor="text1"/>
            </w:rPr>
            <w:fldChar w:fldCharType="begin"/>
          </w:r>
          <w:r>
            <w:rPr>
              <w:color w:val="000000" w:themeColor="text1"/>
            </w:rPr>
            <w:instrText xml:space="preserve"> PAGEREF _Toc1591 </w:instrText>
          </w:r>
          <w:r>
            <w:rPr>
              <w:color w:val="000000" w:themeColor="text1"/>
            </w:rPr>
            <w:fldChar w:fldCharType="separate"/>
          </w:r>
          <w:r>
            <w:rPr>
              <w:color w:val="000000" w:themeColor="text1"/>
            </w:rPr>
            <w:t>140</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_Toc13032 </w:instrText>
          </w:r>
          <w:r>
            <w:rPr>
              <w:rFonts w:hint="eastAsia"/>
              <w:color w:val="000000" w:themeColor="text1"/>
              <w:lang w:val="en-US" w:eastAsia="zh-CN"/>
            </w:rPr>
            <w:fldChar w:fldCharType="separate"/>
          </w:r>
          <w:r>
            <w:rPr>
              <w:rFonts w:hint="default"/>
              <w:color w:val="000000" w:themeColor="text1"/>
              <w:lang w:eastAsia="zh-CN"/>
            </w:rPr>
            <w:t xml:space="preserve">5.2. </w:t>
          </w:r>
          <w:r>
            <w:rPr>
              <w:rFonts w:hint="eastAsia"/>
              <w:color w:val="000000" w:themeColor="text1"/>
              <w:lang w:val="en-US" w:eastAsia="zh-CN"/>
            </w:rPr>
            <w:t>运行</w:t>
          </w:r>
          <w:r>
            <w:rPr>
              <w:rFonts w:hint="eastAsia"/>
              <w:color w:val="000000" w:themeColor="text1"/>
            </w:rPr>
            <w:t>期</w:t>
          </w:r>
          <w:r>
            <w:rPr>
              <w:color w:val="000000" w:themeColor="text1"/>
            </w:rPr>
            <w:t>环境影响</w:t>
          </w:r>
          <w:r>
            <w:rPr>
              <w:rFonts w:hint="eastAsia"/>
              <w:color w:val="000000" w:themeColor="text1"/>
              <w:lang w:val="en-US" w:eastAsia="zh-CN"/>
            </w:rPr>
            <w:t>预测与评价</w:t>
          </w:r>
          <w:r>
            <w:rPr>
              <w:color w:val="000000" w:themeColor="text1"/>
            </w:rPr>
            <w:tab/>
          </w:r>
          <w:r>
            <w:rPr>
              <w:color w:val="000000" w:themeColor="text1"/>
            </w:rPr>
            <w:fldChar w:fldCharType="begin"/>
          </w:r>
          <w:r>
            <w:rPr>
              <w:color w:val="000000" w:themeColor="text1"/>
            </w:rPr>
            <w:instrText xml:space="preserve"> PAGEREF _Toc13032 </w:instrText>
          </w:r>
          <w:r>
            <w:rPr>
              <w:color w:val="000000" w:themeColor="text1"/>
            </w:rPr>
            <w:fldChar w:fldCharType="separate"/>
          </w:r>
          <w:r>
            <w:rPr>
              <w:color w:val="000000" w:themeColor="text1"/>
            </w:rPr>
            <w:t>141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_Toc13227 </w:instrText>
          </w:r>
          <w:r>
            <w:rPr>
              <w:rFonts w:hint="eastAsia"/>
              <w:color w:val="000000" w:themeColor="text1"/>
              <w:lang w:val="en-US" w:eastAsia="zh-CN"/>
            </w:rPr>
            <w:fldChar w:fldCharType="separate"/>
          </w:r>
          <w:r>
            <w:rPr>
              <w:rFonts w:hint="default"/>
              <w:color w:val="000000" w:themeColor="text1"/>
              <w:lang w:val="en-US" w:eastAsia="zh-CN"/>
            </w:rPr>
            <w:t xml:space="preserve">5.2.1. </w:t>
          </w:r>
          <w:r>
            <w:rPr>
              <w:rFonts w:hint="eastAsia"/>
              <w:color w:val="000000" w:themeColor="text1"/>
              <w:lang w:val="en-US" w:eastAsia="zh-CN"/>
            </w:rPr>
            <w:t>环境空气</w:t>
          </w:r>
          <w:r>
            <w:rPr>
              <w:color w:val="000000" w:themeColor="text1"/>
            </w:rPr>
            <w:tab/>
          </w:r>
          <w:r>
            <w:rPr>
              <w:color w:val="000000" w:themeColor="text1"/>
            </w:rPr>
            <w:fldChar w:fldCharType="begin"/>
          </w:r>
          <w:r>
            <w:rPr>
              <w:color w:val="000000" w:themeColor="text1"/>
            </w:rPr>
            <w:instrText xml:space="preserve"> PAGEREF _Toc13227 </w:instrText>
          </w:r>
          <w:r>
            <w:rPr>
              <w:color w:val="000000" w:themeColor="text1"/>
            </w:rPr>
            <w:fldChar w:fldCharType="separate"/>
          </w:r>
          <w:r>
            <w:rPr>
              <w:color w:val="000000" w:themeColor="text1"/>
            </w:rPr>
            <w:t>141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_Toc9454 </w:instrText>
          </w:r>
          <w:r>
            <w:rPr>
              <w:rFonts w:hint="eastAsia"/>
              <w:color w:val="000000" w:themeColor="text1"/>
              <w:lang w:val="en-US" w:eastAsia="zh-CN"/>
            </w:rPr>
            <w:fldChar w:fldCharType="separate"/>
          </w:r>
          <w:r>
            <w:rPr>
              <w:rFonts w:hint="default"/>
              <w:color w:val="000000" w:themeColor="text1"/>
              <w:lang w:val="en-US" w:eastAsia="zh-CN"/>
            </w:rPr>
            <w:t xml:space="preserve">5.2.2. </w:t>
          </w:r>
          <w:r>
            <w:rPr>
              <w:rFonts w:hint="eastAsia"/>
              <w:color w:val="000000" w:themeColor="text1"/>
              <w:lang w:val="en-US" w:eastAsia="zh-CN"/>
            </w:rPr>
            <w:t>地表水环境影响分析</w:t>
          </w:r>
          <w:r>
            <w:rPr>
              <w:color w:val="000000" w:themeColor="text1"/>
            </w:rPr>
            <w:tab/>
          </w:r>
          <w:r>
            <w:rPr>
              <w:color w:val="000000" w:themeColor="text1"/>
            </w:rPr>
            <w:fldChar w:fldCharType="begin"/>
          </w:r>
          <w:r>
            <w:rPr>
              <w:color w:val="000000" w:themeColor="text1"/>
            </w:rPr>
            <w:instrText xml:space="preserve"> PAGEREF _Toc9454 </w:instrText>
          </w:r>
          <w:r>
            <w:rPr>
              <w:color w:val="000000" w:themeColor="text1"/>
            </w:rPr>
            <w:fldChar w:fldCharType="separate"/>
          </w:r>
          <w:r>
            <w:rPr>
              <w:color w:val="000000" w:themeColor="text1"/>
            </w:rPr>
            <w:t>147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_Toc4471 </w:instrText>
          </w:r>
          <w:r>
            <w:rPr>
              <w:rFonts w:hint="eastAsia"/>
              <w:color w:val="000000" w:themeColor="text1"/>
              <w:lang w:val="en-US" w:eastAsia="zh-CN"/>
            </w:rPr>
            <w:fldChar w:fldCharType="separate"/>
          </w:r>
          <w:r>
            <w:rPr>
              <w:rFonts w:hint="default"/>
              <w:color w:val="000000" w:themeColor="text1"/>
              <w:lang w:val="en-US" w:eastAsia="zh-CN"/>
            </w:rPr>
            <w:t xml:space="preserve">5.2.3. </w:t>
          </w:r>
          <w:r>
            <w:rPr>
              <w:rFonts w:hint="eastAsia"/>
              <w:color w:val="000000" w:themeColor="text1"/>
              <w:lang w:val="en-US" w:eastAsia="zh-CN"/>
            </w:rPr>
            <w:t>噪声环境影响分析</w:t>
          </w:r>
          <w:r>
            <w:rPr>
              <w:color w:val="000000" w:themeColor="text1"/>
            </w:rPr>
            <w:tab/>
          </w:r>
          <w:r>
            <w:rPr>
              <w:color w:val="000000" w:themeColor="text1"/>
            </w:rPr>
            <w:fldChar w:fldCharType="begin"/>
          </w:r>
          <w:r>
            <w:rPr>
              <w:color w:val="000000" w:themeColor="text1"/>
            </w:rPr>
            <w:instrText xml:space="preserve"> PAGEREF _Toc4471 </w:instrText>
          </w:r>
          <w:r>
            <w:rPr>
              <w:color w:val="000000" w:themeColor="text1"/>
            </w:rPr>
            <w:fldChar w:fldCharType="separate"/>
          </w:r>
          <w:r>
            <w:rPr>
              <w:color w:val="000000" w:themeColor="text1"/>
            </w:rPr>
            <w:t>150</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_Toc10946 </w:instrText>
          </w:r>
          <w:r>
            <w:rPr>
              <w:rFonts w:hint="eastAsia"/>
              <w:color w:val="000000" w:themeColor="text1"/>
              <w:lang w:val="en-US" w:eastAsia="zh-CN"/>
            </w:rPr>
            <w:fldChar w:fldCharType="separate"/>
          </w:r>
          <w:r>
            <w:rPr>
              <w:rFonts w:hint="default"/>
              <w:color w:val="000000" w:themeColor="text1"/>
              <w:lang w:val="en-US" w:eastAsia="zh-CN"/>
            </w:rPr>
            <w:t>5.2.4. 地下水环境影响分析</w:t>
          </w:r>
          <w:r>
            <w:rPr>
              <w:color w:val="000000" w:themeColor="text1"/>
            </w:rPr>
            <w:tab/>
          </w:r>
          <w:r>
            <w:rPr>
              <w:color w:val="000000" w:themeColor="text1"/>
            </w:rPr>
            <w:fldChar w:fldCharType="begin"/>
          </w:r>
          <w:r>
            <w:rPr>
              <w:color w:val="000000" w:themeColor="text1"/>
            </w:rPr>
            <w:instrText xml:space="preserve"> PAGEREF _Toc10946 </w:instrText>
          </w:r>
          <w:r>
            <w:rPr>
              <w:color w:val="000000" w:themeColor="text1"/>
            </w:rPr>
            <w:fldChar w:fldCharType="separate"/>
          </w:r>
          <w:r>
            <w:rPr>
              <w:color w:val="000000" w:themeColor="text1"/>
            </w:rPr>
            <w:t>154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rFonts w:hint="eastAsia"/>
              <w:color w:val="000000" w:themeColor="text1"/>
              <w:lang w:val="en-US" w:eastAsia="zh-CN"/>
            </w:rPr>
            <w:sectPr>
              <w:footerReference r:id="rId8" w:type="default"/>
              <w:pgSz w:w="11906" w:h="16838"/>
              <w:pgMar w:top="1134" w:right="1418" w:bottom="1134" w:left="1418" w:header="850" w:footer="567" w:gutter="0"/>
              <w:pgBorders>
                <w:top w:val="none" w:sz="0" w:space="0"/>
                <w:left w:val="none" w:sz="0" w:space="0"/>
                <w:bottom w:val="none" w:sz="0" w:space="0"/>
                <w:right w:val="none" w:sz="0" w:space="0"/>
              </w:pgBorders>
              <w:pgNumType w:start="1"/>
              <w:cols w:space="720" w:num="1"/>
              <w:docGrid w:linePitch="326" w:charSpace="0"/>
            </w:sectPr>
          </w:pP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_Toc12201 </w:instrText>
          </w:r>
          <w:r>
            <w:rPr>
              <w:rFonts w:hint="eastAsia"/>
              <w:color w:val="000000" w:themeColor="text1"/>
              <w:lang w:val="en-US" w:eastAsia="zh-CN"/>
            </w:rPr>
            <w:fldChar w:fldCharType="separate"/>
          </w:r>
          <w:r>
            <w:rPr>
              <w:rFonts w:hint="default"/>
              <w:color w:val="000000" w:themeColor="text1"/>
              <w:lang w:val="en-US" w:eastAsia="zh-CN"/>
            </w:rPr>
            <w:t>5.2.5. 固体废物影响分析</w:t>
          </w:r>
          <w:r>
            <w:rPr>
              <w:color w:val="000000" w:themeColor="text1"/>
            </w:rPr>
            <w:tab/>
          </w:r>
          <w:r>
            <w:rPr>
              <w:color w:val="000000" w:themeColor="text1"/>
            </w:rPr>
            <w:fldChar w:fldCharType="begin"/>
          </w:r>
          <w:r>
            <w:rPr>
              <w:color w:val="000000" w:themeColor="text1"/>
            </w:rPr>
            <w:instrText xml:space="preserve"> PAGEREF _Toc12201 </w:instrText>
          </w:r>
          <w:r>
            <w:rPr>
              <w:color w:val="000000" w:themeColor="text1"/>
            </w:rPr>
            <w:fldChar w:fldCharType="separate"/>
          </w:r>
          <w:r>
            <w:rPr>
              <w:color w:val="000000" w:themeColor="text1"/>
            </w:rPr>
            <w:t>159</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_Toc32624 </w:instrText>
          </w:r>
          <w:r>
            <w:rPr>
              <w:rFonts w:hint="eastAsia"/>
              <w:color w:val="000000" w:themeColor="text1"/>
              <w:lang w:val="en-US" w:eastAsia="zh-CN"/>
            </w:rPr>
            <w:fldChar w:fldCharType="separate"/>
          </w:r>
          <w:r>
            <w:rPr>
              <w:rFonts w:hint="default"/>
              <w:color w:val="000000" w:themeColor="text1"/>
              <w:lang w:val="en-US" w:eastAsia="zh-CN"/>
            </w:rPr>
            <w:t xml:space="preserve">5.2.6. </w:t>
          </w:r>
          <w:r>
            <w:rPr>
              <w:rFonts w:hint="eastAsia"/>
              <w:color w:val="000000" w:themeColor="text1"/>
              <w:lang w:val="en-US" w:eastAsia="zh-CN"/>
            </w:rPr>
            <w:t>运营期土壤环境影响</w:t>
          </w:r>
          <w:r>
            <w:rPr>
              <w:color w:val="000000" w:themeColor="text1"/>
            </w:rPr>
            <w:tab/>
          </w:r>
          <w:r>
            <w:rPr>
              <w:color w:val="000000" w:themeColor="text1"/>
            </w:rPr>
            <w:fldChar w:fldCharType="begin"/>
          </w:r>
          <w:r>
            <w:rPr>
              <w:color w:val="000000" w:themeColor="text1"/>
            </w:rPr>
            <w:instrText xml:space="preserve"> PAGEREF _Toc32624 </w:instrText>
          </w:r>
          <w:r>
            <w:rPr>
              <w:color w:val="000000" w:themeColor="text1"/>
            </w:rPr>
            <w:fldChar w:fldCharType="separate"/>
          </w:r>
          <w:r>
            <w:rPr>
              <w:color w:val="000000" w:themeColor="text1"/>
            </w:rPr>
            <w:t>163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_Toc7328 </w:instrText>
          </w:r>
          <w:r>
            <w:rPr>
              <w:rFonts w:hint="eastAsia"/>
              <w:color w:val="000000" w:themeColor="text1"/>
              <w:lang w:val="en-US" w:eastAsia="zh-CN"/>
            </w:rPr>
            <w:fldChar w:fldCharType="separate"/>
          </w:r>
          <w:r>
            <w:rPr>
              <w:rFonts w:hint="default"/>
              <w:color w:val="000000" w:themeColor="text1"/>
              <w:lang w:val="en-US" w:eastAsia="zh-CN"/>
            </w:rPr>
            <w:t>5.2.7. 运营期生态环境影响</w:t>
          </w:r>
          <w:r>
            <w:rPr>
              <w:color w:val="000000" w:themeColor="text1"/>
            </w:rPr>
            <w:tab/>
          </w:r>
          <w:r>
            <w:rPr>
              <w:color w:val="000000" w:themeColor="text1"/>
            </w:rPr>
            <w:fldChar w:fldCharType="begin"/>
          </w:r>
          <w:r>
            <w:rPr>
              <w:color w:val="000000" w:themeColor="text1"/>
            </w:rPr>
            <w:instrText xml:space="preserve"> PAGEREF _Toc7328 </w:instrText>
          </w:r>
          <w:r>
            <w:rPr>
              <w:color w:val="000000" w:themeColor="text1"/>
            </w:rPr>
            <w:fldChar w:fldCharType="separate"/>
          </w:r>
          <w:r>
            <w:rPr>
              <w:color w:val="000000" w:themeColor="text1"/>
            </w:rPr>
            <w:t>166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_Toc5719 </w:instrText>
          </w:r>
          <w:r>
            <w:rPr>
              <w:rFonts w:hint="eastAsia"/>
              <w:color w:val="000000" w:themeColor="text1"/>
              <w:lang w:val="en-US" w:eastAsia="zh-CN"/>
            </w:rPr>
            <w:fldChar w:fldCharType="separate"/>
          </w:r>
          <w:r>
            <w:rPr>
              <w:rFonts w:hint="default"/>
              <w:color w:val="000000" w:themeColor="text1"/>
              <w:lang w:val="en-US" w:eastAsia="zh-CN"/>
            </w:rPr>
            <w:t>5.2.8. 环境风险评价</w:t>
          </w:r>
          <w:r>
            <w:rPr>
              <w:color w:val="000000" w:themeColor="text1"/>
            </w:rPr>
            <w:tab/>
          </w:r>
          <w:r>
            <w:rPr>
              <w:color w:val="000000" w:themeColor="text1"/>
            </w:rPr>
            <w:fldChar w:fldCharType="begin"/>
          </w:r>
          <w:r>
            <w:rPr>
              <w:color w:val="000000" w:themeColor="text1"/>
            </w:rPr>
            <w:instrText xml:space="preserve"> PAGEREF _Toc5719 </w:instrText>
          </w:r>
          <w:r>
            <w:rPr>
              <w:color w:val="000000" w:themeColor="text1"/>
            </w:rPr>
            <w:fldChar w:fldCharType="separate"/>
          </w:r>
          <w:r>
            <w:rPr>
              <w:color w:val="000000" w:themeColor="text1"/>
            </w:rPr>
            <w:t>171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_Toc12056 </w:instrText>
          </w:r>
          <w:r>
            <w:rPr>
              <w:rFonts w:hint="eastAsia"/>
              <w:color w:val="000000" w:themeColor="text1"/>
              <w:lang w:val="en-US" w:eastAsia="zh-CN"/>
            </w:rPr>
            <w:fldChar w:fldCharType="separate"/>
          </w:r>
          <w:r>
            <w:rPr>
              <w:rFonts w:hint="default"/>
              <w:color w:val="000000" w:themeColor="text1"/>
            </w:rPr>
            <w:t>5.3. 退役期生态环境影响</w:t>
          </w:r>
          <w:r>
            <w:rPr>
              <w:color w:val="000000" w:themeColor="text1"/>
            </w:rPr>
            <w:tab/>
          </w:r>
          <w:r>
            <w:rPr>
              <w:color w:val="000000" w:themeColor="text1"/>
            </w:rPr>
            <w:fldChar w:fldCharType="begin"/>
          </w:r>
          <w:r>
            <w:rPr>
              <w:color w:val="000000" w:themeColor="text1"/>
            </w:rPr>
            <w:instrText xml:space="preserve"> PAGEREF _Toc12056 </w:instrText>
          </w:r>
          <w:r>
            <w:rPr>
              <w:color w:val="000000" w:themeColor="text1"/>
            </w:rPr>
            <w:fldChar w:fldCharType="separate"/>
          </w:r>
          <w:r>
            <w:rPr>
              <w:color w:val="000000" w:themeColor="text1"/>
            </w:rPr>
            <w:t>178</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_Toc5714 </w:instrText>
          </w:r>
          <w:r>
            <w:rPr>
              <w:rFonts w:hint="eastAsia"/>
              <w:color w:val="000000" w:themeColor="text1"/>
              <w:lang w:val="en-US" w:eastAsia="zh-CN"/>
            </w:rPr>
            <w:fldChar w:fldCharType="separate"/>
          </w:r>
          <w:r>
            <w:rPr>
              <w:rFonts w:hint="default"/>
              <w:color w:val="000000" w:themeColor="text1"/>
              <w:lang w:val="en-US" w:eastAsia="zh-CN"/>
            </w:rPr>
            <w:t xml:space="preserve">6. </w:t>
          </w:r>
          <w:r>
            <w:rPr>
              <w:rFonts w:hint="eastAsia"/>
              <w:color w:val="000000" w:themeColor="text1"/>
              <w:lang w:val="en-US" w:eastAsia="zh-CN"/>
            </w:rPr>
            <w:t>环境保护措施及其可行性分析</w:t>
          </w:r>
          <w:r>
            <w:rPr>
              <w:color w:val="000000" w:themeColor="text1"/>
            </w:rPr>
            <w:tab/>
          </w:r>
          <w:r>
            <w:rPr>
              <w:color w:val="000000" w:themeColor="text1"/>
            </w:rPr>
            <w:fldChar w:fldCharType="begin"/>
          </w:r>
          <w:r>
            <w:rPr>
              <w:color w:val="000000" w:themeColor="text1"/>
            </w:rPr>
            <w:instrText xml:space="preserve"> PAGEREF _Toc5714 </w:instrText>
          </w:r>
          <w:r>
            <w:rPr>
              <w:color w:val="000000" w:themeColor="text1"/>
            </w:rPr>
            <w:fldChar w:fldCharType="separate"/>
          </w:r>
          <w:r>
            <w:rPr>
              <w:color w:val="000000" w:themeColor="text1"/>
            </w:rPr>
            <w:t>181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_Toc2719 </w:instrText>
          </w:r>
          <w:r>
            <w:rPr>
              <w:rFonts w:hint="eastAsia"/>
              <w:color w:val="000000" w:themeColor="text1"/>
              <w:lang w:val="en-US" w:eastAsia="zh-CN"/>
            </w:rPr>
            <w:fldChar w:fldCharType="separate"/>
          </w:r>
          <w:r>
            <w:rPr>
              <w:rFonts w:hint="default"/>
              <w:color w:val="000000" w:themeColor="text1"/>
            </w:rPr>
            <w:t xml:space="preserve">6.1. </w:t>
          </w:r>
          <w:r>
            <w:rPr>
              <w:rFonts w:hint="eastAsia"/>
              <w:color w:val="000000" w:themeColor="text1"/>
            </w:rPr>
            <w:t>施工期环保措施可行性</w:t>
          </w:r>
          <w:r>
            <w:rPr>
              <w:color w:val="000000" w:themeColor="text1"/>
            </w:rPr>
            <w:tab/>
          </w:r>
          <w:r>
            <w:rPr>
              <w:color w:val="000000" w:themeColor="text1"/>
            </w:rPr>
            <w:fldChar w:fldCharType="begin"/>
          </w:r>
          <w:r>
            <w:rPr>
              <w:color w:val="000000" w:themeColor="text1"/>
            </w:rPr>
            <w:instrText xml:space="preserve"> PAGEREF _Toc2719 </w:instrText>
          </w:r>
          <w:r>
            <w:rPr>
              <w:color w:val="000000" w:themeColor="text1"/>
            </w:rPr>
            <w:fldChar w:fldCharType="separate"/>
          </w:r>
          <w:r>
            <w:rPr>
              <w:color w:val="000000" w:themeColor="text1"/>
            </w:rPr>
            <w:t>181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_Toc21642 </w:instrText>
          </w:r>
          <w:r>
            <w:rPr>
              <w:rFonts w:hint="eastAsia"/>
              <w:color w:val="000000" w:themeColor="text1"/>
              <w:lang w:val="en-US" w:eastAsia="zh-CN"/>
            </w:rPr>
            <w:fldChar w:fldCharType="separate"/>
          </w:r>
          <w:r>
            <w:rPr>
              <w:rFonts w:hint="default"/>
              <w:color w:val="000000" w:themeColor="text1"/>
            </w:rPr>
            <w:t>6.1.1. 大气污染防治措施</w:t>
          </w:r>
          <w:r>
            <w:rPr>
              <w:color w:val="000000" w:themeColor="text1"/>
            </w:rPr>
            <w:tab/>
          </w:r>
          <w:r>
            <w:rPr>
              <w:color w:val="000000" w:themeColor="text1"/>
            </w:rPr>
            <w:fldChar w:fldCharType="begin"/>
          </w:r>
          <w:r>
            <w:rPr>
              <w:color w:val="000000" w:themeColor="text1"/>
            </w:rPr>
            <w:instrText xml:space="preserve"> PAGEREF _Toc21642 </w:instrText>
          </w:r>
          <w:r>
            <w:rPr>
              <w:color w:val="000000" w:themeColor="text1"/>
            </w:rPr>
            <w:fldChar w:fldCharType="separate"/>
          </w:r>
          <w:r>
            <w:rPr>
              <w:color w:val="000000" w:themeColor="text1"/>
            </w:rPr>
            <w:t>181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_Toc17824 </w:instrText>
          </w:r>
          <w:r>
            <w:rPr>
              <w:rFonts w:hint="eastAsia"/>
              <w:color w:val="000000" w:themeColor="text1"/>
              <w:lang w:val="en-US" w:eastAsia="zh-CN"/>
            </w:rPr>
            <w:fldChar w:fldCharType="separate"/>
          </w:r>
          <w:r>
            <w:rPr>
              <w:rFonts w:hint="default"/>
              <w:color w:val="000000" w:themeColor="text1"/>
            </w:rPr>
            <w:t>6.1.2. 水污染防治措施</w:t>
          </w:r>
          <w:r>
            <w:rPr>
              <w:color w:val="000000" w:themeColor="text1"/>
            </w:rPr>
            <w:tab/>
          </w:r>
          <w:r>
            <w:rPr>
              <w:color w:val="000000" w:themeColor="text1"/>
            </w:rPr>
            <w:fldChar w:fldCharType="begin"/>
          </w:r>
          <w:r>
            <w:rPr>
              <w:color w:val="000000" w:themeColor="text1"/>
            </w:rPr>
            <w:instrText xml:space="preserve"> PAGEREF _Toc17824 </w:instrText>
          </w:r>
          <w:r>
            <w:rPr>
              <w:color w:val="000000" w:themeColor="text1"/>
            </w:rPr>
            <w:fldChar w:fldCharType="separate"/>
          </w:r>
          <w:r>
            <w:rPr>
              <w:color w:val="000000" w:themeColor="text1"/>
            </w:rPr>
            <w:t>182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_Toc16395 </w:instrText>
          </w:r>
          <w:r>
            <w:rPr>
              <w:rFonts w:hint="eastAsia"/>
              <w:color w:val="000000" w:themeColor="text1"/>
              <w:lang w:val="en-US" w:eastAsia="zh-CN"/>
            </w:rPr>
            <w:fldChar w:fldCharType="separate"/>
          </w:r>
          <w:r>
            <w:rPr>
              <w:rFonts w:hint="default"/>
              <w:color w:val="000000" w:themeColor="text1"/>
            </w:rPr>
            <w:t>6.1.3. 噪声污染防治</w:t>
          </w:r>
          <w:r>
            <w:rPr>
              <w:color w:val="000000" w:themeColor="text1"/>
            </w:rPr>
            <w:tab/>
          </w:r>
          <w:r>
            <w:rPr>
              <w:color w:val="000000" w:themeColor="text1"/>
            </w:rPr>
            <w:fldChar w:fldCharType="begin"/>
          </w:r>
          <w:r>
            <w:rPr>
              <w:color w:val="000000" w:themeColor="text1"/>
            </w:rPr>
            <w:instrText xml:space="preserve"> PAGEREF _Toc16395 </w:instrText>
          </w:r>
          <w:r>
            <w:rPr>
              <w:color w:val="000000" w:themeColor="text1"/>
            </w:rPr>
            <w:fldChar w:fldCharType="separate"/>
          </w:r>
          <w:r>
            <w:rPr>
              <w:color w:val="000000" w:themeColor="text1"/>
            </w:rPr>
            <w:t>182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_Toc25463 </w:instrText>
          </w:r>
          <w:r>
            <w:rPr>
              <w:rFonts w:hint="eastAsia"/>
              <w:color w:val="000000" w:themeColor="text1"/>
              <w:lang w:val="en-US" w:eastAsia="zh-CN"/>
            </w:rPr>
            <w:fldChar w:fldCharType="separate"/>
          </w:r>
          <w:r>
            <w:rPr>
              <w:rFonts w:hint="default"/>
              <w:color w:val="000000" w:themeColor="text1"/>
            </w:rPr>
            <w:t>6.1.4. 固体废物处置及工程措施</w:t>
          </w:r>
          <w:r>
            <w:rPr>
              <w:color w:val="000000" w:themeColor="text1"/>
            </w:rPr>
            <w:tab/>
          </w:r>
          <w:r>
            <w:rPr>
              <w:color w:val="000000" w:themeColor="text1"/>
            </w:rPr>
            <w:fldChar w:fldCharType="begin"/>
          </w:r>
          <w:r>
            <w:rPr>
              <w:color w:val="000000" w:themeColor="text1"/>
            </w:rPr>
            <w:instrText xml:space="preserve"> PAGEREF _Toc25463 </w:instrText>
          </w:r>
          <w:r>
            <w:rPr>
              <w:color w:val="000000" w:themeColor="text1"/>
            </w:rPr>
            <w:fldChar w:fldCharType="separate"/>
          </w:r>
          <w:r>
            <w:rPr>
              <w:color w:val="000000" w:themeColor="text1"/>
            </w:rPr>
            <w:t>182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_Toc3608 </w:instrText>
          </w:r>
          <w:r>
            <w:rPr>
              <w:rFonts w:hint="eastAsia"/>
              <w:color w:val="000000" w:themeColor="text1"/>
              <w:lang w:val="en-US" w:eastAsia="zh-CN"/>
            </w:rPr>
            <w:fldChar w:fldCharType="separate"/>
          </w:r>
          <w:r>
            <w:rPr>
              <w:rFonts w:hint="default"/>
              <w:color w:val="000000" w:themeColor="text1"/>
              <w:lang w:val="en-US" w:eastAsia="zh-CN"/>
            </w:rPr>
            <w:t>6.1.5. 土壤污染防治</w:t>
          </w:r>
          <w:r>
            <w:rPr>
              <w:color w:val="000000" w:themeColor="text1"/>
            </w:rPr>
            <w:tab/>
          </w:r>
          <w:r>
            <w:rPr>
              <w:color w:val="000000" w:themeColor="text1"/>
            </w:rPr>
            <w:fldChar w:fldCharType="begin"/>
          </w:r>
          <w:r>
            <w:rPr>
              <w:color w:val="000000" w:themeColor="text1"/>
            </w:rPr>
            <w:instrText xml:space="preserve"> PAGEREF _Toc3608 </w:instrText>
          </w:r>
          <w:r>
            <w:rPr>
              <w:color w:val="000000" w:themeColor="text1"/>
            </w:rPr>
            <w:fldChar w:fldCharType="separate"/>
          </w:r>
          <w:r>
            <w:rPr>
              <w:color w:val="000000" w:themeColor="text1"/>
            </w:rPr>
            <w:t>183</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_Toc479 </w:instrText>
          </w:r>
          <w:r>
            <w:rPr>
              <w:rFonts w:hint="eastAsia"/>
              <w:color w:val="000000" w:themeColor="text1"/>
              <w:lang w:val="en-US" w:eastAsia="zh-CN"/>
            </w:rPr>
            <w:fldChar w:fldCharType="separate"/>
          </w:r>
          <w:r>
            <w:rPr>
              <w:rFonts w:hint="default"/>
              <w:color w:val="000000" w:themeColor="text1"/>
            </w:rPr>
            <w:t>6.1.6. 生态污染防治</w:t>
          </w:r>
          <w:r>
            <w:rPr>
              <w:color w:val="000000" w:themeColor="text1"/>
            </w:rPr>
            <w:tab/>
          </w:r>
          <w:r>
            <w:rPr>
              <w:color w:val="000000" w:themeColor="text1"/>
            </w:rPr>
            <w:fldChar w:fldCharType="begin"/>
          </w:r>
          <w:r>
            <w:rPr>
              <w:color w:val="000000" w:themeColor="text1"/>
            </w:rPr>
            <w:instrText xml:space="preserve"> PAGEREF _Toc479 </w:instrText>
          </w:r>
          <w:r>
            <w:rPr>
              <w:color w:val="000000" w:themeColor="text1"/>
            </w:rPr>
            <w:fldChar w:fldCharType="separate"/>
          </w:r>
          <w:r>
            <w:rPr>
              <w:color w:val="000000" w:themeColor="text1"/>
            </w:rPr>
            <w:t>183</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_Toc22018 </w:instrText>
          </w:r>
          <w:r>
            <w:rPr>
              <w:rFonts w:hint="eastAsia"/>
              <w:color w:val="000000" w:themeColor="text1"/>
              <w:lang w:val="en-US" w:eastAsia="zh-CN"/>
            </w:rPr>
            <w:fldChar w:fldCharType="separate"/>
          </w:r>
          <w:r>
            <w:rPr>
              <w:rFonts w:hint="default"/>
              <w:color w:val="000000" w:themeColor="text1"/>
            </w:rPr>
            <w:t>6.2. 运营期环保措施可行性</w:t>
          </w:r>
          <w:r>
            <w:rPr>
              <w:color w:val="000000" w:themeColor="text1"/>
            </w:rPr>
            <w:tab/>
          </w:r>
          <w:r>
            <w:rPr>
              <w:color w:val="000000" w:themeColor="text1"/>
            </w:rPr>
            <w:fldChar w:fldCharType="begin"/>
          </w:r>
          <w:r>
            <w:rPr>
              <w:color w:val="000000" w:themeColor="text1"/>
            </w:rPr>
            <w:instrText xml:space="preserve"> PAGEREF _Toc22018 </w:instrText>
          </w:r>
          <w:r>
            <w:rPr>
              <w:color w:val="000000" w:themeColor="text1"/>
            </w:rPr>
            <w:fldChar w:fldCharType="separate"/>
          </w:r>
          <w:r>
            <w:rPr>
              <w:color w:val="000000" w:themeColor="text1"/>
            </w:rPr>
            <w:t>184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_Toc31250 </w:instrText>
          </w:r>
          <w:r>
            <w:rPr>
              <w:rFonts w:hint="eastAsia"/>
              <w:color w:val="000000" w:themeColor="text1"/>
              <w:lang w:val="en-US" w:eastAsia="zh-CN"/>
            </w:rPr>
            <w:fldChar w:fldCharType="separate"/>
          </w:r>
          <w:r>
            <w:rPr>
              <w:rFonts w:hint="default"/>
              <w:color w:val="000000" w:themeColor="text1"/>
              <w:lang w:val="en-US" w:eastAsia="zh-CN"/>
            </w:rPr>
            <w:t xml:space="preserve">6.2.1. </w:t>
          </w:r>
          <w:r>
            <w:rPr>
              <w:rFonts w:hint="eastAsia"/>
              <w:color w:val="000000" w:themeColor="text1"/>
              <w:lang w:val="en-US" w:eastAsia="zh-CN"/>
            </w:rPr>
            <w:t>大气污染防止措施</w:t>
          </w:r>
          <w:r>
            <w:rPr>
              <w:color w:val="000000" w:themeColor="text1"/>
            </w:rPr>
            <w:tab/>
          </w:r>
          <w:r>
            <w:rPr>
              <w:color w:val="000000" w:themeColor="text1"/>
            </w:rPr>
            <w:fldChar w:fldCharType="begin"/>
          </w:r>
          <w:r>
            <w:rPr>
              <w:color w:val="000000" w:themeColor="text1"/>
            </w:rPr>
            <w:instrText xml:space="preserve"> PAGEREF _Toc31250 </w:instrText>
          </w:r>
          <w:r>
            <w:rPr>
              <w:color w:val="000000" w:themeColor="text1"/>
            </w:rPr>
            <w:fldChar w:fldCharType="separate"/>
          </w:r>
          <w:r>
            <w:rPr>
              <w:color w:val="000000" w:themeColor="text1"/>
            </w:rPr>
            <w:t>184</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_Toc5866 </w:instrText>
          </w:r>
          <w:r>
            <w:rPr>
              <w:rFonts w:hint="eastAsia"/>
              <w:color w:val="000000" w:themeColor="text1"/>
              <w:lang w:val="en-US" w:eastAsia="zh-CN"/>
            </w:rPr>
            <w:fldChar w:fldCharType="separate"/>
          </w:r>
          <w:r>
            <w:rPr>
              <w:rFonts w:hint="default"/>
              <w:color w:val="000000" w:themeColor="text1"/>
              <w:lang w:val="en-US" w:eastAsia="zh-CN"/>
            </w:rPr>
            <w:t>6.2.2. 噪声控制措施可行性分析</w:t>
          </w:r>
          <w:r>
            <w:rPr>
              <w:color w:val="000000" w:themeColor="text1"/>
            </w:rPr>
            <w:tab/>
          </w:r>
          <w:r>
            <w:rPr>
              <w:color w:val="000000" w:themeColor="text1"/>
            </w:rPr>
            <w:fldChar w:fldCharType="begin"/>
          </w:r>
          <w:r>
            <w:rPr>
              <w:color w:val="000000" w:themeColor="text1"/>
            </w:rPr>
            <w:instrText xml:space="preserve"> PAGEREF _Toc5866 </w:instrText>
          </w:r>
          <w:r>
            <w:rPr>
              <w:color w:val="000000" w:themeColor="text1"/>
            </w:rPr>
            <w:fldChar w:fldCharType="separate"/>
          </w:r>
          <w:r>
            <w:rPr>
              <w:color w:val="000000" w:themeColor="text1"/>
            </w:rPr>
            <w:t>185</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_Toc9719 </w:instrText>
          </w:r>
          <w:r>
            <w:rPr>
              <w:rFonts w:hint="eastAsia"/>
              <w:color w:val="000000" w:themeColor="text1"/>
              <w:lang w:val="en-US" w:eastAsia="zh-CN"/>
            </w:rPr>
            <w:fldChar w:fldCharType="separate"/>
          </w:r>
          <w:r>
            <w:rPr>
              <w:rFonts w:hint="default"/>
              <w:color w:val="000000" w:themeColor="text1"/>
              <w:lang w:val="en-US" w:eastAsia="zh-CN"/>
            </w:rPr>
            <w:t>6.2.3. 废水处理措施可行性分析</w:t>
          </w:r>
          <w:r>
            <w:rPr>
              <w:color w:val="000000" w:themeColor="text1"/>
            </w:rPr>
            <w:tab/>
          </w:r>
          <w:r>
            <w:rPr>
              <w:color w:val="000000" w:themeColor="text1"/>
            </w:rPr>
            <w:fldChar w:fldCharType="begin"/>
          </w:r>
          <w:r>
            <w:rPr>
              <w:color w:val="000000" w:themeColor="text1"/>
            </w:rPr>
            <w:instrText xml:space="preserve"> PAGEREF _Toc9719 </w:instrText>
          </w:r>
          <w:r>
            <w:rPr>
              <w:color w:val="000000" w:themeColor="text1"/>
            </w:rPr>
            <w:fldChar w:fldCharType="separate"/>
          </w:r>
          <w:r>
            <w:rPr>
              <w:color w:val="000000" w:themeColor="text1"/>
            </w:rPr>
            <w:t>186</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_Toc1533 </w:instrText>
          </w:r>
          <w:r>
            <w:rPr>
              <w:rFonts w:hint="eastAsia"/>
              <w:color w:val="000000" w:themeColor="text1"/>
              <w:lang w:val="en-US" w:eastAsia="zh-CN"/>
            </w:rPr>
            <w:fldChar w:fldCharType="separate"/>
          </w:r>
          <w:r>
            <w:rPr>
              <w:rFonts w:hint="default"/>
              <w:color w:val="000000" w:themeColor="text1"/>
              <w:lang w:val="en-US" w:eastAsia="zh-CN"/>
            </w:rPr>
            <w:t>6.2.4. 地下水环境保护措施可行性分析</w:t>
          </w:r>
          <w:r>
            <w:rPr>
              <w:color w:val="000000" w:themeColor="text1"/>
            </w:rPr>
            <w:tab/>
          </w:r>
          <w:r>
            <w:rPr>
              <w:color w:val="000000" w:themeColor="text1"/>
            </w:rPr>
            <w:fldChar w:fldCharType="begin"/>
          </w:r>
          <w:r>
            <w:rPr>
              <w:color w:val="000000" w:themeColor="text1"/>
            </w:rPr>
            <w:instrText xml:space="preserve"> PAGEREF _Toc1533 </w:instrText>
          </w:r>
          <w:r>
            <w:rPr>
              <w:color w:val="000000" w:themeColor="text1"/>
            </w:rPr>
            <w:fldChar w:fldCharType="separate"/>
          </w:r>
          <w:r>
            <w:rPr>
              <w:color w:val="000000" w:themeColor="text1"/>
            </w:rPr>
            <w:t>187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_Toc17562 </w:instrText>
          </w:r>
          <w:r>
            <w:rPr>
              <w:rFonts w:hint="eastAsia"/>
              <w:color w:val="000000" w:themeColor="text1"/>
              <w:lang w:val="en-US" w:eastAsia="zh-CN"/>
            </w:rPr>
            <w:fldChar w:fldCharType="separate"/>
          </w:r>
          <w:r>
            <w:rPr>
              <w:rFonts w:hint="default"/>
              <w:color w:val="000000" w:themeColor="text1"/>
              <w:lang w:val="en-US" w:eastAsia="zh-CN"/>
            </w:rPr>
            <w:t>6.2.5. 固废处理措施可行性分析</w:t>
          </w:r>
          <w:r>
            <w:rPr>
              <w:color w:val="000000" w:themeColor="text1"/>
            </w:rPr>
            <w:tab/>
          </w:r>
          <w:r>
            <w:rPr>
              <w:color w:val="000000" w:themeColor="text1"/>
            </w:rPr>
            <w:fldChar w:fldCharType="begin"/>
          </w:r>
          <w:r>
            <w:rPr>
              <w:color w:val="000000" w:themeColor="text1"/>
            </w:rPr>
            <w:instrText xml:space="preserve"> PAGEREF _Toc17562 </w:instrText>
          </w:r>
          <w:r>
            <w:rPr>
              <w:color w:val="000000" w:themeColor="text1"/>
            </w:rPr>
            <w:fldChar w:fldCharType="separate"/>
          </w:r>
          <w:r>
            <w:rPr>
              <w:color w:val="000000" w:themeColor="text1"/>
            </w:rPr>
            <w:t>191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_Toc6700 </w:instrText>
          </w:r>
          <w:r>
            <w:rPr>
              <w:rFonts w:hint="eastAsia"/>
              <w:color w:val="000000" w:themeColor="text1"/>
              <w:lang w:val="en-US" w:eastAsia="zh-CN"/>
            </w:rPr>
            <w:fldChar w:fldCharType="separate"/>
          </w:r>
          <w:r>
            <w:rPr>
              <w:rFonts w:hint="default"/>
              <w:color w:val="000000" w:themeColor="text1"/>
            </w:rPr>
            <w:t>6.2.6. 土壤治理措施可行性分析</w:t>
          </w:r>
          <w:r>
            <w:rPr>
              <w:color w:val="000000" w:themeColor="text1"/>
            </w:rPr>
            <w:tab/>
          </w:r>
          <w:r>
            <w:rPr>
              <w:color w:val="000000" w:themeColor="text1"/>
            </w:rPr>
            <w:fldChar w:fldCharType="begin"/>
          </w:r>
          <w:r>
            <w:rPr>
              <w:color w:val="000000" w:themeColor="text1"/>
            </w:rPr>
            <w:instrText xml:space="preserve"> PAGEREF _Toc6700 </w:instrText>
          </w:r>
          <w:r>
            <w:rPr>
              <w:color w:val="000000" w:themeColor="text1"/>
            </w:rPr>
            <w:fldChar w:fldCharType="separate"/>
          </w:r>
          <w:r>
            <w:rPr>
              <w:color w:val="000000" w:themeColor="text1"/>
            </w:rPr>
            <w:t>192</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_Toc7397 </w:instrText>
          </w:r>
          <w:r>
            <w:rPr>
              <w:rFonts w:hint="eastAsia"/>
              <w:color w:val="000000" w:themeColor="text1"/>
              <w:lang w:val="en-US" w:eastAsia="zh-CN"/>
            </w:rPr>
            <w:fldChar w:fldCharType="separate"/>
          </w:r>
          <w:r>
            <w:rPr>
              <w:rFonts w:hint="default"/>
              <w:color w:val="000000" w:themeColor="text1"/>
            </w:rPr>
            <w:t>6.2.7. 生态治理措施可行性分析</w:t>
          </w:r>
          <w:r>
            <w:rPr>
              <w:color w:val="000000" w:themeColor="text1"/>
            </w:rPr>
            <w:tab/>
          </w:r>
          <w:r>
            <w:rPr>
              <w:color w:val="000000" w:themeColor="text1"/>
            </w:rPr>
            <w:fldChar w:fldCharType="begin"/>
          </w:r>
          <w:r>
            <w:rPr>
              <w:color w:val="000000" w:themeColor="text1"/>
            </w:rPr>
            <w:instrText xml:space="preserve"> PAGEREF _Toc7397 </w:instrText>
          </w:r>
          <w:r>
            <w:rPr>
              <w:color w:val="000000" w:themeColor="text1"/>
            </w:rPr>
            <w:fldChar w:fldCharType="separate"/>
          </w:r>
          <w:r>
            <w:rPr>
              <w:color w:val="000000" w:themeColor="text1"/>
            </w:rPr>
            <w:t>192</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_Toc9046 </w:instrText>
          </w:r>
          <w:r>
            <w:rPr>
              <w:rFonts w:hint="eastAsia"/>
              <w:color w:val="000000" w:themeColor="text1"/>
              <w:lang w:val="en-US" w:eastAsia="zh-CN"/>
            </w:rPr>
            <w:fldChar w:fldCharType="separate"/>
          </w:r>
          <w:r>
            <w:rPr>
              <w:rFonts w:hint="default"/>
              <w:color w:val="000000" w:themeColor="text1"/>
            </w:rPr>
            <w:t>6.3. 退役期环保措施可行性</w:t>
          </w:r>
          <w:r>
            <w:rPr>
              <w:color w:val="000000" w:themeColor="text1"/>
            </w:rPr>
            <w:tab/>
          </w:r>
          <w:r>
            <w:rPr>
              <w:color w:val="000000" w:themeColor="text1"/>
            </w:rPr>
            <w:fldChar w:fldCharType="begin"/>
          </w:r>
          <w:r>
            <w:rPr>
              <w:color w:val="000000" w:themeColor="text1"/>
            </w:rPr>
            <w:instrText xml:space="preserve"> PAGEREF _Toc9046 </w:instrText>
          </w:r>
          <w:r>
            <w:rPr>
              <w:color w:val="000000" w:themeColor="text1"/>
            </w:rPr>
            <w:fldChar w:fldCharType="separate"/>
          </w:r>
          <w:r>
            <w:rPr>
              <w:color w:val="000000" w:themeColor="text1"/>
            </w:rPr>
            <w:t>193</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_Toc5247 </w:instrText>
          </w:r>
          <w:r>
            <w:rPr>
              <w:rFonts w:hint="eastAsia"/>
              <w:color w:val="000000" w:themeColor="text1"/>
              <w:lang w:val="en-US" w:eastAsia="zh-CN"/>
            </w:rPr>
            <w:fldChar w:fldCharType="separate"/>
          </w:r>
          <w:r>
            <w:rPr>
              <w:rFonts w:hint="default"/>
              <w:color w:val="000000" w:themeColor="text1"/>
            </w:rPr>
            <w:t xml:space="preserve">7. </w:t>
          </w:r>
          <w:r>
            <w:rPr>
              <w:rFonts w:hint="eastAsia"/>
              <w:color w:val="000000" w:themeColor="text1"/>
            </w:rPr>
            <w:t>环境经济损益分析</w:t>
          </w:r>
          <w:r>
            <w:rPr>
              <w:color w:val="000000" w:themeColor="text1"/>
            </w:rPr>
            <w:tab/>
          </w:r>
          <w:r>
            <w:rPr>
              <w:color w:val="000000" w:themeColor="text1"/>
            </w:rPr>
            <w:fldChar w:fldCharType="begin"/>
          </w:r>
          <w:r>
            <w:rPr>
              <w:color w:val="000000" w:themeColor="text1"/>
            </w:rPr>
            <w:instrText xml:space="preserve"> PAGEREF _Toc5247 </w:instrText>
          </w:r>
          <w:r>
            <w:rPr>
              <w:color w:val="000000" w:themeColor="text1"/>
            </w:rPr>
            <w:fldChar w:fldCharType="separate"/>
          </w:r>
          <w:r>
            <w:rPr>
              <w:color w:val="000000" w:themeColor="text1"/>
            </w:rPr>
            <w:t>197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_Toc21034 </w:instrText>
          </w:r>
          <w:r>
            <w:rPr>
              <w:rFonts w:hint="eastAsia"/>
              <w:color w:val="000000" w:themeColor="text1"/>
              <w:lang w:val="en-US" w:eastAsia="zh-CN"/>
            </w:rPr>
            <w:fldChar w:fldCharType="separate"/>
          </w:r>
          <w:r>
            <w:rPr>
              <w:rFonts w:hint="default"/>
              <w:color w:val="000000" w:themeColor="text1"/>
            </w:rPr>
            <w:t>7.1. 环境代价分析</w:t>
          </w:r>
          <w:r>
            <w:rPr>
              <w:color w:val="000000" w:themeColor="text1"/>
            </w:rPr>
            <w:tab/>
          </w:r>
          <w:r>
            <w:rPr>
              <w:color w:val="000000" w:themeColor="text1"/>
            </w:rPr>
            <w:fldChar w:fldCharType="begin"/>
          </w:r>
          <w:r>
            <w:rPr>
              <w:color w:val="000000" w:themeColor="text1"/>
            </w:rPr>
            <w:instrText xml:space="preserve"> PAGEREF _Toc21034 </w:instrText>
          </w:r>
          <w:r>
            <w:rPr>
              <w:color w:val="000000" w:themeColor="text1"/>
            </w:rPr>
            <w:fldChar w:fldCharType="separate"/>
          </w:r>
          <w:r>
            <w:rPr>
              <w:color w:val="000000" w:themeColor="text1"/>
            </w:rPr>
            <w:t>197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_Toc1722 </w:instrText>
          </w:r>
          <w:r>
            <w:rPr>
              <w:rFonts w:hint="eastAsia"/>
              <w:color w:val="000000" w:themeColor="text1"/>
              <w:lang w:val="en-US" w:eastAsia="zh-CN"/>
            </w:rPr>
            <w:fldChar w:fldCharType="separate"/>
          </w:r>
          <w:r>
            <w:rPr>
              <w:rFonts w:hint="default"/>
              <w:color w:val="000000" w:themeColor="text1"/>
              <w:lang w:val="en-US" w:eastAsia="zh-CN"/>
            </w:rPr>
            <w:t>7.2. 环境成本分析</w:t>
          </w:r>
          <w:r>
            <w:rPr>
              <w:color w:val="000000" w:themeColor="text1"/>
            </w:rPr>
            <w:tab/>
          </w:r>
          <w:r>
            <w:rPr>
              <w:color w:val="000000" w:themeColor="text1"/>
            </w:rPr>
            <w:fldChar w:fldCharType="begin"/>
          </w:r>
          <w:r>
            <w:rPr>
              <w:color w:val="000000" w:themeColor="text1"/>
            </w:rPr>
            <w:instrText xml:space="preserve"> PAGEREF _Toc1722 </w:instrText>
          </w:r>
          <w:r>
            <w:rPr>
              <w:color w:val="000000" w:themeColor="text1"/>
            </w:rPr>
            <w:fldChar w:fldCharType="separate"/>
          </w:r>
          <w:r>
            <w:rPr>
              <w:color w:val="000000" w:themeColor="text1"/>
            </w:rPr>
            <w:t>197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_Toc22019 </w:instrText>
          </w:r>
          <w:r>
            <w:rPr>
              <w:rFonts w:hint="eastAsia"/>
              <w:color w:val="000000" w:themeColor="text1"/>
              <w:lang w:val="en-US" w:eastAsia="zh-CN"/>
            </w:rPr>
            <w:fldChar w:fldCharType="separate"/>
          </w:r>
          <w:r>
            <w:rPr>
              <w:rFonts w:hint="default" w:eastAsia="宋体"/>
              <w:color w:val="000000" w:themeColor="text1"/>
              <w:lang w:eastAsia="zh-CN"/>
            </w:rPr>
            <w:t xml:space="preserve">7.3. </w:t>
          </w:r>
          <w:r>
            <w:rPr>
              <w:rFonts w:hint="eastAsia"/>
              <w:color w:val="000000" w:themeColor="text1"/>
              <w:lang w:eastAsia="zh-CN"/>
            </w:rPr>
            <w:t>环境收益分析</w:t>
          </w:r>
          <w:r>
            <w:rPr>
              <w:color w:val="000000" w:themeColor="text1"/>
            </w:rPr>
            <w:tab/>
          </w:r>
          <w:r>
            <w:rPr>
              <w:color w:val="000000" w:themeColor="text1"/>
            </w:rPr>
            <w:fldChar w:fldCharType="begin"/>
          </w:r>
          <w:r>
            <w:rPr>
              <w:color w:val="000000" w:themeColor="text1"/>
            </w:rPr>
            <w:instrText xml:space="preserve"> PAGEREF _Toc22019 </w:instrText>
          </w:r>
          <w:r>
            <w:rPr>
              <w:color w:val="000000" w:themeColor="text1"/>
            </w:rPr>
            <w:fldChar w:fldCharType="separate"/>
          </w:r>
          <w:r>
            <w:rPr>
              <w:color w:val="000000" w:themeColor="text1"/>
            </w:rPr>
            <w:t>197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_Toc16423 </w:instrText>
          </w:r>
          <w:r>
            <w:rPr>
              <w:rFonts w:hint="eastAsia"/>
              <w:color w:val="000000" w:themeColor="text1"/>
              <w:lang w:val="en-US" w:eastAsia="zh-CN"/>
            </w:rPr>
            <w:fldChar w:fldCharType="separate"/>
          </w:r>
          <w:r>
            <w:rPr>
              <w:rFonts w:hint="default"/>
              <w:color w:val="000000" w:themeColor="text1"/>
            </w:rPr>
            <w:t xml:space="preserve">7.4. </w:t>
          </w:r>
          <w:r>
            <w:rPr>
              <w:rFonts w:hint="eastAsia"/>
              <w:color w:val="000000" w:themeColor="text1"/>
            </w:rPr>
            <w:t>环境保护投入</w:t>
          </w:r>
          <w:r>
            <w:rPr>
              <w:color w:val="000000" w:themeColor="text1"/>
            </w:rPr>
            <w:tab/>
          </w:r>
          <w:r>
            <w:rPr>
              <w:color w:val="000000" w:themeColor="text1"/>
            </w:rPr>
            <w:fldChar w:fldCharType="begin"/>
          </w:r>
          <w:r>
            <w:rPr>
              <w:color w:val="000000" w:themeColor="text1"/>
            </w:rPr>
            <w:instrText xml:space="preserve"> PAGEREF _Toc16423 </w:instrText>
          </w:r>
          <w:r>
            <w:rPr>
              <w:color w:val="000000" w:themeColor="text1"/>
            </w:rPr>
            <w:fldChar w:fldCharType="separate"/>
          </w:r>
          <w:r>
            <w:rPr>
              <w:color w:val="000000" w:themeColor="text1"/>
            </w:rPr>
            <w:t>198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_Toc23790 </w:instrText>
          </w:r>
          <w:r>
            <w:rPr>
              <w:rFonts w:hint="eastAsia"/>
              <w:color w:val="000000" w:themeColor="text1"/>
              <w:lang w:val="en-US" w:eastAsia="zh-CN"/>
            </w:rPr>
            <w:fldChar w:fldCharType="separate"/>
          </w:r>
          <w:r>
            <w:rPr>
              <w:rFonts w:hint="default"/>
              <w:color w:val="000000" w:themeColor="text1"/>
              <w:lang w:val="en-US" w:eastAsia="zh-CN"/>
            </w:rPr>
            <w:t xml:space="preserve">7.4.1. </w:t>
          </w:r>
          <w:r>
            <w:rPr>
              <w:rFonts w:hint="eastAsia"/>
              <w:color w:val="000000" w:themeColor="text1"/>
              <w:lang w:val="en-US" w:eastAsia="zh-CN"/>
            </w:rPr>
            <w:t>环保工程投资</w:t>
          </w:r>
          <w:r>
            <w:rPr>
              <w:color w:val="000000" w:themeColor="text1"/>
            </w:rPr>
            <w:tab/>
          </w:r>
          <w:r>
            <w:rPr>
              <w:color w:val="000000" w:themeColor="text1"/>
            </w:rPr>
            <w:fldChar w:fldCharType="begin"/>
          </w:r>
          <w:r>
            <w:rPr>
              <w:color w:val="000000" w:themeColor="text1"/>
            </w:rPr>
            <w:instrText xml:space="preserve"> PAGEREF _Toc23790 </w:instrText>
          </w:r>
          <w:r>
            <w:rPr>
              <w:color w:val="000000" w:themeColor="text1"/>
            </w:rPr>
            <w:fldChar w:fldCharType="separate"/>
          </w:r>
          <w:r>
            <w:rPr>
              <w:color w:val="000000" w:themeColor="text1"/>
            </w:rPr>
            <w:t>198</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_Toc17831 </w:instrText>
          </w:r>
          <w:r>
            <w:rPr>
              <w:rFonts w:hint="eastAsia"/>
              <w:color w:val="000000" w:themeColor="text1"/>
              <w:lang w:val="en-US" w:eastAsia="zh-CN"/>
            </w:rPr>
            <w:fldChar w:fldCharType="separate"/>
          </w:r>
          <w:r>
            <w:rPr>
              <w:rFonts w:hint="default"/>
              <w:color w:val="000000" w:themeColor="text1"/>
            </w:rPr>
            <w:t>7.4.2. 环保设施维护及环境监测费用</w:t>
          </w:r>
          <w:r>
            <w:rPr>
              <w:color w:val="000000" w:themeColor="text1"/>
            </w:rPr>
            <w:tab/>
          </w:r>
          <w:r>
            <w:rPr>
              <w:color w:val="000000" w:themeColor="text1"/>
            </w:rPr>
            <w:fldChar w:fldCharType="begin"/>
          </w:r>
          <w:r>
            <w:rPr>
              <w:color w:val="000000" w:themeColor="text1"/>
            </w:rPr>
            <w:instrText xml:space="preserve"> PAGEREF _Toc17831 </w:instrText>
          </w:r>
          <w:r>
            <w:rPr>
              <w:color w:val="000000" w:themeColor="text1"/>
            </w:rPr>
            <w:fldChar w:fldCharType="separate"/>
          </w:r>
          <w:r>
            <w:rPr>
              <w:color w:val="000000" w:themeColor="text1"/>
            </w:rPr>
            <w:t>200</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_Toc8891 </w:instrText>
          </w:r>
          <w:r>
            <w:rPr>
              <w:rFonts w:hint="eastAsia"/>
              <w:color w:val="000000" w:themeColor="text1"/>
              <w:lang w:val="en-US" w:eastAsia="zh-CN"/>
            </w:rPr>
            <w:fldChar w:fldCharType="separate"/>
          </w:r>
          <w:r>
            <w:rPr>
              <w:rFonts w:hint="default"/>
              <w:color w:val="000000" w:themeColor="text1"/>
            </w:rPr>
            <w:t xml:space="preserve">8. </w:t>
          </w:r>
          <w:r>
            <w:rPr>
              <w:rFonts w:hint="eastAsia"/>
              <w:color w:val="000000" w:themeColor="text1"/>
            </w:rPr>
            <w:t>环境保护管理与监测计划</w:t>
          </w:r>
          <w:r>
            <w:rPr>
              <w:color w:val="000000" w:themeColor="text1"/>
            </w:rPr>
            <w:tab/>
          </w:r>
          <w:r>
            <w:rPr>
              <w:color w:val="000000" w:themeColor="text1"/>
            </w:rPr>
            <w:fldChar w:fldCharType="begin"/>
          </w:r>
          <w:r>
            <w:rPr>
              <w:color w:val="000000" w:themeColor="text1"/>
            </w:rPr>
            <w:instrText xml:space="preserve"> PAGEREF _Toc8891 </w:instrText>
          </w:r>
          <w:r>
            <w:rPr>
              <w:color w:val="000000" w:themeColor="text1"/>
            </w:rPr>
            <w:fldChar w:fldCharType="separate"/>
          </w:r>
          <w:r>
            <w:rPr>
              <w:color w:val="000000" w:themeColor="text1"/>
            </w:rPr>
            <w:t>201</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_Toc31080 </w:instrText>
          </w:r>
          <w:r>
            <w:rPr>
              <w:rFonts w:hint="eastAsia"/>
              <w:color w:val="000000" w:themeColor="text1"/>
              <w:lang w:val="en-US" w:eastAsia="zh-CN"/>
            </w:rPr>
            <w:fldChar w:fldCharType="separate"/>
          </w:r>
          <w:r>
            <w:rPr>
              <w:rFonts w:hint="default"/>
              <w:color w:val="000000" w:themeColor="text1"/>
            </w:rPr>
            <w:t>8.1. 环境管理</w:t>
          </w:r>
          <w:r>
            <w:rPr>
              <w:color w:val="000000" w:themeColor="text1"/>
            </w:rPr>
            <w:tab/>
          </w:r>
          <w:r>
            <w:rPr>
              <w:color w:val="000000" w:themeColor="text1"/>
            </w:rPr>
            <w:fldChar w:fldCharType="begin"/>
          </w:r>
          <w:r>
            <w:rPr>
              <w:color w:val="000000" w:themeColor="text1"/>
            </w:rPr>
            <w:instrText xml:space="preserve"> PAGEREF _Toc31080 </w:instrText>
          </w:r>
          <w:r>
            <w:rPr>
              <w:color w:val="000000" w:themeColor="text1"/>
            </w:rPr>
            <w:fldChar w:fldCharType="separate"/>
          </w:r>
          <w:r>
            <w:rPr>
              <w:color w:val="000000" w:themeColor="text1"/>
            </w:rPr>
            <w:t>201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_Toc8022 </w:instrText>
          </w:r>
          <w:r>
            <w:rPr>
              <w:rFonts w:hint="eastAsia"/>
              <w:color w:val="000000" w:themeColor="text1"/>
              <w:lang w:val="en-US" w:eastAsia="zh-CN"/>
            </w:rPr>
            <w:fldChar w:fldCharType="separate"/>
          </w:r>
          <w:r>
            <w:rPr>
              <w:rFonts w:hint="default"/>
              <w:color w:val="000000" w:themeColor="text1"/>
            </w:rPr>
            <w:t>8.1.1. 机构的设置</w:t>
          </w:r>
          <w:r>
            <w:rPr>
              <w:color w:val="000000" w:themeColor="text1"/>
            </w:rPr>
            <w:tab/>
          </w:r>
          <w:r>
            <w:rPr>
              <w:color w:val="000000" w:themeColor="text1"/>
            </w:rPr>
            <w:fldChar w:fldCharType="begin"/>
          </w:r>
          <w:r>
            <w:rPr>
              <w:color w:val="000000" w:themeColor="text1"/>
            </w:rPr>
            <w:instrText xml:space="preserve"> PAGEREF _Toc8022 </w:instrText>
          </w:r>
          <w:r>
            <w:rPr>
              <w:color w:val="000000" w:themeColor="text1"/>
            </w:rPr>
            <w:fldChar w:fldCharType="separate"/>
          </w:r>
          <w:r>
            <w:rPr>
              <w:color w:val="000000" w:themeColor="text1"/>
            </w:rPr>
            <w:t>201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_Toc5277 </w:instrText>
          </w:r>
          <w:r>
            <w:rPr>
              <w:rFonts w:hint="eastAsia"/>
              <w:color w:val="000000" w:themeColor="text1"/>
              <w:lang w:val="en-US" w:eastAsia="zh-CN"/>
            </w:rPr>
            <w:fldChar w:fldCharType="separate"/>
          </w:r>
          <w:r>
            <w:rPr>
              <w:rFonts w:hint="default"/>
              <w:color w:val="000000" w:themeColor="text1"/>
              <w:lang w:val="en-US" w:eastAsia="zh-CN"/>
            </w:rPr>
            <w:t>8.1.2. 环境管理职责和权限</w:t>
          </w:r>
          <w:r>
            <w:rPr>
              <w:color w:val="000000" w:themeColor="text1"/>
            </w:rPr>
            <w:tab/>
          </w:r>
          <w:r>
            <w:rPr>
              <w:color w:val="000000" w:themeColor="text1"/>
            </w:rPr>
            <w:fldChar w:fldCharType="begin"/>
          </w:r>
          <w:r>
            <w:rPr>
              <w:color w:val="000000" w:themeColor="text1"/>
            </w:rPr>
            <w:instrText xml:space="preserve"> PAGEREF _Toc5277 </w:instrText>
          </w:r>
          <w:r>
            <w:rPr>
              <w:color w:val="000000" w:themeColor="text1"/>
            </w:rPr>
            <w:fldChar w:fldCharType="separate"/>
          </w:r>
          <w:r>
            <w:rPr>
              <w:color w:val="000000" w:themeColor="text1"/>
            </w:rPr>
            <w:t>201</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_Toc4290 </w:instrText>
          </w:r>
          <w:r>
            <w:rPr>
              <w:rFonts w:hint="eastAsia"/>
              <w:color w:val="000000" w:themeColor="text1"/>
              <w:lang w:val="en-US" w:eastAsia="zh-CN"/>
            </w:rPr>
            <w:fldChar w:fldCharType="separate"/>
          </w:r>
          <w:r>
            <w:rPr>
              <w:rFonts w:hint="default"/>
              <w:color w:val="000000" w:themeColor="text1"/>
              <w:lang w:val="en-US" w:eastAsia="zh-CN"/>
            </w:rPr>
            <w:t>8.1.3. 环境管理计划</w:t>
          </w:r>
          <w:r>
            <w:rPr>
              <w:color w:val="000000" w:themeColor="text1"/>
            </w:rPr>
            <w:tab/>
          </w:r>
          <w:r>
            <w:rPr>
              <w:color w:val="000000" w:themeColor="text1"/>
            </w:rPr>
            <w:fldChar w:fldCharType="begin"/>
          </w:r>
          <w:r>
            <w:rPr>
              <w:color w:val="000000" w:themeColor="text1"/>
            </w:rPr>
            <w:instrText xml:space="preserve"> PAGEREF _Toc4290 </w:instrText>
          </w:r>
          <w:r>
            <w:rPr>
              <w:color w:val="000000" w:themeColor="text1"/>
            </w:rPr>
            <w:fldChar w:fldCharType="separate"/>
          </w:r>
          <w:r>
            <w:rPr>
              <w:color w:val="000000" w:themeColor="text1"/>
            </w:rPr>
            <w:t>202</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_Toc5338 </w:instrText>
          </w:r>
          <w:r>
            <w:rPr>
              <w:rFonts w:hint="eastAsia"/>
              <w:color w:val="000000" w:themeColor="text1"/>
              <w:lang w:val="en-US" w:eastAsia="zh-CN"/>
            </w:rPr>
            <w:fldChar w:fldCharType="separate"/>
          </w:r>
          <w:r>
            <w:rPr>
              <w:rFonts w:hint="default"/>
              <w:color w:val="000000" w:themeColor="text1"/>
            </w:rPr>
            <w:t xml:space="preserve">8.2. </w:t>
          </w:r>
          <w:r>
            <w:rPr>
              <w:color w:val="000000" w:themeColor="text1"/>
            </w:rPr>
            <w:t>环境监测计划</w:t>
          </w:r>
          <w:r>
            <w:rPr>
              <w:color w:val="000000" w:themeColor="text1"/>
            </w:rPr>
            <w:tab/>
          </w:r>
          <w:r>
            <w:rPr>
              <w:color w:val="000000" w:themeColor="text1"/>
            </w:rPr>
            <w:fldChar w:fldCharType="begin"/>
          </w:r>
          <w:r>
            <w:rPr>
              <w:color w:val="000000" w:themeColor="text1"/>
            </w:rPr>
            <w:instrText xml:space="preserve"> PAGEREF _Toc5338 </w:instrText>
          </w:r>
          <w:r>
            <w:rPr>
              <w:color w:val="000000" w:themeColor="text1"/>
            </w:rPr>
            <w:fldChar w:fldCharType="separate"/>
          </w:r>
          <w:r>
            <w:rPr>
              <w:color w:val="000000" w:themeColor="text1"/>
            </w:rPr>
            <w:t>203</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_Toc12931 </w:instrText>
          </w:r>
          <w:r>
            <w:rPr>
              <w:rFonts w:hint="eastAsia"/>
              <w:color w:val="000000" w:themeColor="text1"/>
              <w:lang w:val="en-US" w:eastAsia="zh-CN"/>
            </w:rPr>
            <w:fldChar w:fldCharType="separate"/>
          </w:r>
          <w:r>
            <w:rPr>
              <w:rFonts w:hint="default"/>
              <w:color w:val="000000" w:themeColor="text1"/>
            </w:rPr>
            <w:t>8.3. 企业环境信息公开</w:t>
          </w:r>
          <w:r>
            <w:rPr>
              <w:color w:val="000000" w:themeColor="text1"/>
            </w:rPr>
            <w:tab/>
          </w:r>
          <w:r>
            <w:rPr>
              <w:color w:val="000000" w:themeColor="text1"/>
            </w:rPr>
            <w:fldChar w:fldCharType="begin"/>
          </w:r>
          <w:r>
            <w:rPr>
              <w:color w:val="000000" w:themeColor="text1"/>
            </w:rPr>
            <w:instrText xml:space="preserve"> PAGEREF _Toc12931 </w:instrText>
          </w:r>
          <w:r>
            <w:rPr>
              <w:color w:val="000000" w:themeColor="text1"/>
            </w:rPr>
            <w:fldChar w:fldCharType="separate"/>
          </w:r>
          <w:r>
            <w:rPr>
              <w:color w:val="000000" w:themeColor="text1"/>
            </w:rPr>
            <w:t>203</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_Toc21241 </w:instrText>
          </w:r>
          <w:r>
            <w:rPr>
              <w:rFonts w:hint="eastAsia"/>
              <w:color w:val="000000" w:themeColor="text1"/>
              <w:lang w:val="en-US" w:eastAsia="zh-CN"/>
            </w:rPr>
            <w:fldChar w:fldCharType="separate"/>
          </w:r>
          <w:r>
            <w:rPr>
              <w:rFonts w:hint="default"/>
              <w:color w:val="000000" w:themeColor="text1"/>
            </w:rPr>
            <w:t xml:space="preserve">8.4. </w:t>
          </w:r>
          <w:r>
            <w:rPr>
              <w:color w:val="000000" w:themeColor="text1"/>
            </w:rPr>
            <w:t>项目竣工环保验收管理</w:t>
          </w:r>
          <w:r>
            <w:rPr>
              <w:color w:val="000000" w:themeColor="text1"/>
            </w:rPr>
            <w:tab/>
          </w:r>
          <w:r>
            <w:rPr>
              <w:color w:val="000000" w:themeColor="text1"/>
            </w:rPr>
            <w:fldChar w:fldCharType="begin"/>
          </w:r>
          <w:r>
            <w:rPr>
              <w:color w:val="000000" w:themeColor="text1"/>
            </w:rPr>
            <w:instrText xml:space="preserve"> PAGEREF _Toc21241 </w:instrText>
          </w:r>
          <w:r>
            <w:rPr>
              <w:color w:val="000000" w:themeColor="text1"/>
            </w:rPr>
            <w:fldChar w:fldCharType="separate"/>
          </w:r>
          <w:r>
            <w:rPr>
              <w:color w:val="000000" w:themeColor="text1"/>
            </w:rPr>
            <w:t>204</w:t>
          </w:r>
          <w:r>
            <w:rPr>
              <w:color w:val="000000" w:themeColor="text1"/>
            </w:rPr>
            <w:fldChar w:fldCharType="end"/>
          </w:r>
          <w:r>
            <w:rPr>
              <w:rFonts w:hint="eastAsia"/>
              <w:color w:val="000000" w:themeColor="text1"/>
              <w:lang w:val="en-US" w:eastAsia="zh-CN"/>
            </w:rPr>
            <w:fldChar w:fldCharType="end"/>
          </w:r>
        </w:p>
        <w:p>
          <w:pPr>
            <w:pStyle w:val="24"/>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_Toc29529 </w:instrText>
          </w:r>
          <w:r>
            <w:rPr>
              <w:rFonts w:hint="eastAsia"/>
              <w:color w:val="000000" w:themeColor="text1"/>
              <w:lang w:val="en-US" w:eastAsia="zh-CN"/>
            </w:rPr>
            <w:fldChar w:fldCharType="separate"/>
          </w:r>
          <w:r>
            <w:rPr>
              <w:rFonts w:hint="default"/>
              <w:color w:val="000000" w:themeColor="text1"/>
            </w:rPr>
            <w:t>9. 环境影响评价结论</w:t>
          </w:r>
          <w:r>
            <w:rPr>
              <w:color w:val="000000" w:themeColor="text1"/>
            </w:rPr>
            <w:tab/>
          </w:r>
          <w:r>
            <w:rPr>
              <w:color w:val="000000" w:themeColor="text1"/>
            </w:rPr>
            <w:fldChar w:fldCharType="begin"/>
          </w:r>
          <w:r>
            <w:rPr>
              <w:color w:val="000000" w:themeColor="text1"/>
            </w:rPr>
            <w:instrText xml:space="preserve"> PAGEREF _Toc29529 </w:instrText>
          </w:r>
          <w:r>
            <w:rPr>
              <w:color w:val="000000" w:themeColor="text1"/>
            </w:rPr>
            <w:fldChar w:fldCharType="separate"/>
          </w:r>
          <w:r>
            <w:rPr>
              <w:color w:val="000000" w:themeColor="text1"/>
            </w:rPr>
            <w:t>206</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_Toc17437 </w:instrText>
          </w:r>
          <w:r>
            <w:rPr>
              <w:rFonts w:hint="eastAsia"/>
              <w:color w:val="000000" w:themeColor="text1"/>
              <w:lang w:val="en-US" w:eastAsia="zh-CN"/>
            </w:rPr>
            <w:fldChar w:fldCharType="separate"/>
          </w:r>
          <w:r>
            <w:rPr>
              <w:rFonts w:hint="default"/>
              <w:color w:val="000000" w:themeColor="text1"/>
            </w:rPr>
            <w:t xml:space="preserve">9.1. </w:t>
          </w:r>
          <w:r>
            <w:rPr>
              <w:color w:val="000000" w:themeColor="text1"/>
            </w:rPr>
            <w:t>建设项目概况</w:t>
          </w:r>
          <w:r>
            <w:rPr>
              <w:color w:val="000000" w:themeColor="text1"/>
            </w:rPr>
            <w:tab/>
          </w:r>
          <w:r>
            <w:rPr>
              <w:color w:val="000000" w:themeColor="text1"/>
            </w:rPr>
            <w:fldChar w:fldCharType="begin"/>
          </w:r>
          <w:r>
            <w:rPr>
              <w:color w:val="000000" w:themeColor="text1"/>
            </w:rPr>
            <w:instrText xml:space="preserve"> PAGEREF _Toc17437 </w:instrText>
          </w:r>
          <w:r>
            <w:rPr>
              <w:color w:val="000000" w:themeColor="text1"/>
            </w:rPr>
            <w:fldChar w:fldCharType="separate"/>
          </w:r>
          <w:r>
            <w:rPr>
              <w:color w:val="000000" w:themeColor="text1"/>
            </w:rPr>
            <w:t>206</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_Toc22166 </w:instrText>
          </w:r>
          <w:r>
            <w:rPr>
              <w:rFonts w:hint="eastAsia"/>
              <w:color w:val="000000" w:themeColor="text1"/>
              <w:lang w:val="en-US" w:eastAsia="zh-CN"/>
            </w:rPr>
            <w:fldChar w:fldCharType="separate"/>
          </w:r>
          <w:r>
            <w:rPr>
              <w:rFonts w:hint="default"/>
              <w:color w:val="000000" w:themeColor="text1"/>
              <w:lang w:val="en-US" w:eastAsia="zh-CN"/>
            </w:rPr>
            <w:t xml:space="preserve">9.2. </w:t>
          </w:r>
          <w:r>
            <w:rPr>
              <w:rFonts w:hint="eastAsia"/>
              <w:color w:val="000000" w:themeColor="text1"/>
              <w:lang w:val="en-US" w:eastAsia="zh-CN"/>
            </w:rPr>
            <w:t>环境质量现状</w:t>
          </w:r>
          <w:r>
            <w:rPr>
              <w:color w:val="000000" w:themeColor="text1"/>
            </w:rPr>
            <w:tab/>
          </w:r>
          <w:r>
            <w:rPr>
              <w:color w:val="000000" w:themeColor="text1"/>
            </w:rPr>
            <w:fldChar w:fldCharType="begin"/>
          </w:r>
          <w:r>
            <w:rPr>
              <w:color w:val="000000" w:themeColor="text1"/>
            </w:rPr>
            <w:instrText xml:space="preserve"> PAGEREF _Toc22166 </w:instrText>
          </w:r>
          <w:r>
            <w:rPr>
              <w:color w:val="000000" w:themeColor="text1"/>
            </w:rPr>
            <w:fldChar w:fldCharType="separate"/>
          </w:r>
          <w:r>
            <w:rPr>
              <w:color w:val="000000" w:themeColor="text1"/>
            </w:rPr>
            <w:t>206</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_Toc397 </w:instrText>
          </w:r>
          <w:r>
            <w:rPr>
              <w:rFonts w:hint="eastAsia"/>
              <w:color w:val="000000" w:themeColor="text1"/>
              <w:lang w:val="en-US" w:eastAsia="zh-CN"/>
            </w:rPr>
            <w:fldChar w:fldCharType="separate"/>
          </w:r>
          <w:r>
            <w:rPr>
              <w:rFonts w:hint="default"/>
              <w:color w:val="000000" w:themeColor="text1"/>
              <w:lang w:val="en-US" w:eastAsia="zh-CN"/>
            </w:rPr>
            <w:t>9.3. 污染物排放情况</w:t>
          </w:r>
          <w:r>
            <w:rPr>
              <w:color w:val="000000" w:themeColor="text1"/>
            </w:rPr>
            <w:tab/>
          </w:r>
          <w:r>
            <w:rPr>
              <w:color w:val="000000" w:themeColor="text1"/>
            </w:rPr>
            <w:fldChar w:fldCharType="begin"/>
          </w:r>
          <w:r>
            <w:rPr>
              <w:color w:val="000000" w:themeColor="text1"/>
            </w:rPr>
            <w:instrText xml:space="preserve"> PAGEREF _Toc397 </w:instrText>
          </w:r>
          <w:r>
            <w:rPr>
              <w:color w:val="000000" w:themeColor="text1"/>
            </w:rPr>
            <w:fldChar w:fldCharType="separate"/>
          </w:r>
          <w:r>
            <w:rPr>
              <w:color w:val="000000" w:themeColor="text1"/>
            </w:rPr>
            <w:t>207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_Toc18289 </w:instrText>
          </w:r>
          <w:r>
            <w:rPr>
              <w:rFonts w:hint="eastAsia"/>
              <w:color w:val="000000" w:themeColor="text1"/>
              <w:lang w:val="en-US" w:eastAsia="zh-CN"/>
            </w:rPr>
            <w:fldChar w:fldCharType="separate"/>
          </w:r>
          <w:r>
            <w:rPr>
              <w:rFonts w:hint="default"/>
              <w:color w:val="000000" w:themeColor="text1"/>
              <w:lang w:val="en-US" w:eastAsia="zh-CN"/>
            </w:rPr>
            <w:t>9.3.1. 施工期</w:t>
          </w:r>
          <w:r>
            <w:rPr>
              <w:color w:val="000000" w:themeColor="text1"/>
            </w:rPr>
            <w:tab/>
          </w:r>
          <w:r>
            <w:rPr>
              <w:color w:val="000000" w:themeColor="text1"/>
            </w:rPr>
            <w:fldChar w:fldCharType="begin"/>
          </w:r>
          <w:r>
            <w:rPr>
              <w:color w:val="000000" w:themeColor="text1"/>
            </w:rPr>
            <w:instrText xml:space="preserve"> PAGEREF _Toc18289 </w:instrText>
          </w:r>
          <w:r>
            <w:rPr>
              <w:color w:val="000000" w:themeColor="text1"/>
            </w:rPr>
            <w:fldChar w:fldCharType="separate"/>
          </w:r>
          <w:r>
            <w:rPr>
              <w:color w:val="000000" w:themeColor="text1"/>
            </w:rPr>
            <w:t>207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_Toc6045 </w:instrText>
          </w:r>
          <w:r>
            <w:rPr>
              <w:rFonts w:hint="eastAsia"/>
              <w:color w:val="000000" w:themeColor="text1"/>
              <w:lang w:val="en-US" w:eastAsia="zh-CN"/>
            </w:rPr>
            <w:fldChar w:fldCharType="separate"/>
          </w:r>
          <w:r>
            <w:rPr>
              <w:rFonts w:hint="default"/>
              <w:color w:val="000000" w:themeColor="text1"/>
              <w:lang w:val="en-US" w:eastAsia="zh-CN"/>
            </w:rPr>
            <w:t>9.3.2. 运营期</w:t>
          </w:r>
          <w:r>
            <w:rPr>
              <w:color w:val="000000" w:themeColor="text1"/>
            </w:rPr>
            <w:tab/>
          </w:r>
          <w:r>
            <w:rPr>
              <w:color w:val="000000" w:themeColor="text1"/>
            </w:rPr>
            <w:fldChar w:fldCharType="begin"/>
          </w:r>
          <w:r>
            <w:rPr>
              <w:color w:val="000000" w:themeColor="text1"/>
            </w:rPr>
            <w:instrText xml:space="preserve"> PAGEREF _Toc6045 </w:instrText>
          </w:r>
          <w:r>
            <w:rPr>
              <w:color w:val="000000" w:themeColor="text1"/>
            </w:rPr>
            <w:fldChar w:fldCharType="separate"/>
          </w:r>
          <w:r>
            <w:rPr>
              <w:color w:val="000000" w:themeColor="text1"/>
            </w:rPr>
            <w:t>207</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_Toc7934 </w:instrText>
          </w:r>
          <w:r>
            <w:rPr>
              <w:rFonts w:hint="eastAsia"/>
              <w:color w:val="000000" w:themeColor="text1"/>
              <w:lang w:val="en-US" w:eastAsia="zh-CN"/>
            </w:rPr>
            <w:fldChar w:fldCharType="separate"/>
          </w:r>
          <w:r>
            <w:rPr>
              <w:rFonts w:hint="default"/>
              <w:color w:val="000000" w:themeColor="text1"/>
              <w:lang w:val="en-US" w:eastAsia="zh-CN"/>
            </w:rPr>
            <w:t xml:space="preserve">9.4. </w:t>
          </w:r>
          <w:r>
            <w:rPr>
              <w:rFonts w:hint="eastAsia"/>
              <w:color w:val="000000" w:themeColor="text1"/>
              <w:lang w:val="en-US" w:eastAsia="zh-CN"/>
            </w:rPr>
            <w:t>主要环境影响及环境保护措施</w:t>
          </w:r>
          <w:r>
            <w:rPr>
              <w:color w:val="000000" w:themeColor="text1"/>
            </w:rPr>
            <w:tab/>
          </w:r>
          <w:r>
            <w:rPr>
              <w:color w:val="000000" w:themeColor="text1"/>
            </w:rPr>
            <w:fldChar w:fldCharType="begin"/>
          </w:r>
          <w:r>
            <w:rPr>
              <w:color w:val="000000" w:themeColor="text1"/>
            </w:rPr>
            <w:instrText xml:space="preserve"> PAGEREF _Toc7934 </w:instrText>
          </w:r>
          <w:r>
            <w:rPr>
              <w:color w:val="000000" w:themeColor="text1"/>
            </w:rPr>
            <w:fldChar w:fldCharType="separate"/>
          </w:r>
          <w:r>
            <w:rPr>
              <w:color w:val="000000" w:themeColor="text1"/>
            </w:rPr>
            <w:t>207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_Toc18650 </w:instrText>
          </w:r>
          <w:r>
            <w:rPr>
              <w:rFonts w:hint="eastAsia"/>
              <w:color w:val="000000" w:themeColor="text1"/>
              <w:lang w:val="en-US" w:eastAsia="zh-CN"/>
            </w:rPr>
            <w:fldChar w:fldCharType="separate"/>
          </w:r>
          <w:r>
            <w:rPr>
              <w:rFonts w:hint="default"/>
              <w:color w:val="000000" w:themeColor="text1"/>
              <w:lang w:val="en-US" w:eastAsia="zh-CN"/>
            </w:rPr>
            <w:t xml:space="preserve">9.4.1. </w:t>
          </w:r>
          <w:r>
            <w:rPr>
              <w:rFonts w:hint="eastAsia"/>
              <w:color w:val="000000" w:themeColor="text1"/>
              <w:lang w:val="en-US" w:eastAsia="zh-CN"/>
            </w:rPr>
            <w:t>施工期</w:t>
          </w:r>
          <w:r>
            <w:rPr>
              <w:color w:val="000000" w:themeColor="text1"/>
            </w:rPr>
            <w:tab/>
          </w:r>
          <w:r>
            <w:rPr>
              <w:color w:val="000000" w:themeColor="text1"/>
            </w:rPr>
            <w:fldChar w:fldCharType="begin"/>
          </w:r>
          <w:r>
            <w:rPr>
              <w:color w:val="000000" w:themeColor="text1"/>
            </w:rPr>
            <w:instrText xml:space="preserve"> PAGEREF _Toc18650 </w:instrText>
          </w:r>
          <w:r>
            <w:rPr>
              <w:color w:val="000000" w:themeColor="text1"/>
            </w:rPr>
            <w:fldChar w:fldCharType="separate"/>
          </w:r>
          <w:r>
            <w:rPr>
              <w:color w:val="000000" w:themeColor="text1"/>
            </w:rPr>
            <w:t>207</w:t>
          </w:r>
          <w:r>
            <w:rPr>
              <w:color w:val="000000" w:themeColor="text1"/>
            </w:rPr>
            <w:fldChar w:fldCharType="end"/>
          </w:r>
          <w:r>
            <w:rPr>
              <w:rFonts w:hint="eastAsia"/>
              <w:color w:val="000000" w:themeColor="text1"/>
              <w:lang w:val="en-US" w:eastAsia="zh-CN"/>
            </w:rPr>
            <w:fldChar w:fldCharType="end"/>
          </w:r>
        </w:p>
        <w:p>
          <w:pPr>
            <w:pStyle w:val="17"/>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_Toc21566 </w:instrText>
          </w:r>
          <w:r>
            <w:rPr>
              <w:rFonts w:hint="eastAsia"/>
              <w:color w:val="000000" w:themeColor="text1"/>
              <w:lang w:val="en-US" w:eastAsia="zh-CN"/>
            </w:rPr>
            <w:fldChar w:fldCharType="separate"/>
          </w:r>
          <w:r>
            <w:rPr>
              <w:rFonts w:hint="default"/>
              <w:color w:val="000000" w:themeColor="text1"/>
              <w:lang w:val="en-US" w:eastAsia="zh-CN"/>
            </w:rPr>
            <w:t xml:space="preserve">9.4.2. </w:t>
          </w:r>
          <w:r>
            <w:rPr>
              <w:rFonts w:hint="eastAsia"/>
              <w:color w:val="000000" w:themeColor="text1"/>
              <w:lang w:val="en-US" w:eastAsia="zh-CN"/>
            </w:rPr>
            <w:t>运营期</w:t>
          </w:r>
          <w:r>
            <w:rPr>
              <w:color w:val="000000" w:themeColor="text1"/>
            </w:rPr>
            <w:tab/>
          </w:r>
          <w:r>
            <w:rPr>
              <w:color w:val="000000" w:themeColor="text1"/>
            </w:rPr>
            <w:fldChar w:fldCharType="begin"/>
          </w:r>
          <w:r>
            <w:rPr>
              <w:color w:val="000000" w:themeColor="text1"/>
            </w:rPr>
            <w:instrText xml:space="preserve"> PAGEREF _Toc21566 </w:instrText>
          </w:r>
          <w:r>
            <w:rPr>
              <w:color w:val="000000" w:themeColor="text1"/>
            </w:rPr>
            <w:fldChar w:fldCharType="separate"/>
          </w:r>
          <w:r>
            <w:rPr>
              <w:color w:val="000000" w:themeColor="text1"/>
            </w:rPr>
            <w:t>208</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_Toc31835 </w:instrText>
          </w:r>
          <w:r>
            <w:rPr>
              <w:rFonts w:hint="eastAsia"/>
              <w:color w:val="000000" w:themeColor="text1"/>
              <w:lang w:val="en-US" w:eastAsia="zh-CN"/>
            </w:rPr>
            <w:fldChar w:fldCharType="separate"/>
          </w:r>
          <w:r>
            <w:rPr>
              <w:rFonts w:hint="default"/>
              <w:color w:val="000000" w:themeColor="text1"/>
              <w:lang w:val="en-US" w:eastAsia="zh-CN"/>
            </w:rPr>
            <w:t xml:space="preserve">9.5. </w:t>
          </w:r>
          <w:r>
            <w:rPr>
              <w:rFonts w:hint="eastAsia"/>
              <w:color w:val="000000" w:themeColor="text1"/>
              <w:lang w:val="en-US" w:eastAsia="zh-CN"/>
            </w:rPr>
            <w:t>公众意见采纳情况</w:t>
          </w:r>
          <w:r>
            <w:rPr>
              <w:color w:val="000000" w:themeColor="text1"/>
            </w:rPr>
            <w:tab/>
          </w:r>
          <w:r>
            <w:rPr>
              <w:color w:val="000000" w:themeColor="text1"/>
            </w:rPr>
            <w:fldChar w:fldCharType="begin"/>
          </w:r>
          <w:r>
            <w:rPr>
              <w:color w:val="000000" w:themeColor="text1"/>
            </w:rPr>
            <w:instrText xml:space="preserve"> PAGEREF _Toc31835 </w:instrText>
          </w:r>
          <w:r>
            <w:rPr>
              <w:color w:val="000000" w:themeColor="text1"/>
            </w:rPr>
            <w:fldChar w:fldCharType="separate"/>
          </w:r>
          <w:r>
            <w:rPr>
              <w:color w:val="000000" w:themeColor="text1"/>
            </w:rPr>
            <w:t>209</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_Toc13719 </w:instrText>
          </w:r>
          <w:r>
            <w:rPr>
              <w:rFonts w:hint="eastAsia"/>
              <w:color w:val="000000" w:themeColor="text1"/>
              <w:lang w:val="en-US" w:eastAsia="zh-CN"/>
            </w:rPr>
            <w:fldChar w:fldCharType="separate"/>
          </w:r>
          <w:r>
            <w:rPr>
              <w:rFonts w:hint="default"/>
              <w:color w:val="000000" w:themeColor="text1"/>
              <w:lang w:val="en-US" w:eastAsia="zh-CN"/>
            </w:rPr>
            <w:t xml:space="preserve">9.6. </w:t>
          </w:r>
          <w:r>
            <w:rPr>
              <w:rFonts w:hint="eastAsia"/>
              <w:color w:val="000000" w:themeColor="text1"/>
              <w:lang w:val="en-US" w:eastAsia="zh-CN"/>
            </w:rPr>
            <w:t>环境影响经济损益分析</w:t>
          </w:r>
          <w:r>
            <w:rPr>
              <w:color w:val="000000" w:themeColor="text1"/>
            </w:rPr>
            <w:tab/>
          </w:r>
          <w:r>
            <w:rPr>
              <w:color w:val="000000" w:themeColor="text1"/>
            </w:rPr>
            <w:fldChar w:fldCharType="begin"/>
          </w:r>
          <w:r>
            <w:rPr>
              <w:color w:val="000000" w:themeColor="text1"/>
            </w:rPr>
            <w:instrText xml:space="preserve"> PAGEREF _Toc13719 </w:instrText>
          </w:r>
          <w:r>
            <w:rPr>
              <w:color w:val="000000" w:themeColor="text1"/>
            </w:rPr>
            <w:fldChar w:fldCharType="separate"/>
          </w:r>
          <w:r>
            <w:rPr>
              <w:color w:val="000000" w:themeColor="text1"/>
            </w:rPr>
            <w:t>210</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_Toc985 </w:instrText>
          </w:r>
          <w:r>
            <w:rPr>
              <w:rFonts w:hint="eastAsia"/>
              <w:color w:val="000000" w:themeColor="text1"/>
              <w:lang w:val="en-US" w:eastAsia="zh-CN"/>
            </w:rPr>
            <w:fldChar w:fldCharType="separate"/>
          </w:r>
          <w:r>
            <w:rPr>
              <w:rFonts w:hint="default" w:ascii="Times New Roman" w:hAnsi="Times New Roman"/>
              <w:color w:val="000000" w:themeColor="text1"/>
              <w:lang w:val="en-US" w:eastAsia="zh-CN"/>
            </w:rPr>
            <w:t xml:space="preserve">9.7. </w:t>
          </w:r>
          <w:r>
            <w:rPr>
              <w:rFonts w:hint="eastAsia" w:ascii="Times New Roman" w:hAnsi="Times New Roman"/>
              <w:color w:val="000000" w:themeColor="text1"/>
              <w:lang w:val="en-US" w:eastAsia="zh-CN"/>
            </w:rPr>
            <w:t>环境监理与监测计划</w:t>
          </w:r>
          <w:r>
            <w:rPr>
              <w:color w:val="000000" w:themeColor="text1"/>
            </w:rPr>
            <w:tab/>
          </w:r>
          <w:r>
            <w:rPr>
              <w:color w:val="000000" w:themeColor="text1"/>
            </w:rPr>
            <w:fldChar w:fldCharType="begin"/>
          </w:r>
          <w:r>
            <w:rPr>
              <w:color w:val="000000" w:themeColor="text1"/>
            </w:rPr>
            <w:instrText xml:space="preserve"> PAGEREF _Toc985 </w:instrText>
          </w:r>
          <w:r>
            <w:rPr>
              <w:color w:val="000000" w:themeColor="text1"/>
            </w:rPr>
            <w:fldChar w:fldCharType="separate"/>
          </w:r>
          <w:r>
            <w:rPr>
              <w:color w:val="000000" w:themeColor="text1"/>
            </w:rPr>
            <w:t>210</w:t>
          </w:r>
          <w:r>
            <w:rPr>
              <w:color w:val="000000" w:themeColor="text1"/>
            </w:rPr>
            <w:fldChar w:fldCharType="end"/>
          </w:r>
          <w:r>
            <w:rPr>
              <w:rFonts w:hint="eastAsia"/>
              <w:color w:val="000000" w:themeColor="text1"/>
              <w:lang w:val="en-US" w:eastAsia="zh-CN"/>
            </w:rPr>
            <w:fldChar w:fldCharType="end"/>
          </w:r>
        </w:p>
        <w:p>
          <w:pPr>
            <w:pStyle w:val="26"/>
            <w:tabs>
              <w:tab w:val="right" w:leader="dot" w:pos="9070"/>
            </w:tabs>
            <w:rPr>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HYPERLINK \l _Toc16164 </w:instrText>
          </w:r>
          <w:r>
            <w:rPr>
              <w:rFonts w:hint="eastAsia"/>
              <w:color w:val="000000" w:themeColor="text1"/>
              <w:lang w:val="en-US" w:eastAsia="zh-CN"/>
            </w:rPr>
            <w:fldChar w:fldCharType="separate"/>
          </w:r>
          <w:r>
            <w:rPr>
              <w:rFonts w:hint="default" w:ascii="Times New Roman" w:hAnsi="Times New Roman"/>
              <w:color w:val="000000" w:themeColor="text1"/>
              <w:lang w:val="en-US" w:eastAsia="zh-CN"/>
            </w:rPr>
            <w:t xml:space="preserve">9.8. </w:t>
          </w:r>
          <w:r>
            <w:rPr>
              <w:rFonts w:hint="eastAsia" w:ascii="Times New Roman" w:hAnsi="Times New Roman"/>
              <w:color w:val="000000" w:themeColor="text1"/>
              <w:lang w:val="en-US" w:eastAsia="zh-CN"/>
            </w:rPr>
            <w:t>评价总结论</w:t>
          </w:r>
          <w:r>
            <w:rPr>
              <w:color w:val="000000" w:themeColor="text1"/>
            </w:rPr>
            <w:tab/>
          </w:r>
          <w:r>
            <w:rPr>
              <w:color w:val="000000" w:themeColor="text1"/>
            </w:rPr>
            <w:fldChar w:fldCharType="begin"/>
          </w:r>
          <w:r>
            <w:rPr>
              <w:color w:val="000000" w:themeColor="text1"/>
            </w:rPr>
            <w:instrText xml:space="preserve"> PAGEREF _Toc16164 </w:instrText>
          </w:r>
          <w:r>
            <w:rPr>
              <w:color w:val="000000" w:themeColor="text1"/>
            </w:rPr>
            <w:fldChar w:fldCharType="separate"/>
          </w:r>
          <w:r>
            <w:rPr>
              <w:color w:val="000000" w:themeColor="text1"/>
            </w:rPr>
            <w:t>210</w:t>
          </w:r>
          <w:r>
            <w:rPr>
              <w:color w:val="000000" w:themeColor="text1"/>
            </w:rPr>
            <w:fldChar w:fldCharType="end"/>
          </w:r>
          <w:r>
            <w:rPr>
              <w:rFonts w:hint="eastAsia"/>
              <w:color w:val="000000" w:themeColor="text1"/>
              <w:lang w:val="en-US" w:eastAsia="zh-CN"/>
            </w:rPr>
            <w:fldChar w:fldCharType="end"/>
          </w:r>
        </w:p>
        <w:p>
          <w:pPr>
            <w:pStyle w:val="3"/>
            <w:numPr>
              <w:ilvl w:val="0"/>
              <w:numId w:val="0"/>
            </w:numPr>
            <w:ind w:left="1890" w:leftChars="0"/>
            <w:jc w:val="both"/>
            <w:rPr>
              <w:rFonts w:hint="eastAsia"/>
              <w:color w:val="000000" w:themeColor="text1"/>
              <w:lang w:val="en-US" w:eastAsia="zh-CN"/>
            </w:rPr>
            <w:sectPr>
              <w:footerReference r:id="rId9" w:type="default"/>
              <w:pgSz w:w="11906" w:h="16838"/>
              <w:pgMar w:top="1134" w:right="1418" w:bottom="1134" w:left="1418" w:header="850" w:footer="567" w:gutter="0"/>
              <w:pgBorders>
                <w:top w:val="none" w:sz="0" w:space="0"/>
                <w:left w:val="none" w:sz="0" w:space="0"/>
                <w:bottom w:val="none" w:sz="0" w:space="0"/>
                <w:right w:val="none" w:sz="0" w:space="0"/>
              </w:pgBorders>
              <w:pgNumType w:start="1"/>
              <w:cols w:space="720" w:num="1"/>
              <w:docGrid w:linePitch="326" w:charSpace="0"/>
            </w:sectPr>
          </w:pPr>
        </w:p>
        <w:p>
          <w:pPr>
            <w:pStyle w:val="3"/>
            <w:numPr>
              <w:ilvl w:val="0"/>
              <w:numId w:val="0"/>
            </w:numPr>
            <w:tabs>
              <w:tab w:val="center" w:pos="4535"/>
            </w:tabs>
            <w:jc w:val="both"/>
            <w:rPr>
              <w:color w:val="000000" w:themeColor="text1"/>
            </w:rPr>
          </w:pPr>
          <w:r>
            <w:rPr>
              <w:rFonts w:hint="eastAsia"/>
              <w:color w:val="000000" w:themeColor="text1"/>
              <w:lang w:val="en-US" w:eastAsia="zh-CN"/>
            </w:rPr>
            <w:fldChar w:fldCharType="end"/>
          </w:r>
        </w:p>
      </w:sdtContent>
    </w:sdt>
    <w:p>
      <w:pPr>
        <w:pStyle w:val="3"/>
        <w:keepNext/>
        <w:keepLines/>
        <w:pageBreakBefore w:val="0"/>
        <w:widowControl w:val="0"/>
        <w:kinsoku/>
        <w:wordWrap/>
        <w:overflowPunct/>
        <w:topLinePunct w:val="0"/>
        <w:autoSpaceDE/>
        <w:autoSpaceDN/>
        <w:bidi w:val="0"/>
        <w:adjustRightInd w:val="0"/>
        <w:snapToGrid w:val="0"/>
        <w:spacing w:before="0"/>
        <w:ind w:left="431" w:hanging="431"/>
        <w:jc w:val="center"/>
        <w:textAlignment w:val="auto"/>
        <w:outlineLvl w:val="0"/>
        <w:rPr>
          <w:color w:val="000000" w:themeColor="text1"/>
        </w:rPr>
      </w:pPr>
      <w:bookmarkStart w:id="0" w:name="_Toc18789_WPSOffice_Level1"/>
      <w:bookmarkStart w:id="1" w:name="_Toc32464"/>
      <w:bookmarkStart w:id="2" w:name="_Toc6276"/>
      <w:bookmarkStart w:id="3" w:name="_Toc14830"/>
      <w:bookmarkStart w:id="4" w:name="_Toc9485"/>
      <w:r>
        <w:rPr>
          <w:color w:val="000000" w:themeColor="text1"/>
        </w:rPr>
        <w:t>概述</w:t>
      </w:r>
      <w:bookmarkEnd w:id="0"/>
      <w:bookmarkEnd w:id="1"/>
      <w:bookmarkEnd w:id="2"/>
      <w:bookmarkEnd w:id="3"/>
      <w:bookmarkEnd w:id="4"/>
    </w:p>
    <w:p>
      <w:pPr>
        <w:pStyle w:val="4"/>
        <w:rPr>
          <w:color w:val="000000" w:themeColor="text1"/>
        </w:rPr>
      </w:pPr>
      <w:bookmarkStart w:id="5" w:name="_Toc18938"/>
      <w:bookmarkStart w:id="6" w:name="_Toc5977"/>
      <w:bookmarkStart w:id="7" w:name="_Toc4663_WPSOffice_Level2"/>
      <w:bookmarkStart w:id="8" w:name="_Toc20711"/>
      <w:bookmarkStart w:id="9" w:name="_Toc24564"/>
      <w:r>
        <w:rPr>
          <w:color w:val="000000" w:themeColor="text1"/>
        </w:rPr>
        <w:t>项目</w:t>
      </w:r>
      <w:bookmarkEnd w:id="5"/>
      <w:bookmarkEnd w:id="6"/>
      <w:bookmarkEnd w:id="7"/>
      <w:bookmarkEnd w:id="8"/>
      <w:bookmarkEnd w:id="9"/>
      <w:r>
        <w:rPr>
          <w:rFonts w:hint="eastAsia"/>
          <w:color w:val="000000" w:themeColor="text1"/>
          <w:lang w:eastAsia="zh-CN"/>
        </w:rPr>
        <w:t>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bookmarkStart w:id="10" w:name="_Toc29889"/>
      <w:bookmarkStart w:id="11" w:name="_Toc12872"/>
      <w:bookmarkStart w:id="12" w:name="_Toc26119"/>
      <w:r>
        <w:rPr>
          <w:rFonts w:hint="default" w:ascii="Times New Roman" w:hAnsi="Times New Roman" w:eastAsia="宋体" w:cs="Times New Roman"/>
          <w:color w:val="000000" w:themeColor="text1"/>
          <w:sz w:val="24"/>
          <w:szCs w:val="24"/>
        </w:rPr>
        <w:t>旬阳县恒欣矿业有限公司在旬阳县铜钱关镇水磨沟口建设有旬阳县赤岩镇水磨沟口构皮沟毒重石矿，该矿</w:t>
      </w:r>
      <w:r>
        <w:rPr>
          <w:rFonts w:hint="default" w:ascii="Times New Roman" w:hAnsi="Times New Roman" w:eastAsia="宋体" w:cs="Times New Roman"/>
          <w:bCs/>
          <w:color w:val="000000" w:themeColor="text1"/>
          <w:sz w:val="24"/>
          <w:szCs w:val="24"/>
        </w:rPr>
        <w:t>是2009年</w:t>
      </w:r>
      <w:r>
        <w:rPr>
          <w:rFonts w:hint="default" w:ascii="Times New Roman" w:hAnsi="Times New Roman" w:eastAsia="宋体" w:cs="Times New Roman"/>
          <w:color w:val="000000" w:themeColor="text1"/>
          <w:sz w:val="24"/>
          <w:szCs w:val="24"/>
        </w:rPr>
        <w:t>由旬阳县赤岩镇大磨沟重晶石矿和旬阳县金城毒重石矿</w:t>
      </w:r>
      <w:r>
        <w:rPr>
          <w:rFonts w:hint="default" w:ascii="Times New Roman" w:hAnsi="Times New Roman" w:eastAsia="宋体" w:cs="Times New Roman"/>
          <w:bCs/>
          <w:color w:val="000000" w:themeColor="text1"/>
          <w:sz w:val="24"/>
          <w:szCs w:val="24"/>
        </w:rPr>
        <w:t>二个矿山整合而成，计划进行重晶石及伴生的毒重石开采，年生产能力为3万吨。该矿由于企业自身原因建设缓慢，目前尚未形成生产能力</w:t>
      </w:r>
      <w:r>
        <w:rPr>
          <w:rFonts w:hint="default" w:ascii="Times New Roman" w:hAnsi="Times New Roman" w:eastAsia="宋体" w:cs="Times New Roman"/>
          <w:color w:val="000000" w:themeColor="text1"/>
          <w:sz w:val="24"/>
          <w:szCs w:val="24"/>
        </w:rPr>
        <w:t>。由于产业政策调整，3万吨/年开采能力已不能满足相关政策要求。为了契合当前产业政策要求及扩大生产规模，形成集约化生产，降低单位产品生产成本，旬阳县恒欣矿业有限公司在现有矿山基础上，建设旬阳县赤岩镇水磨河口构皮沟毒重石（重晶石及伴生毒重石）矿扩建项目。根据</w:t>
      </w:r>
      <w:r>
        <w:rPr>
          <w:rFonts w:hint="eastAsia" w:ascii="Times New Roman" w:hAnsi="Times New Roman" w:eastAsia="宋体" w:cs="Times New Roman"/>
          <w:color w:val="000000" w:themeColor="text1"/>
          <w:sz w:val="24"/>
          <w:szCs w:val="24"/>
          <w:lang w:eastAsia="zh-CN"/>
        </w:rPr>
        <w:t>《陕西省矿产资源总体规划》（</w:t>
      </w:r>
      <w:r>
        <w:rPr>
          <w:rFonts w:hint="eastAsia" w:ascii="Times New Roman" w:hAnsi="Times New Roman" w:eastAsia="宋体" w:cs="Times New Roman"/>
          <w:color w:val="000000" w:themeColor="text1"/>
          <w:sz w:val="24"/>
          <w:szCs w:val="24"/>
          <w:lang w:val="en-US" w:eastAsia="zh-CN"/>
        </w:rPr>
        <w:t>2016-2020</w:t>
      </w:r>
      <w:r>
        <w:rPr>
          <w:rFonts w:hint="eastAsia" w:ascii="Times New Roman" w:hAnsi="Times New Roman" w:eastAsia="宋体" w:cs="Times New Roman"/>
          <w:color w:val="000000" w:themeColor="text1"/>
          <w:sz w:val="24"/>
          <w:szCs w:val="24"/>
          <w:lang w:eastAsia="zh-CN"/>
        </w:rPr>
        <w:t>）、《安康市矿产资源总体规划》（</w:t>
      </w:r>
      <w:r>
        <w:rPr>
          <w:rFonts w:hint="eastAsia" w:ascii="Times New Roman" w:hAnsi="Times New Roman" w:eastAsia="宋体" w:cs="Times New Roman"/>
          <w:color w:val="000000" w:themeColor="text1"/>
          <w:sz w:val="24"/>
          <w:szCs w:val="24"/>
          <w:lang w:val="en-US" w:eastAsia="zh-CN"/>
        </w:rPr>
        <w:t>2016-2020</w:t>
      </w:r>
      <w:r>
        <w:rPr>
          <w:rFonts w:hint="eastAsia" w:ascii="Times New Roman" w:hAnsi="Times New Roman" w:eastAsia="宋体" w:cs="Times New Roman"/>
          <w:color w:val="000000" w:themeColor="text1"/>
          <w:sz w:val="24"/>
          <w:szCs w:val="24"/>
          <w:lang w:eastAsia="zh-CN"/>
        </w:rPr>
        <w:t>）等相关文件</w:t>
      </w:r>
      <w:r>
        <w:rPr>
          <w:rFonts w:hint="default" w:ascii="Times New Roman" w:hAnsi="Times New Roman" w:eastAsia="宋体" w:cs="Times New Roman"/>
          <w:color w:val="000000" w:themeColor="text1"/>
          <w:sz w:val="24"/>
          <w:szCs w:val="24"/>
        </w:rPr>
        <w:t>对矿山最低生产规模的要求，本项目扩建完成后，矿山产能将由3万吨/年提升至5万吨/年。</w:t>
      </w:r>
    </w:p>
    <w:p>
      <w:pPr>
        <w:pStyle w:val="4"/>
        <w:rPr>
          <w:color w:val="000000" w:themeColor="text1"/>
        </w:rPr>
      </w:pPr>
      <w:bookmarkStart w:id="13" w:name="_Toc31828_WPSOffice_Level2"/>
      <w:bookmarkStart w:id="14" w:name="_Toc31740"/>
      <w:r>
        <w:rPr>
          <w:rFonts w:hint="eastAsia"/>
          <w:color w:val="000000" w:themeColor="text1"/>
        </w:rPr>
        <w:t>建设项目特点</w:t>
      </w:r>
      <w:bookmarkEnd w:id="10"/>
      <w:bookmarkEnd w:id="11"/>
      <w:bookmarkEnd w:id="12"/>
      <w:bookmarkEnd w:id="13"/>
      <w:bookmarkEnd w:id="14"/>
    </w:p>
    <w:p>
      <w:pPr>
        <w:spacing w:before="11" w:line="374" w:lineRule="auto"/>
        <w:ind w:left="8" w:right="7" w:firstLine="481"/>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（1）本项目为扩建项目，产能由原来的3万吨/a变为5万吨/a。</w:t>
      </w:r>
    </w:p>
    <w:p>
      <w:pPr>
        <w:spacing w:before="11" w:line="374" w:lineRule="auto"/>
        <w:ind w:left="8" w:right="7" w:firstLine="481"/>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（2）项目目前处于停工状态。项目矿区原建设年开采3万吨矿山，已建设多年，但尚未形成生产能力。项目由两个矿体，K1和K2组成，现有项目对K1进行了开采，K2尚未开采。</w:t>
      </w:r>
    </w:p>
    <w:p>
      <w:pPr>
        <w:spacing w:before="11" w:line="374" w:lineRule="auto"/>
        <w:ind w:left="8" w:right="7" w:firstLine="481"/>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（3）本项目为地下开采，生态破坏相对较小。</w:t>
      </w:r>
    </w:p>
    <w:p>
      <w:pPr>
        <w:spacing w:before="11" w:line="374" w:lineRule="auto"/>
        <w:ind w:left="8" w:right="7" w:firstLine="481"/>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（4）评价区无自然保护区、风景名胜区、集中饮用水水源保护区等敏感区。</w:t>
      </w:r>
    </w:p>
    <w:p>
      <w:pPr>
        <w:spacing w:before="11" w:line="374" w:lineRule="auto"/>
        <w:ind w:left="8" w:right="7" w:firstLine="481"/>
        <w:rPr>
          <w:rFonts w:hint="eastAsia" w:ascii="Times New Roman" w:hAnsi="Times New Roman" w:cs="Times New Roman" w:eastAsiaTheme="minorEastAsia"/>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（5）矿区资源丰富，水电条件基本有保证。</w:t>
      </w:r>
    </w:p>
    <w:p>
      <w:pPr>
        <w:pStyle w:val="4"/>
        <w:rPr>
          <w:color w:val="000000" w:themeColor="text1"/>
        </w:rPr>
      </w:pPr>
      <w:bookmarkStart w:id="15" w:name="_Toc31553_WPSOffice_Level2"/>
      <w:bookmarkStart w:id="16" w:name="_Toc11184"/>
      <w:r>
        <w:rPr>
          <w:rFonts w:hint="eastAsia"/>
          <w:color w:val="000000" w:themeColor="text1"/>
        </w:rPr>
        <w:t>工作过程</w:t>
      </w:r>
      <w:bookmarkEnd w:id="15"/>
      <w:bookmarkEnd w:id="1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Cs/>
          <w:color w:val="000000" w:themeColor="text1"/>
          <w:sz w:val="24"/>
          <w:szCs w:val="24"/>
        </w:rPr>
        <w:t>根据《建设项目环境影响评价分类管理名录》（20</w:t>
      </w:r>
      <w:r>
        <w:rPr>
          <w:rFonts w:hint="default" w:ascii="Times New Roman" w:hAnsi="Times New Roman" w:eastAsia="宋体" w:cs="Times New Roman"/>
          <w:bCs/>
          <w:color w:val="000000" w:themeColor="text1"/>
          <w:sz w:val="24"/>
          <w:szCs w:val="24"/>
          <w:lang w:val="en-US" w:eastAsia="zh-CN"/>
        </w:rPr>
        <w:t>21年版</w:t>
      </w:r>
      <w:r>
        <w:rPr>
          <w:rFonts w:hint="default" w:ascii="Times New Roman" w:hAnsi="Times New Roman" w:eastAsia="宋体" w:cs="Times New Roman"/>
          <w:bCs/>
          <w:color w:val="000000" w:themeColor="text1"/>
          <w:sz w:val="24"/>
          <w:szCs w:val="24"/>
        </w:rPr>
        <w:t>），</w:t>
      </w:r>
      <w:r>
        <w:rPr>
          <w:rFonts w:hint="default" w:ascii="Times New Roman" w:hAnsi="Times New Roman" w:eastAsia="宋体" w:cs="Times New Roman"/>
          <w:color w:val="000000" w:themeColor="text1"/>
          <w:sz w:val="24"/>
          <w:szCs w:val="24"/>
        </w:rPr>
        <w:t>本项目类别为</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八</w:t>
      </w:r>
      <w:r>
        <w:rPr>
          <w:rFonts w:hint="default" w:ascii="Times New Roman" w:hAnsi="Times New Roman" w:eastAsia="宋体" w:cs="Times New Roman"/>
          <w:color w:val="000000" w:themeColor="text1"/>
          <w:sz w:val="24"/>
          <w:szCs w:val="24"/>
        </w:rPr>
        <w:t>、非金属矿采选业</w:t>
      </w:r>
      <w:r>
        <w:rPr>
          <w:rFonts w:hint="default" w:ascii="Times New Roman" w:hAnsi="Times New Roman" w:eastAsia="宋体" w:cs="Times New Roman"/>
          <w:color w:val="000000" w:themeColor="text1"/>
          <w:sz w:val="24"/>
          <w:szCs w:val="24"/>
          <w:lang w:val="en-US" w:eastAsia="zh-CN"/>
        </w:rPr>
        <w:t>10</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中的</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12</w:t>
      </w:r>
      <w:r>
        <w:rPr>
          <w:rFonts w:hint="default" w:ascii="Times New Roman" w:hAnsi="Times New Roman" w:eastAsia="宋体" w:cs="Times New Roman"/>
          <w:color w:val="000000" w:themeColor="text1"/>
          <w:sz w:val="24"/>
          <w:szCs w:val="24"/>
        </w:rPr>
        <w:t>、化学矿采选</w:t>
      </w:r>
      <w:r>
        <w:rPr>
          <w:rFonts w:hint="default" w:ascii="Times New Roman" w:hAnsi="Times New Roman" w:eastAsia="宋体" w:cs="Times New Roman"/>
          <w:color w:val="000000" w:themeColor="text1"/>
          <w:sz w:val="24"/>
          <w:szCs w:val="24"/>
          <w:lang w:val="en-US" w:eastAsia="zh-CN"/>
        </w:rPr>
        <w:t>102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，应编制环境影响报告书。旬阳县恒欣矿业有限公司委托我单位承担本项目的环境影响评价工作。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接受委托后，我单位立即组织技术人员进行现场勘查、调研，收集大量的环境现状资料和技术成果，整理、分析与项目有关的各种环境资料，考察了项目建设地及周围环境状况，通过综合整理和认真分析研究，并依据建设单位提供的有关技术资料，在工程分析、环境影响识别和因子筛选等工作的基础上，按照环境影响评价相关标准、技术导则及法律法规等要求，编制完成了本项目环境影响报告书。</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环境影响评价的工作过程</w:t>
      </w:r>
      <w:r>
        <w:rPr>
          <w:rFonts w:ascii="Times New Roman" w:hAnsi="Times New Roman" w:eastAsia="宋体" w:cs="Times New Roman"/>
          <w:color w:val="000000" w:themeColor="text1"/>
          <w:sz w:val="24"/>
        </w:rPr>
        <w:t>根据《环境影响评价技术导则-总纲》（HJ2.1-2016）等相关技术规范的要求，本项目工作共分为三个阶段，第一阶段为调查分析和工作方案制定阶段；第二阶段分析论证和预测评价阶段；第三阶段环境影响报告编制阶段。</w:t>
      </w:r>
    </w:p>
    <w:p>
      <w:pPr>
        <w:adjustRightInd w:val="0"/>
        <w:snapToGrid w:val="0"/>
        <w:spacing w:line="360" w:lineRule="auto"/>
        <w:ind w:firstLine="420" w:firstLineChars="200"/>
        <w:jc w:val="center"/>
        <w:rPr>
          <w:color w:val="000000" w:themeColor="text1"/>
        </w:rPr>
      </w:pPr>
      <w:r>
        <w:rPr>
          <w:color w:val="000000" w:themeColor="text1"/>
        </w:rPr>
        <w:drawing>
          <wp:inline distT="0" distB="0" distL="0" distR="0">
            <wp:extent cx="5514340" cy="5324475"/>
            <wp:effectExtent l="0" t="0" r="1016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cstate="print"/>
                    <a:srcRect/>
                    <a:stretch>
                      <a:fillRect/>
                    </a:stretch>
                  </pic:blipFill>
                  <pic:spPr>
                    <a:xfrm>
                      <a:off x="0" y="0"/>
                      <a:ext cx="5529486" cy="5339227"/>
                    </a:xfrm>
                    <a:prstGeom prst="rect">
                      <a:avLst/>
                    </a:prstGeom>
                    <a:noFill/>
                    <a:ln w="9525">
                      <a:noFill/>
                      <a:miter lim="800000"/>
                      <a:headEnd/>
                      <a:tailEnd/>
                    </a:ln>
                  </pic:spPr>
                </pic:pic>
              </a:graphicData>
            </a:graphic>
          </wp:inline>
        </w:drawing>
      </w:r>
    </w:p>
    <w:p>
      <w:pPr>
        <w:adjustRightInd w:val="0"/>
        <w:snapToGrid w:val="0"/>
        <w:spacing w:line="360" w:lineRule="auto"/>
        <w:ind w:firstLine="422" w:firstLineChars="20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eastAsia="zh-CN"/>
        </w:rPr>
        <w:t>图</w:t>
      </w:r>
      <w:r>
        <w:rPr>
          <w:rFonts w:hint="default" w:ascii="Times New Roman" w:hAnsi="Times New Roman" w:eastAsia="宋体" w:cs="Times New Roman"/>
          <w:b/>
          <w:bCs/>
          <w:color w:val="000000" w:themeColor="text1"/>
          <w:sz w:val="21"/>
          <w:szCs w:val="21"/>
          <w:lang w:val="en-US" w:eastAsia="zh-CN"/>
        </w:rPr>
        <w:t>1.3-1  建设项目环境影响评价工作程序图</w:t>
      </w:r>
    </w:p>
    <w:p>
      <w:pPr>
        <w:pStyle w:val="4"/>
        <w:rPr>
          <w:color w:val="000000" w:themeColor="text1"/>
        </w:rPr>
      </w:pPr>
      <w:bookmarkStart w:id="17" w:name="_Toc7046"/>
      <w:bookmarkStart w:id="18" w:name="_Toc4910"/>
      <w:bookmarkStart w:id="19" w:name="_Toc29572"/>
      <w:bookmarkStart w:id="20" w:name="_Toc8483"/>
      <w:bookmarkStart w:id="21" w:name="_Toc2141_WPSOffice_Level2"/>
      <w:r>
        <w:rPr>
          <w:rFonts w:hint="eastAsia"/>
          <w:color w:val="000000" w:themeColor="text1"/>
        </w:rPr>
        <w:t>分析判定相关情况</w:t>
      </w:r>
      <w:bookmarkEnd w:id="17"/>
      <w:bookmarkEnd w:id="18"/>
      <w:bookmarkEnd w:id="19"/>
      <w:bookmarkEnd w:id="20"/>
      <w:bookmarkEnd w:id="21"/>
    </w:p>
    <w:p>
      <w:pPr>
        <w:pStyle w:val="5"/>
        <w:rPr>
          <w:color w:val="000000" w:themeColor="text1"/>
        </w:rPr>
      </w:pPr>
      <w:bookmarkStart w:id="22" w:name="_Toc4663_WPSOffice_Level3"/>
      <w:bookmarkStart w:id="23" w:name="_Toc2714"/>
      <w:r>
        <w:rPr>
          <w:color w:val="000000" w:themeColor="text1"/>
        </w:rPr>
        <w:t>产业政策符合性分析</w:t>
      </w:r>
      <w:bookmarkEnd w:id="22"/>
      <w:bookmarkEnd w:id="23"/>
    </w:p>
    <w:p>
      <w:pPr>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本项目属于</w:t>
      </w:r>
      <w:r>
        <w:rPr>
          <w:rFonts w:hint="eastAsia" w:ascii="Times New Roman" w:hAnsi="Times New Roman" w:eastAsia="宋体" w:cs="Times New Roman"/>
          <w:color w:val="000000" w:themeColor="text1"/>
          <w:sz w:val="24"/>
          <w:lang w:val="en-US" w:eastAsia="zh-CN"/>
        </w:rPr>
        <w:t>化学矿开采，项目涉及的重晶石、毒重石开采不属于</w:t>
      </w:r>
      <w:r>
        <w:rPr>
          <w:rFonts w:ascii="Times New Roman" w:hAnsi="Times New Roman" w:cs="Times New Roman"/>
          <w:color w:val="000000" w:themeColor="text1"/>
          <w:sz w:val="24"/>
        </w:rPr>
        <w:t>《产业结构调整指导目录（2019年本）》</w:t>
      </w:r>
      <w:r>
        <w:rPr>
          <w:rFonts w:hint="eastAsia" w:ascii="Times New Roman" w:hAnsi="Times New Roman" w:cs="Times New Roman"/>
          <w:color w:val="000000" w:themeColor="text1"/>
          <w:sz w:val="24"/>
          <w:lang w:val="en-US" w:eastAsia="zh-CN"/>
        </w:rPr>
        <w:t>中的鼓励类、</w:t>
      </w:r>
      <w:r>
        <w:rPr>
          <w:rFonts w:hint="eastAsia" w:ascii="Times New Roman" w:hAnsi="Times New Roman" w:eastAsia="宋体" w:cs="Times New Roman"/>
          <w:color w:val="000000" w:themeColor="text1"/>
          <w:sz w:val="24"/>
          <w:lang w:val="en-US" w:eastAsia="zh-CN"/>
        </w:rPr>
        <w:t>限制类、淘汰类，视为允许类，本项目符合国家产业政策。</w:t>
      </w:r>
    </w:p>
    <w:p>
      <w:pPr>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Times New Roman" w:hAnsi="Times New Roman" w:eastAsia="宋体" w:cs="Times New Roman"/>
          <w:color w:val="000000" w:themeColor="text1"/>
          <w:sz w:val="24"/>
          <w:lang w:val="en-US" w:eastAsia="zh-CN"/>
        </w:rPr>
      </w:pPr>
      <w:r>
        <w:rPr>
          <w:rFonts w:ascii="Times New Roman" w:hAnsi="Times New Roman"/>
          <w:color w:val="000000" w:themeColor="text1"/>
          <w:sz w:val="24"/>
        </w:rPr>
        <w:t>本项目已</w:t>
      </w:r>
      <w:r>
        <w:rPr>
          <w:rFonts w:hint="eastAsia" w:ascii="Times New Roman" w:hAnsi="Times New Roman"/>
          <w:color w:val="000000" w:themeColor="text1"/>
          <w:sz w:val="24"/>
          <w:lang w:eastAsia="zh-CN"/>
        </w:rPr>
        <w:t>于</w:t>
      </w:r>
      <w:r>
        <w:rPr>
          <w:rFonts w:hint="eastAsia" w:ascii="Times New Roman" w:hAnsi="Times New Roman"/>
          <w:color w:val="000000" w:themeColor="text1"/>
          <w:sz w:val="24"/>
          <w:lang w:val="en-US" w:eastAsia="zh-CN"/>
        </w:rPr>
        <w:t>2018年10月23日</w:t>
      </w:r>
      <w:r>
        <w:rPr>
          <w:rFonts w:ascii="Times New Roman" w:hAnsi="Times New Roman"/>
          <w:color w:val="000000" w:themeColor="text1"/>
          <w:sz w:val="24"/>
        </w:rPr>
        <w:t>取得</w:t>
      </w:r>
      <w:r>
        <w:rPr>
          <w:rFonts w:hint="eastAsia" w:ascii="Times New Roman" w:hAnsi="Times New Roman"/>
          <w:color w:val="000000" w:themeColor="text1"/>
          <w:sz w:val="24"/>
          <w:lang w:eastAsia="zh-CN"/>
        </w:rPr>
        <w:t>旬阳县</w:t>
      </w:r>
      <w:r>
        <w:rPr>
          <w:rFonts w:ascii="Times New Roman" w:hAnsi="Times New Roman"/>
          <w:color w:val="000000" w:themeColor="text1"/>
          <w:sz w:val="24"/>
        </w:rPr>
        <w:t>发展和改革</w:t>
      </w:r>
      <w:r>
        <w:rPr>
          <w:rFonts w:hint="eastAsia" w:ascii="Times New Roman" w:hAnsi="Times New Roman"/>
          <w:color w:val="000000" w:themeColor="text1"/>
          <w:sz w:val="24"/>
          <w:lang w:eastAsia="zh-CN"/>
        </w:rPr>
        <w:t>局</w:t>
      </w:r>
      <w:r>
        <w:rPr>
          <w:rFonts w:ascii="Times New Roman" w:hAnsi="Times New Roman"/>
          <w:color w:val="000000" w:themeColor="text1"/>
          <w:sz w:val="24"/>
        </w:rPr>
        <w:t>关于本项目的备案确认书（</w:t>
      </w:r>
      <w:r>
        <w:rPr>
          <w:rFonts w:hint="eastAsia" w:ascii="Times New Roman" w:hAnsi="Times New Roman"/>
          <w:color w:val="000000" w:themeColor="text1"/>
          <w:sz w:val="24"/>
          <w:lang w:val="en-US" w:eastAsia="zh-CN"/>
        </w:rPr>
        <w:t>2018</w:t>
      </w:r>
      <w:r>
        <w:rPr>
          <w:rFonts w:ascii="Times New Roman" w:hAnsi="Times New Roman"/>
          <w:color w:val="000000" w:themeColor="text1"/>
          <w:sz w:val="24"/>
        </w:rPr>
        <w:t>-</w:t>
      </w:r>
      <w:r>
        <w:rPr>
          <w:rFonts w:hint="eastAsia" w:ascii="Times New Roman" w:hAnsi="Times New Roman"/>
          <w:color w:val="000000" w:themeColor="text1"/>
          <w:sz w:val="24"/>
          <w:lang w:val="en-US" w:eastAsia="zh-CN"/>
        </w:rPr>
        <w:t>610928</w:t>
      </w:r>
      <w:r>
        <w:rPr>
          <w:rFonts w:ascii="Times New Roman" w:hAnsi="Times New Roman"/>
          <w:color w:val="000000" w:themeColor="text1"/>
          <w:sz w:val="24"/>
        </w:rPr>
        <w:t>-</w:t>
      </w:r>
      <w:r>
        <w:rPr>
          <w:rFonts w:hint="eastAsia" w:ascii="Times New Roman" w:hAnsi="Times New Roman"/>
          <w:color w:val="000000" w:themeColor="text1"/>
          <w:sz w:val="24"/>
          <w:lang w:val="en-US" w:eastAsia="zh-CN"/>
        </w:rPr>
        <w:t>10</w:t>
      </w:r>
      <w:r>
        <w:rPr>
          <w:rFonts w:ascii="Times New Roman" w:hAnsi="Times New Roman"/>
          <w:color w:val="000000" w:themeColor="text1"/>
          <w:sz w:val="24"/>
        </w:rPr>
        <w:t>-0</w:t>
      </w:r>
      <w:r>
        <w:rPr>
          <w:rFonts w:hint="eastAsia" w:ascii="Times New Roman" w:hAnsi="Times New Roman"/>
          <w:color w:val="000000" w:themeColor="text1"/>
          <w:sz w:val="24"/>
          <w:lang w:val="en-US" w:eastAsia="zh-CN"/>
        </w:rPr>
        <w:t>3</w:t>
      </w:r>
      <w:r>
        <w:rPr>
          <w:rFonts w:ascii="Times New Roman" w:hAnsi="Times New Roman"/>
          <w:color w:val="000000" w:themeColor="text1"/>
          <w:sz w:val="24"/>
        </w:rPr>
        <w:t>-</w:t>
      </w:r>
      <w:r>
        <w:rPr>
          <w:rFonts w:hint="eastAsia" w:ascii="Times New Roman" w:hAnsi="Times New Roman"/>
          <w:color w:val="000000" w:themeColor="text1"/>
          <w:sz w:val="24"/>
          <w:lang w:val="en-US" w:eastAsia="zh-CN"/>
        </w:rPr>
        <w:t>057443</w:t>
      </w:r>
      <w:r>
        <w:rPr>
          <w:rFonts w:ascii="Times New Roman" w:hAnsi="Times New Roman"/>
          <w:color w:val="000000" w:themeColor="text1"/>
          <w:sz w:val="24"/>
        </w:rPr>
        <w:t>），符合国家及地方产业政策。</w:t>
      </w:r>
    </w:p>
    <w:p>
      <w:pPr>
        <w:pStyle w:val="5"/>
        <w:rPr>
          <w:rFonts w:hint="eastAsia"/>
          <w:color w:val="000000" w:themeColor="text1"/>
          <w:lang w:val="en-US" w:eastAsia="zh-CN"/>
        </w:rPr>
      </w:pPr>
      <w:bookmarkStart w:id="24" w:name="_Toc9619"/>
      <w:bookmarkStart w:id="25" w:name="_Toc31828_WPSOffice_Level3"/>
      <w:r>
        <w:rPr>
          <w:rFonts w:hint="eastAsia"/>
          <w:color w:val="000000" w:themeColor="text1"/>
          <w:lang w:val="en-US" w:eastAsia="zh-CN"/>
        </w:rPr>
        <w:t>“三线一单”符合性分析</w:t>
      </w:r>
      <w:bookmarkEnd w:id="24"/>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4"/>
          <w:szCs w:val="24"/>
          <w:lang w:val="en-US" w:eastAsia="zh-CN"/>
        </w:rPr>
        <w:t>（1）陕西省“三线一单”符合性分析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rPr>
      </w:pPr>
      <w:r>
        <w:rPr>
          <w:rFonts w:hint="eastAsia" w:ascii="Times New Roman" w:hAnsi="Times New Roman" w:eastAsia="宋体" w:cs="Times New Roman"/>
          <w:b/>
          <w:bCs/>
          <w:color w:val="000000" w:themeColor="text1"/>
          <w:sz w:val="21"/>
          <w:szCs w:val="21"/>
          <w:lang w:eastAsia="zh-CN"/>
        </w:rPr>
        <w:t>表</w:t>
      </w:r>
      <w:r>
        <w:rPr>
          <w:rFonts w:hint="eastAsia" w:ascii="Times New Roman" w:hAnsi="Times New Roman" w:eastAsia="宋体" w:cs="Times New Roman"/>
          <w:b/>
          <w:bCs/>
          <w:color w:val="000000" w:themeColor="text1"/>
          <w:sz w:val="21"/>
          <w:szCs w:val="21"/>
          <w:lang w:val="en-US" w:eastAsia="zh-CN"/>
        </w:rPr>
        <w:t>1.4-1  本项目与《陕西省人民政府关于加快实施“三线一单”生态环境分区管控的意见》（陕政发</w:t>
      </w:r>
      <w:r>
        <w:rPr>
          <w:rFonts w:hint="eastAsia" w:ascii="黑体" w:hAnsi="黑体" w:eastAsia="黑体" w:cs="黑体"/>
          <w:b/>
          <w:bCs/>
          <w:color w:val="000000" w:themeColor="text1"/>
          <w:sz w:val="21"/>
          <w:szCs w:val="21"/>
          <w:lang w:val="en-US" w:eastAsia="zh-CN"/>
        </w:rPr>
        <w:t>〔</w:t>
      </w:r>
      <w:r>
        <w:rPr>
          <w:rFonts w:hint="eastAsia" w:ascii="Times New Roman" w:hAnsi="Times New Roman" w:eastAsia="宋体" w:cs="Times New Roman"/>
          <w:b/>
          <w:bCs/>
          <w:color w:val="000000" w:themeColor="text1"/>
          <w:sz w:val="21"/>
          <w:szCs w:val="21"/>
          <w:lang w:val="en-US" w:eastAsia="zh-CN"/>
        </w:rPr>
        <w:t>2020</w:t>
      </w:r>
      <w:r>
        <w:rPr>
          <w:rFonts w:hint="eastAsia" w:ascii="黑体" w:hAnsi="黑体" w:eastAsia="黑体" w:cs="黑体"/>
          <w:b/>
          <w:bCs/>
          <w:color w:val="000000" w:themeColor="text1"/>
          <w:sz w:val="21"/>
          <w:szCs w:val="21"/>
          <w:lang w:val="en-US" w:eastAsia="zh-CN"/>
        </w:rPr>
        <w:t>〕</w:t>
      </w:r>
      <w:r>
        <w:rPr>
          <w:rFonts w:hint="eastAsia" w:ascii="Times New Roman" w:hAnsi="Times New Roman" w:eastAsia="宋体" w:cs="Times New Roman"/>
          <w:b/>
          <w:bCs/>
          <w:color w:val="000000" w:themeColor="text1"/>
          <w:sz w:val="21"/>
          <w:szCs w:val="21"/>
          <w:lang w:val="en-US" w:eastAsia="zh-CN"/>
        </w:rPr>
        <w:t>11号）符合性分析</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9"/>
        <w:gridCol w:w="3559"/>
        <w:gridCol w:w="1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43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文件要求</w:t>
            </w:r>
          </w:p>
        </w:tc>
        <w:tc>
          <w:tcPr>
            <w:tcW w:w="3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本项目</w:t>
            </w:r>
          </w:p>
        </w:tc>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43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明确生态环境分区管控要求。确定优先保护、重点管控、一般管控单元的总体管控要求。</w:t>
            </w:r>
            <w:r>
              <w:rPr>
                <w:rFonts w:hint="eastAsia" w:ascii="Times New Roman" w:hAnsi="Times New Roman" w:eastAsia="宋体" w:cs="Times New Roman"/>
                <w:color w:val="000000" w:themeColor="text1"/>
                <w:kern w:val="2"/>
                <w:sz w:val="21"/>
                <w:szCs w:val="21"/>
                <w:vertAlign w:val="baseline"/>
                <w:lang w:val="en-US" w:eastAsia="zh-CN" w:bidi="ar-SA"/>
              </w:rPr>
              <w:t>优先保护单元。指以生态环境保护为主的区域，主要包括生态保护红线、自然保护地、集中式饮用水水源保护区等生态功能重要区、生态环境敏感区。重点管控单元。指涉及大气、水、土壤、自然资源等资源环境要素重点管控的区域，主要包括城镇规划区、重点开发区等开发强度高和污染物排放强度大的区域。一般管控单元。指除优先保护单元、重点管控单元以外的其他区域</w:t>
            </w:r>
            <w:r>
              <w:rPr>
                <w:rFonts w:hint="eastAsia" w:ascii="Times New Roman" w:hAnsi="Times New Roman" w:cs="Times New Roman"/>
                <w:color w:val="000000" w:themeColor="text1"/>
                <w:kern w:val="2"/>
                <w:sz w:val="21"/>
                <w:szCs w:val="21"/>
                <w:vertAlign w:val="baseline"/>
                <w:lang w:val="en-US" w:eastAsia="zh-CN" w:bidi="ar-SA"/>
              </w:rPr>
              <w:t>。</w:t>
            </w:r>
            <w:r>
              <w:rPr>
                <w:rFonts w:hint="eastAsia" w:ascii="Times New Roman" w:hAnsi="Times New Roman" w:eastAsia="宋体" w:cs="Times New Roman"/>
                <w:i w:val="0"/>
                <w:caps w:val="0"/>
                <w:color w:val="000000" w:themeColor="text1"/>
                <w:spacing w:val="0"/>
                <w:sz w:val="21"/>
                <w:szCs w:val="21"/>
                <w:shd w:val="clear"/>
              </w:rPr>
              <w:t>一般管控单元主要落实生态环境保护基本要求。在此基础上，按照关中地区发展先进制造业现代服务业、陕北地区能源化工转型升级、陕南地区做强做大绿色生态产业战略定位，聚焦关中大气复合型污染、陕北水环境污染和生态系统脆弱、陕南矿区生态环境保护和重点流域水质保护等问题，确定区域总体环境管控要求。</w:t>
            </w:r>
          </w:p>
        </w:tc>
        <w:tc>
          <w:tcPr>
            <w:tcW w:w="3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根据《陕西省生态环境管控单元分布图》结合</w:t>
            </w:r>
            <w:r>
              <w:rPr>
                <w:rFonts w:hint="default" w:ascii="Times New Roman" w:hAnsi="Times New Roman" w:eastAsia="宋体" w:cs="Times New Roman"/>
                <w:color w:val="000000" w:themeColor="text1"/>
                <w:sz w:val="21"/>
                <w:szCs w:val="21"/>
                <w:vertAlign w:val="baseline"/>
                <w:lang w:val="en-US" w:eastAsia="zh-CN"/>
              </w:rPr>
              <w:t>《安康市</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三线一单</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生态环境分区管控方案的通知》安政发〔2021〕18号</w:t>
            </w:r>
            <w:r>
              <w:rPr>
                <w:rFonts w:hint="eastAsia" w:ascii="Times New Roman" w:hAnsi="Times New Roman" w:eastAsia="宋体" w:cs="Times New Roman"/>
                <w:color w:val="000000" w:themeColor="text1"/>
                <w:sz w:val="21"/>
                <w:szCs w:val="21"/>
                <w:vertAlign w:val="baseline"/>
                <w:lang w:val="en-US" w:eastAsia="zh-CN"/>
              </w:rPr>
              <w:t>可知，本项目位于优先保护单元</w:t>
            </w:r>
            <w:r>
              <w:rPr>
                <w:rFonts w:hint="eastAsia" w:ascii="Times New Roman" w:hAnsi="Times New Roman" w:eastAsia="宋体" w:cs="Times New Roman"/>
                <w:i w:val="0"/>
                <w:caps w:val="0"/>
                <w:color w:val="000000" w:themeColor="text1"/>
                <w:spacing w:val="0"/>
                <w:sz w:val="21"/>
                <w:szCs w:val="21"/>
                <w:shd w:val="clear"/>
                <w:lang w:val="en-US" w:eastAsia="zh-CN"/>
              </w:rPr>
              <w:t>。</w:t>
            </w:r>
            <w:r>
              <w:rPr>
                <w:rFonts w:hint="default" w:ascii="Times New Roman" w:hAnsi="Times New Roman" w:eastAsia="宋体" w:cs="Times New Roman"/>
                <w:color w:val="000000" w:themeColor="text1"/>
                <w:sz w:val="21"/>
                <w:szCs w:val="21"/>
              </w:rPr>
              <w:t>本项目</w:t>
            </w:r>
            <w:r>
              <w:rPr>
                <w:rFonts w:hint="eastAsia" w:ascii="Times New Roman" w:hAnsi="Times New Roman" w:eastAsia="宋体" w:cs="Times New Roman"/>
                <w:color w:val="000000" w:themeColor="text1"/>
                <w:sz w:val="21"/>
                <w:szCs w:val="21"/>
                <w:lang w:val="en-US" w:eastAsia="zh-CN"/>
              </w:rPr>
              <w:t>位于陕南地区，</w:t>
            </w:r>
            <w:r>
              <w:rPr>
                <w:rFonts w:hint="default" w:ascii="Times New Roman" w:hAnsi="Times New Roman" w:eastAsia="宋体" w:cs="Times New Roman"/>
                <w:color w:val="000000" w:themeColor="text1"/>
                <w:sz w:val="21"/>
                <w:szCs w:val="21"/>
              </w:rPr>
              <w:t>为重晶石</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毒重石开采项目，</w:t>
            </w:r>
            <w:r>
              <w:rPr>
                <w:rFonts w:hint="eastAsia"/>
                <w:color w:val="000000" w:themeColor="text1"/>
                <w:sz w:val="21"/>
                <w:szCs w:val="21"/>
                <w:lang w:val="en-US" w:eastAsia="zh-CN"/>
              </w:rPr>
              <w:t>开采方式为地下开采，环境影响相对较小。</w:t>
            </w:r>
            <w:r>
              <w:rPr>
                <w:rFonts w:hint="eastAsia" w:ascii="Times New Roman" w:hAnsi="Times New Roman" w:eastAsia="宋体" w:cs="Times New Roman"/>
                <w:color w:val="000000" w:themeColor="text1"/>
                <w:sz w:val="21"/>
                <w:szCs w:val="21"/>
                <w:lang w:eastAsia="zh-CN"/>
              </w:rPr>
              <w:t>资源总量</w:t>
            </w:r>
            <w:r>
              <w:rPr>
                <w:rFonts w:hint="eastAsia" w:ascii="Times New Roman" w:hAnsi="Times New Roman" w:eastAsia="宋体" w:cs="Times New Roman"/>
                <w:color w:val="000000" w:themeColor="text1"/>
                <w:sz w:val="21"/>
                <w:szCs w:val="21"/>
                <w:lang w:val="en-US" w:eastAsia="zh-CN"/>
              </w:rPr>
              <w:t>29.62万吨，目前已开采3.5万吨，</w:t>
            </w:r>
            <w:r>
              <w:rPr>
                <w:rFonts w:hint="default" w:ascii="Times New Roman" w:hAnsi="Times New Roman" w:eastAsia="宋体" w:cs="Times New Roman"/>
                <w:color w:val="000000" w:themeColor="text1"/>
                <w:sz w:val="21"/>
                <w:szCs w:val="21"/>
              </w:rPr>
              <w:t>项目建成后，采矿生产能力166.7t/d（50000t/a），矿山服务年限5.</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a（不含基建期）</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服务期较短，项目服务期满后，依法对生态进行治理恢复。</w:t>
            </w:r>
            <w:r>
              <w:rPr>
                <w:rFonts w:hint="eastAsia" w:ascii="Times New Roman" w:hAnsi="Times New Roman" w:eastAsia="宋体" w:cs="Times New Roman"/>
                <w:i w:val="0"/>
                <w:caps w:val="0"/>
                <w:color w:val="000000" w:themeColor="text1"/>
                <w:spacing w:val="0"/>
                <w:sz w:val="21"/>
                <w:szCs w:val="21"/>
                <w:shd w:val="clear"/>
                <w:lang w:val="en-US" w:eastAsia="zh-CN"/>
              </w:rPr>
              <w:t>本项目属于陕南地区的矿山开采项目，本项目对生态环境的影响主要为扩建工程施工期，项目不占用自然保护区、森林公园等敏感区，建设过程中严格按照环评及各项文件要求，尽量减少施工占地，闭矿期按照相关文件要求对占地进行恢复治理。综合考虑，本项目对生态环境影响较小，</w:t>
            </w:r>
            <w:r>
              <w:rPr>
                <w:rFonts w:hint="eastAsia" w:ascii="Times New Roman" w:hAnsi="Times New Roman" w:eastAsia="宋体" w:cs="Times New Roman"/>
                <w:color w:val="000000" w:themeColor="text1"/>
                <w:sz w:val="21"/>
                <w:szCs w:val="21"/>
                <w:lang w:val="en-US" w:eastAsia="zh-CN"/>
              </w:rPr>
              <w:t>本项目不属于大规模开发项目，不违背优先保护单元以生态优先的原则</w:t>
            </w:r>
            <w:r>
              <w:rPr>
                <w:rFonts w:hint="default" w:ascii="Times New Roman" w:hAnsi="Times New Roman" w:eastAsia="宋体" w:cs="Times New Roman"/>
                <w:color w:val="000000" w:themeColor="text1"/>
                <w:sz w:val="21"/>
                <w:szCs w:val="21"/>
              </w:rPr>
              <w:t>。</w:t>
            </w:r>
          </w:p>
        </w:tc>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bookmarkEnd w:id="25"/>
    </w:tbl>
    <w:p>
      <w:pPr>
        <w:pStyle w:val="12"/>
        <w:adjustRightInd w:val="0"/>
        <w:snapToGrid w:val="0"/>
        <w:spacing w:after="0" w:line="360" w:lineRule="auto"/>
        <w:ind w:firstLine="422" w:firstLineChars="200"/>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b/>
          <w:bCs/>
          <w:color w:val="000000" w:themeColor="text1"/>
          <w:sz w:val="21"/>
          <w:szCs w:val="21"/>
          <w:lang w:val="en-US" w:eastAsia="zh-CN"/>
        </w:rPr>
        <w:t>表1.4-2  陕西省“三线一单”符合性分析</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027"/>
        <w:gridCol w:w="1701"/>
        <w:gridCol w:w="4661"/>
        <w:gridCol w:w="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5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项目</w:t>
            </w:r>
          </w:p>
        </w:tc>
        <w:tc>
          <w:tcPr>
            <w:tcW w:w="2728"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要求</w:t>
            </w:r>
          </w:p>
        </w:tc>
        <w:tc>
          <w:tcPr>
            <w:tcW w:w="466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w:t>
            </w:r>
          </w:p>
        </w:tc>
        <w:tc>
          <w:tcPr>
            <w:tcW w:w="96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9" w:hRule="atLeast"/>
          <w:jc w:val="center"/>
        </w:trPr>
        <w:tc>
          <w:tcPr>
            <w:tcW w:w="5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生态保护红线</w:t>
            </w:r>
          </w:p>
        </w:tc>
        <w:tc>
          <w:tcPr>
            <w:tcW w:w="2728" w:type="dxa"/>
            <w:gridSpan w:val="2"/>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cs="Times New Roman"/>
                <w:color w:val="000000" w:themeColor="text1"/>
                <w:sz w:val="21"/>
                <w:szCs w:val="21"/>
                <w:vertAlign w:val="baseline"/>
                <w:lang w:val="en-US" w:eastAsia="zh-CN"/>
              </w:rPr>
              <w:t>原则上按照禁止开发区的要求进行管理。</w:t>
            </w:r>
          </w:p>
        </w:tc>
        <w:tc>
          <w:tcPr>
            <w:tcW w:w="466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根据《陕西省生态保护红线图》结合</w:t>
            </w:r>
            <w:r>
              <w:rPr>
                <w:rFonts w:hint="default" w:ascii="Times New Roman" w:hAnsi="Times New Roman" w:eastAsia="宋体" w:cs="Times New Roman"/>
                <w:color w:val="000000" w:themeColor="text1"/>
                <w:sz w:val="21"/>
                <w:szCs w:val="21"/>
                <w:vertAlign w:val="baseline"/>
                <w:lang w:val="en-US" w:eastAsia="zh-CN"/>
              </w:rPr>
              <w:t>《安康市</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三线一单</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生态环境分区管控方案的通知》安政发〔2021〕18号</w:t>
            </w:r>
            <w:r>
              <w:rPr>
                <w:rFonts w:hint="eastAsia" w:ascii="Times New Roman" w:hAnsi="Times New Roman" w:eastAsia="宋体" w:cs="Times New Roman"/>
                <w:color w:val="000000" w:themeColor="text1"/>
                <w:sz w:val="21"/>
                <w:szCs w:val="21"/>
                <w:vertAlign w:val="baseline"/>
                <w:lang w:val="en-US" w:eastAsia="zh-CN"/>
              </w:rPr>
              <w:t>可知，本项目所在的铜钱关镇占用</w:t>
            </w:r>
            <w:r>
              <w:rPr>
                <w:rFonts w:hint="eastAsia"/>
                <w:color w:val="000000" w:themeColor="text1"/>
                <w:sz w:val="21"/>
                <w:szCs w:val="21"/>
                <w:lang w:val="en-US" w:eastAsia="zh-CN"/>
              </w:rPr>
              <w:t>水源涵养生态保护红线区和水土流失生态保护红线区，本项目位于铜钱关镇的天宝</w:t>
            </w:r>
            <w:r>
              <w:rPr>
                <w:rFonts w:hint="default" w:ascii="Times New Roman" w:hAnsi="Times New Roman" w:eastAsia="宋体" w:cs="Times New Roman"/>
                <w:color w:val="000000" w:themeColor="text1"/>
                <w:sz w:val="21"/>
                <w:szCs w:val="21"/>
                <w:lang w:val="en-US" w:eastAsia="zh-CN"/>
              </w:rPr>
              <w:t>寨村6组，</w:t>
            </w:r>
            <w:r>
              <w:rPr>
                <w:rFonts w:hint="eastAsia" w:ascii="Times New Roman" w:hAnsi="Times New Roman" w:eastAsia="宋体" w:cs="Times New Roman"/>
                <w:color w:val="000000" w:themeColor="text1"/>
                <w:sz w:val="21"/>
                <w:szCs w:val="21"/>
                <w:lang w:val="en-US" w:eastAsia="zh-CN"/>
              </w:rPr>
              <w:t>为采掘类项目，开采方式为地下开采，地面以上占地面积较小，对环境的影响较小。</w:t>
            </w:r>
            <w:r>
              <w:rPr>
                <w:rFonts w:hint="default" w:ascii="Times New Roman" w:hAnsi="Times New Roman" w:eastAsia="宋体" w:cs="Times New Roman"/>
                <w:color w:val="000000" w:themeColor="text1"/>
                <w:sz w:val="21"/>
                <w:szCs w:val="21"/>
                <w:lang w:val="en-US" w:eastAsia="zh-CN"/>
              </w:rPr>
              <w:t>在严格落实各项环境</w:t>
            </w:r>
            <w:r>
              <w:rPr>
                <w:rFonts w:hint="eastAsia"/>
                <w:color w:val="000000" w:themeColor="text1"/>
                <w:sz w:val="21"/>
                <w:szCs w:val="21"/>
                <w:lang w:val="en-US" w:eastAsia="zh-CN"/>
              </w:rPr>
              <w:t>保护政策后，符合水源涵养生态保护红线区和水土流失生态保护红线的的空间布局约束要求，因此，本项目符合生态红线管理要求，</w:t>
            </w:r>
            <w:r>
              <w:rPr>
                <w:rFonts w:hint="eastAsia" w:ascii="Times New Roman" w:hAnsi="Times New Roman" w:eastAsia="宋体" w:cs="Times New Roman"/>
                <w:color w:val="000000" w:themeColor="text1"/>
                <w:sz w:val="21"/>
                <w:szCs w:val="21"/>
                <w:vertAlign w:val="baseline"/>
                <w:lang w:val="en-US" w:eastAsia="zh-CN"/>
              </w:rPr>
              <w:t>本项目与陕西省生态保护红线关系图详见附图13。</w:t>
            </w:r>
          </w:p>
        </w:tc>
        <w:tc>
          <w:tcPr>
            <w:tcW w:w="96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83" w:hRule="atLeast"/>
          <w:jc w:val="center"/>
        </w:trPr>
        <w:tc>
          <w:tcPr>
            <w:tcW w:w="5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环境质量底线</w:t>
            </w:r>
          </w:p>
        </w:tc>
        <w:tc>
          <w:tcPr>
            <w:tcW w:w="2728" w:type="dxa"/>
            <w:gridSpan w:val="2"/>
            <w:tcBorders>
              <w:tl2br w:val="nil"/>
              <w:tr2bl w:val="nil"/>
            </w:tcBorders>
            <w:vAlign w:val="center"/>
          </w:tcPr>
          <w:p>
            <w:pPr>
              <w:pStyle w:val="27"/>
              <w:keepNext w:val="0"/>
              <w:keepLines w:val="0"/>
              <w:widowControl/>
              <w:suppressLineNumbers w:val="0"/>
              <w:jc w:val="center"/>
              <w:rPr>
                <w:color w:val="000000" w:themeColor="text1"/>
                <w:sz w:val="21"/>
                <w:szCs w:val="21"/>
              </w:rPr>
            </w:pPr>
            <w:r>
              <w:rPr>
                <w:color w:val="000000" w:themeColor="text1"/>
                <w:sz w:val="21"/>
                <w:szCs w:val="21"/>
              </w:rPr>
              <w:t>按照水、大气、土壤环境质量不断优化的原则，结合环境质量现状和相关规划、功能区划要求，考虑环境质量改善潜力，确定的分区域分阶段环境质量目标及相应的环境管控、污染物排放控制等要求。</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p>
        </w:tc>
        <w:tc>
          <w:tcPr>
            <w:tcW w:w="466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rPr>
              <w:t>本项目为非金属矿山开采项目，项目周边声环境</w:t>
            </w:r>
            <w:r>
              <w:rPr>
                <w:rFonts w:hint="eastAsia" w:ascii="Times New Roman" w:hAnsi="Times New Roman" w:eastAsia="宋体" w:cs="Times New Roman"/>
                <w:color w:val="000000" w:themeColor="text1"/>
                <w:lang w:eastAsia="zh-CN"/>
              </w:rPr>
              <w:t>、土壤、地下水、大气</w:t>
            </w:r>
            <w:r>
              <w:rPr>
                <w:rFonts w:hint="default" w:ascii="Times New Roman" w:hAnsi="Times New Roman" w:eastAsia="宋体" w:cs="Times New Roman"/>
                <w:color w:val="000000" w:themeColor="text1"/>
              </w:rPr>
              <w:t>均能满足环境质量要求，项目所在地20</w:t>
            </w:r>
            <w:r>
              <w:rPr>
                <w:rFonts w:hint="default" w:ascii="Times New Roman" w:hAnsi="Times New Roman" w:eastAsia="宋体" w:cs="Times New Roman"/>
                <w:color w:val="000000" w:themeColor="text1"/>
                <w:lang w:val="en-US" w:eastAsia="zh-CN"/>
              </w:rPr>
              <w:t>2</w:t>
            </w:r>
            <w:r>
              <w:rPr>
                <w:rFonts w:hint="eastAsia" w:ascii="Times New Roman" w:hAnsi="Times New Roman" w:eastAsia="宋体" w:cs="Times New Roman"/>
                <w:color w:val="000000" w:themeColor="text1"/>
                <w:lang w:val="en-US" w:eastAsia="zh-CN"/>
              </w:rPr>
              <w:t>1</w:t>
            </w:r>
            <w:r>
              <w:rPr>
                <w:rFonts w:hint="default" w:ascii="Times New Roman" w:hAnsi="Times New Roman" w:eastAsia="宋体" w:cs="Times New Roman"/>
                <w:color w:val="000000" w:themeColor="text1"/>
              </w:rPr>
              <w:t>年环境空气质量为达标区。</w:t>
            </w:r>
            <w:r>
              <w:rPr>
                <w:rFonts w:hint="eastAsia"/>
                <w:color w:val="000000" w:themeColor="text1"/>
              </w:rPr>
              <w:t>项目运行过程中，生产废水处理后回用；废气通过各项治理措施后场界达标排放，</w:t>
            </w:r>
            <w:r>
              <w:rPr>
                <w:rFonts w:hint="eastAsia"/>
                <w:color w:val="000000" w:themeColor="text1"/>
                <w:szCs w:val="22"/>
              </w:rPr>
              <w:t>不会改变区域大气环境质量</w:t>
            </w:r>
            <w:r>
              <w:rPr>
                <w:rFonts w:hint="eastAsia"/>
                <w:color w:val="000000" w:themeColor="text1"/>
                <w:szCs w:val="22"/>
                <w:lang w:eastAsia="zh-CN"/>
              </w:rPr>
              <w:t>、扩建项目产生的废石用于矿区基建，剩余全部井下充填，不外排，危险废物在危险废物暂存间临时贮存，交由有资质单位处置，生活垃圾分类收集，交由环卫部门处置；噪声达标排放</w:t>
            </w:r>
            <w:r>
              <w:rPr>
                <w:rFonts w:hint="eastAsia"/>
                <w:color w:val="000000" w:themeColor="text1"/>
                <w:lang w:val="en-US" w:eastAsia="zh-CN"/>
              </w:rPr>
              <w:t>，</w:t>
            </w:r>
            <w:r>
              <w:rPr>
                <w:rFonts w:hint="eastAsia"/>
                <w:color w:val="000000" w:themeColor="text1"/>
              </w:rPr>
              <w:t>符合环境质量底线的原则。</w:t>
            </w:r>
          </w:p>
        </w:tc>
        <w:tc>
          <w:tcPr>
            <w:tcW w:w="96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2" w:hRule="atLeast"/>
          <w:jc w:val="center"/>
        </w:trPr>
        <w:tc>
          <w:tcPr>
            <w:tcW w:w="5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资源利用上线</w:t>
            </w:r>
          </w:p>
        </w:tc>
        <w:tc>
          <w:tcPr>
            <w:tcW w:w="2728" w:type="dxa"/>
            <w:gridSpan w:val="2"/>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color w:val="000000" w:themeColor="text1"/>
                <w:sz w:val="21"/>
                <w:szCs w:val="21"/>
              </w:rPr>
              <w:t>按照自然资源资产</w:t>
            </w:r>
            <w:r>
              <w:rPr>
                <w:rFonts w:hint="eastAsia"/>
                <w:color w:val="000000" w:themeColor="text1"/>
                <w:sz w:val="21"/>
                <w:szCs w:val="21"/>
                <w:lang w:eastAsia="zh-CN"/>
              </w:rPr>
              <w:t>“</w:t>
            </w:r>
            <w:r>
              <w:rPr>
                <w:color w:val="000000" w:themeColor="text1"/>
                <w:sz w:val="21"/>
                <w:szCs w:val="21"/>
              </w:rPr>
              <w:t>只能增值、不能贬值</w:t>
            </w:r>
            <w:r>
              <w:rPr>
                <w:rFonts w:hint="eastAsia"/>
                <w:color w:val="000000" w:themeColor="text1"/>
                <w:sz w:val="21"/>
                <w:szCs w:val="21"/>
                <w:lang w:eastAsia="zh-CN"/>
              </w:rPr>
              <w:t>”</w:t>
            </w:r>
            <w:r>
              <w:rPr>
                <w:color w:val="000000" w:themeColor="text1"/>
                <w:sz w:val="21"/>
                <w:szCs w:val="21"/>
              </w:rPr>
              <w:t>的原则，以保障生态安全和改善环境质量为目的，利用自然资源资产负债表，结合自然资源开发管控，提出的分区域分阶段的资源开发利用总量、强度、效率等上线管控要求。</w:t>
            </w:r>
          </w:p>
        </w:tc>
        <w:tc>
          <w:tcPr>
            <w:tcW w:w="466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rPr>
            </w:pPr>
            <w:r>
              <w:rPr>
                <w:rFonts w:hint="eastAsia"/>
                <w:color w:val="000000" w:themeColor="text1"/>
              </w:rPr>
              <w:t>本工程占地面积小，建成后主要固定生产设备采用电能</w:t>
            </w:r>
            <w:r>
              <w:rPr>
                <w:rFonts w:hint="eastAsia"/>
                <w:color w:val="000000" w:themeColor="text1"/>
                <w:lang w:eastAsia="zh-CN"/>
              </w:rPr>
              <w:t>和柴油</w:t>
            </w:r>
            <w:r>
              <w:rPr>
                <w:rFonts w:hint="eastAsia"/>
                <w:color w:val="000000" w:themeColor="text1"/>
              </w:rPr>
              <w:t>，生产用水使用</w:t>
            </w:r>
            <w:r>
              <w:rPr>
                <w:rFonts w:hint="eastAsia"/>
                <w:color w:val="000000" w:themeColor="text1"/>
                <w:lang w:eastAsia="zh-CN"/>
              </w:rPr>
              <w:t>山泉水</w:t>
            </w:r>
            <w:r>
              <w:rPr>
                <w:rFonts w:hint="eastAsia"/>
                <w:color w:val="000000" w:themeColor="text1"/>
              </w:rPr>
              <w:t>为水源</w:t>
            </w:r>
            <w:r>
              <w:rPr>
                <w:rFonts w:hint="eastAsia"/>
                <w:color w:val="000000" w:themeColor="text1"/>
                <w:lang w:eastAsia="zh-CN"/>
              </w:rPr>
              <w:t>，生活用水采购商品桶装水，</w:t>
            </w:r>
            <w:r>
              <w:rPr>
                <w:rFonts w:hint="eastAsia"/>
                <w:color w:val="000000" w:themeColor="text1"/>
                <w:lang w:val="en-US" w:eastAsia="zh-CN"/>
              </w:rPr>
              <w:t>资源利用相对较少，不突破资源利用上线。</w:t>
            </w:r>
          </w:p>
        </w:tc>
        <w:tc>
          <w:tcPr>
            <w:tcW w:w="96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5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环境准入负面清单</w:t>
            </w:r>
          </w:p>
        </w:tc>
        <w:tc>
          <w:tcPr>
            <w:tcW w:w="102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rPr>
              <w:t xml:space="preserve">《陕西省国家重点生态功能区产业准入负面清单 </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试行</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》（陕发改规划</w:t>
            </w:r>
            <w:r>
              <w:rPr>
                <w:rFonts w:ascii="Arial" w:hAnsi="Arial" w:eastAsia="宋体" w:cs="Arial"/>
                <w:i w:val="0"/>
                <w:caps w:val="0"/>
                <w:color w:val="FF0000"/>
                <w:spacing w:val="0"/>
                <w:sz w:val="21"/>
                <w:szCs w:val="21"/>
                <w:shd w:val="clear" w:fill="FFFFFF"/>
              </w:rPr>
              <w:t>〔</w:t>
            </w:r>
            <w:r>
              <w:rPr>
                <w:rFonts w:hint="eastAsia" w:ascii="Times New Roman" w:hAnsi="Times New Roman" w:eastAsia="宋体" w:cs="Times New Roman"/>
                <w:color w:val="FF0000"/>
                <w:sz w:val="21"/>
                <w:szCs w:val="21"/>
                <w:lang w:val="en-US" w:eastAsia="zh-CN"/>
              </w:rPr>
              <w:t>2018</w:t>
            </w:r>
            <w:r>
              <w:rPr>
                <w:rFonts w:ascii="Arial" w:hAnsi="Arial" w:eastAsia="宋体" w:cs="Arial"/>
                <w:i w:val="0"/>
                <w:caps w:val="0"/>
                <w:color w:val="FF0000"/>
                <w:spacing w:val="0"/>
                <w:sz w:val="21"/>
                <w:szCs w:val="21"/>
                <w:shd w:val="clear" w:fill="FFFFFF"/>
              </w:rPr>
              <w:t>〕</w:t>
            </w:r>
            <w:r>
              <w:rPr>
                <w:rFonts w:hint="default" w:ascii="Times New Roman" w:hAnsi="Times New Roman" w:eastAsia="宋体" w:cs="Times New Roman"/>
                <w:color w:val="FF0000"/>
                <w:sz w:val="21"/>
                <w:szCs w:val="21"/>
              </w:rPr>
              <w:t>2</w:t>
            </w:r>
            <w:r>
              <w:rPr>
                <w:rFonts w:hint="default" w:ascii="Times New Roman" w:hAnsi="Times New Roman" w:eastAsia="宋体" w:cs="Times New Roman"/>
                <w:color w:val="FF0000"/>
              </w:rPr>
              <w:t>13号）</w:t>
            </w:r>
            <w:r>
              <w:rPr>
                <w:rFonts w:hint="eastAsia" w:ascii="Times New Roman" w:hAnsi="Times New Roman" w:eastAsia="宋体" w:cs="Times New Roman"/>
                <w:color w:val="FF0000"/>
                <w:lang w:eastAsia="zh-CN"/>
              </w:rPr>
              <w:t>中陕西省安康市旬阳县国家重点生态功能区产业准入负面清单</w:t>
            </w:r>
          </w:p>
        </w:tc>
        <w:tc>
          <w:tcPr>
            <w:tcW w:w="17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rPr>
            </w:pPr>
            <w:r>
              <w:rPr>
                <w:rFonts w:hint="default" w:ascii="Times New Roman" w:hAnsi="Times New Roman" w:eastAsia="宋体" w:cs="Times New Roman"/>
                <w:color w:val="FF0000"/>
                <w:sz w:val="21"/>
                <w:szCs w:val="21"/>
              </w:rPr>
              <w:t>禁止投资年处理5万吨以下毒重石、重晶石矿采选生产线，除旬阳县国家主体功能区试点示范实施方案规划的点状开发区外，禁止在城区以及一江三河（汉江、旬河、坝河、蜀河）等水土流失重点防控区进行开采活动。</w:t>
            </w:r>
          </w:p>
        </w:tc>
        <w:tc>
          <w:tcPr>
            <w:tcW w:w="466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本项目为5万吨/年产能的毒重石开采项目，符合产能要求。本项目位于</w:t>
            </w:r>
            <w:r>
              <w:rPr>
                <w:rFonts w:hint="eastAsia"/>
                <w:color w:val="FF0000"/>
              </w:rPr>
              <w:t>旬阳县铜钱关镇</w:t>
            </w:r>
            <w:r>
              <w:rPr>
                <w:rFonts w:hint="eastAsia"/>
                <w:color w:val="FF0000"/>
                <w:lang w:eastAsia="zh-CN"/>
              </w:rPr>
              <w:t>天宝寨村，</w:t>
            </w:r>
            <w:r>
              <w:rPr>
                <w:rFonts w:hint="eastAsia"/>
                <w:color w:val="FF0000"/>
                <w:lang w:val="en-US" w:eastAsia="zh-CN"/>
              </w:rPr>
              <w:t>不属于城区范围。本项目与汉江的最近直线距离为</w:t>
            </w:r>
            <w:r>
              <w:rPr>
                <w:rFonts w:hint="default" w:ascii="Times New Roman" w:hAnsi="Times New Roman" w:eastAsia="宋体" w:cs="Times New Roman"/>
                <w:color w:val="FF0000"/>
                <w:lang w:val="en-US" w:eastAsia="zh-CN"/>
              </w:rPr>
              <w:t>26</w:t>
            </w:r>
            <w:r>
              <w:rPr>
                <w:rFonts w:hint="eastAsia" w:ascii="Times New Roman" w:hAnsi="Times New Roman" w:eastAsia="宋体" w:cs="Times New Roman"/>
                <w:color w:val="FF0000"/>
                <w:lang w:val="en-US" w:eastAsia="zh-CN"/>
              </w:rPr>
              <w:t>km</w:t>
            </w:r>
            <w:r>
              <w:rPr>
                <w:rFonts w:hint="default" w:ascii="Times New Roman" w:hAnsi="Times New Roman" w:eastAsia="宋体" w:cs="Times New Roman"/>
                <w:color w:val="FF0000"/>
                <w:lang w:val="en-US" w:eastAsia="zh-CN"/>
              </w:rPr>
              <w:t>，</w:t>
            </w:r>
            <w:r>
              <w:rPr>
                <w:rFonts w:hint="eastAsia"/>
                <w:color w:val="FF0000"/>
                <w:lang w:val="en-US" w:eastAsia="zh-CN"/>
              </w:rPr>
              <w:t>与旬河的最近直线距离为</w:t>
            </w:r>
            <w:r>
              <w:rPr>
                <w:rFonts w:hint="eastAsia" w:ascii="Times New Roman" w:hAnsi="Times New Roman" w:eastAsia="宋体" w:cs="Times New Roman"/>
                <w:color w:val="FF0000"/>
                <w:lang w:val="en-US" w:eastAsia="zh-CN"/>
              </w:rPr>
              <w:t>29km</w:t>
            </w:r>
            <w:r>
              <w:rPr>
                <w:rFonts w:hint="default" w:ascii="Times New Roman" w:hAnsi="Times New Roman" w:eastAsia="宋体" w:cs="Times New Roman"/>
                <w:color w:val="FF0000"/>
                <w:lang w:val="en-US" w:eastAsia="zh-CN"/>
              </w:rPr>
              <w:t>，</w:t>
            </w:r>
            <w:r>
              <w:rPr>
                <w:rFonts w:hint="eastAsia"/>
                <w:color w:val="FF0000"/>
                <w:lang w:val="en-US" w:eastAsia="zh-CN"/>
              </w:rPr>
              <w:t>与坝河的最近直线距离为</w:t>
            </w:r>
            <w:r>
              <w:rPr>
                <w:rFonts w:hint="eastAsia" w:ascii="Times New Roman" w:hAnsi="Times New Roman" w:eastAsia="宋体" w:cs="Times New Roman"/>
                <w:color w:val="FF0000"/>
                <w:lang w:val="en-US" w:eastAsia="zh-CN"/>
              </w:rPr>
              <w:t>23km</w:t>
            </w:r>
            <w:r>
              <w:rPr>
                <w:rFonts w:hint="default" w:ascii="Times New Roman" w:hAnsi="Times New Roman" w:eastAsia="宋体" w:cs="Times New Roman"/>
                <w:color w:val="FF0000"/>
                <w:sz w:val="21"/>
                <w:szCs w:val="21"/>
                <w:lang w:val="en-US" w:eastAsia="zh-CN"/>
              </w:rPr>
              <w:t>，与蜀河的最近直线距离为37km。本项目位于坝河三级支流构皮沟流域。</w:t>
            </w:r>
            <w:r>
              <w:rPr>
                <w:rFonts w:hint="eastAsia" w:ascii="Times New Roman" w:hAnsi="Times New Roman" w:eastAsia="宋体" w:cs="Times New Roman"/>
                <w:color w:val="FF0000"/>
                <w:sz w:val="21"/>
                <w:szCs w:val="21"/>
                <w:lang w:val="en-US" w:eastAsia="zh-CN"/>
              </w:rPr>
              <w:t>详见旬阳县水系图，附图15。</w:t>
            </w:r>
            <w:r>
              <w:rPr>
                <w:rFonts w:hint="default" w:ascii="Times New Roman" w:hAnsi="Times New Roman" w:eastAsia="宋体" w:cs="Times New Roman"/>
                <w:color w:val="FF0000"/>
                <w:sz w:val="21"/>
                <w:szCs w:val="21"/>
              </w:rPr>
              <w:t>旬阳县恒欣矿业有限公司</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旬阳县赤岩镇水磨河口构皮沟毒重石矿</w:t>
            </w:r>
            <w:r>
              <w:rPr>
                <w:rFonts w:hint="eastAsia" w:ascii="Times New Roman" w:hAnsi="Times New Roman" w:eastAsia="宋体" w:cs="Times New Roman"/>
                <w:color w:val="FF0000"/>
                <w:sz w:val="21"/>
                <w:szCs w:val="21"/>
                <w:lang w:val="en-US" w:eastAsia="zh-CN"/>
              </w:rPr>
              <w:t>水保方案报告表</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，于201</w:t>
            </w:r>
            <w:r>
              <w:rPr>
                <w:rFonts w:hint="eastAsia" w:ascii="Times New Roman" w:hAnsi="Times New Roman" w:eastAsia="宋体" w:cs="Times New Roman"/>
                <w:color w:val="FF0000"/>
                <w:sz w:val="21"/>
                <w:szCs w:val="21"/>
                <w:lang w:val="en-US" w:eastAsia="zh-CN"/>
              </w:rPr>
              <w:t>9</w:t>
            </w:r>
            <w:r>
              <w:rPr>
                <w:rFonts w:hint="default" w:ascii="Times New Roman" w:hAnsi="Times New Roman" w:eastAsia="宋体" w:cs="Times New Roman"/>
                <w:color w:val="FF0000"/>
                <w:sz w:val="21"/>
                <w:szCs w:val="21"/>
                <w:lang w:val="en-US" w:eastAsia="zh-CN"/>
              </w:rPr>
              <w:t>年</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月</w:t>
            </w:r>
            <w:r>
              <w:rPr>
                <w:rFonts w:hint="eastAsia" w:ascii="Times New Roman" w:hAnsi="Times New Roman" w:eastAsia="宋体" w:cs="Times New Roman"/>
                <w:color w:val="FF0000"/>
                <w:sz w:val="21"/>
                <w:szCs w:val="21"/>
                <w:lang w:val="en-US" w:eastAsia="zh-CN"/>
              </w:rPr>
              <w:t>31日</w:t>
            </w:r>
            <w:r>
              <w:rPr>
                <w:rFonts w:hint="default" w:ascii="Times New Roman" w:hAnsi="Times New Roman" w:eastAsia="宋体" w:cs="Times New Roman"/>
                <w:color w:val="FF0000"/>
                <w:sz w:val="21"/>
                <w:szCs w:val="21"/>
                <w:lang w:val="en-US" w:eastAsia="zh-CN"/>
              </w:rPr>
              <w:t>取得旬阳市（当时旬阳县）水利局对本项目的批复文件，详见附件</w:t>
            </w:r>
            <w:r>
              <w:rPr>
                <w:rFonts w:hint="eastAsia" w:ascii="Times New Roman" w:hAnsi="Times New Roman" w:eastAsia="宋体" w:cs="Times New Roman"/>
                <w:color w:val="FF0000"/>
                <w:sz w:val="21"/>
                <w:szCs w:val="21"/>
                <w:lang w:val="en-US" w:eastAsia="zh-CN"/>
              </w:rPr>
              <w:t>11。本项目不属于“一江三河”水土流失重点防控区范围。由此可见，本项目不在</w:t>
            </w:r>
            <w:r>
              <w:rPr>
                <w:rFonts w:hint="default" w:ascii="Times New Roman" w:hAnsi="Times New Roman" w:eastAsia="宋体" w:cs="Times New Roman"/>
                <w:color w:val="FF0000"/>
              </w:rPr>
              <w:t xml:space="preserve">《陕西省国家重点生态功能区产业准入负面清单 </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试行</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》（陕发改规划</w:t>
            </w:r>
            <w:r>
              <w:rPr>
                <w:rFonts w:ascii="Arial" w:hAnsi="Arial" w:eastAsia="宋体" w:cs="Arial"/>
                <w:i w:val="0"/>
                <w:caps w:val="0"/>
                <w:color w:val="FF0000"/>
                <w:spacing w:val="0"/>
                <w:sz w:val="21"/>
                <w:szCs w:val="21"/>
                <w:shd w:val="clear" w:fill="FFFFFF"/>
              </w:rPr>
              <w:t>〔</w:t>
            </w:r>
            <w:r>
              <w:rPr>
                <w:rFonts w:hint="eastAsia" w:ascii="Times New Roman" w:hAnsi="Times New Roman" w:eastAsia="宋体" w:cs="Times New Roman"/>
                <w:color w:val="FF0000"/>
                <w:sz w:val="21"/>
                <w:szCs w:val="21"/>
                <w:lang w:val="en-US" w:eastAsia="zh-CN"/>
              </w:rPr>
              <w:t>2018</w:t>
            </w:r>
            <w:r>
              <w:rPr>
                <w:rFonts w:ascii="Arial" w:hAnsi="Arial" w:eastAsia="宋体" w:cs="Arial"/>
                <w:i w:val="0"/>
                <w:caps w:val="0"/>
                <w:color w:val="FF0000"/>
                <w:spacing w:val="0"/>
                <w:sz w:val="21"/>
                <w:szCs w:val="21"/>
                <w:shd w:val="clear" w:fill="FFFFFF"/>
              </w:rPr>
              <w:t>〕</w:t>
            </w:r>
            <w:r>
              <w:rPr>
                <w:rFonts w:hint="default" w:ascii="Times New Roman" w:hAnsi="Times New Roman" w:eastAsia="宋体" w:cs="Times New Roman"/>
                <w:color w:val="FF0000"/>
                <w:sz w:val="21"/>
                <w:szCs w:val="21"/>
              </w:rPr>
              <w:t>213号）</w:t>
            </w:r>
            <w:r>
              <w:rPr>
                <w:rFonts w:hint="eastAsia" w:ascii="Times New Roman" w:hAnsi="Times New Roman" w:eastAsia="宋体" w:cs="Times New Roman"/>
                <w:color w:val="FF0000"/>
                <w:sz w:val="21"/>
                <w:szCs w:val="21"/>
                <w:lang w:val="en-US" w:eastAsia="zh-CN"/>
              </w:rPr>
              <w:t>限制类和禁止类当中。</w:t>
            </w:r>
          </w:p>
        </w:tc>
        <w:tc>
          <w:tcPr>
            <w:tcW w:w="96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b/>
          <w:bCs/>
          <w:color w:val="000000" w:themeColor="text1"/>
          <w:sz w:val="24"/>
          <w:szCs w:val="24"/>
          <w:lang w:eastAsia="zh-CN"/>
        </w:rPr>
      </w:pPr>
      <w:bookmarkStart w:id="26" w:name="_Toc31553_WPSOffice_Level3"/>
      <w:r>
        <w:rPr>
          <w:rFonts w:hint="default" w:ascii="Times New Roman" w:hAnsi="Times New Roman" w:eastAsia="宋体" w:cs="Times New Roman"/>
        </w:rPr>
        <w:drawing>
          <wp:inline distT="0" distB="0" distL="114300" distR="114300">
            <wp:extent cx="5755640" cy="4557395"/>
            <wp:effectExtent l="19050" t="19050" r="35560" b="3365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17"/>
                    <a:stretch>
                      <a:fillRect/>
                    </a:stretch>
                  </pic:blipFill>
                  <pic:spPr>
                    <a:xfrm>
                      <a:off x="0" y="0"/>
                      <a:ext cx="5755640" cy="4557395"/>
                    </a:xfrm>
                    <a:prstGeom prst="rect">
                      <a:avLst/>
                    </a:prstGeom>
                    <a:noFill/>
                    <a:ln w="19050">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eastAsia="zh-CN"/>
        </w:rPr>
        <w:t>图</w:t>
      </w:r>
      <w:r>
        <w:rPr>
          <w:rFonts w:hint="eastAsia" w:ascii="Times New Roman" w:hAnsi="Times New Roman" w:eastAsia="宋体" w:cs="Times New Roman"/>
          <w:b/>
          <w:bCs/>
          <w:color w:val="FF0000"/>
          <w:sz w:val="21"/>
          <w:szCs w:val="21"/>
          <w:lang w:val="en-US" w:eastAsia="zh-CN"/>
        </w:rPr>
        <w:t>1.4-1</w:t>
      </w:r>
      <w:r>
        <w:rPr>
          <w:rFonts w:hint="default" w:ascii="Times New Roman" w:hAnsi="Times New Roman" w:eastAsia="宋体" w:cs="Times New Roman"/>
          <w:b/>
          <w:bCs/>
          <w:color w:val="FF0000"/>
          <w:sz w:val="21"/>
          <w:szCs w:val="21"/>
          <w:lang w:val="en-US" w:eastAsia="zh-CN"/>
        </w:rPr>
        <w:t xml:space="preserve">  </w:t>
      </w:r>
      <w:r>
        <w:rPr>
          <w:rFonts w:hint="default" w:ascii="Times New Roman" w:hAnsi="Times New Roman" w:eastAsia="宋体" w:cs="Times New Roman"/>
          <w:b/>
          <w:bCs/>
          <w:color w:val="FF0000"/>
          <w:sz w:val="21"/>
          <w:szCs w:val="21"/>
        </w:rPr>
        <w:t>一江三河重点防控区范围</w:t>
      </w:r>
      <w:r>
        <w:rPr>
          <w:rFonts w:hint="default" w:ascii="Times New Roman" w:hAnsi="Times New Roman" w:eastAsia="宋体" w:cs="Times New Roman"/>
          <w:b/>
          <w:bCs/>
          <w:color w:val="FF0000"/>
          <w:sz w:val="21"/>
          <w:szCs w:val="21"/>
          <w:lang w:eastAsia="zh-CN"/>
        </w:rPr>
        <w:t>与本项目的位置关系</w:t>
      </w:r>
      <w:r>
        <w:rPr>
          <w:rFonts w:hint="default" w:ascii="Times New Roman" w:hAnsi="Times New Roman" w:eastAsia="宋体" w:cs="Times New Roman"/>
          <w:b/>
          <w:bCs/>
          <w:color w:val="FF0000"/>
          <w:sz w:val="21"/>
          <w:szCs w:val="21"/>
        </w:rPr>
        <w:t>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outlineLvl w:val="9"/>
        <w:rPr>
          <w:rFonts w:hint="default" w:ascii="Times New Roman" w:hAnsi="Times New Roman" w:eastAsia="宋体" w:cs="Times New Roman"/>
          <w:b/>
          <w:bCs/>
          <w:color w:val="FF0000"/>
          <w:sz w:val="24"/>
          <w:szCs w:val="24"/>
          <w:lang w:eastAsia="zh-CN"/>
        </w:rPr>
      </w:pPr>
      <w:r>
        <w:rPr>
          <w:rFonts w:hint="default" w:ascii="Times New Roman" w:hAnsi="Times New Roman" w:eastAsia="宋体" w:cs="Times New Roman"/>
          <w:b/>
          <w:bCs/>
          <w:color w:val="FF0000"/>
          <w:sz w:val="24"/>
          <w:szCs w:val="24"/>
          <w:lang w:val="en-US" w:eastAsia="zh-CN"/>
        </w:rPr>
        <w:t>（2）本项目与</w:t>
      </w:r>
      <w:r>
        <w:rPr>
          <w:rFonts w:hint="default" w:ascii="Times New Roman" w:hAnsi="Times New Roman" w:eastAsia="宋体" w:cs="Times New Roman"/>
          <w:b/>
          <w:bCs/>
          <w:color w:val="FF0000"/>
          <w:sz w:val="24"/>
          <w:szCs w:val="24"/>
          <w:lang w:eastAsia="zh-CN"/>
        </w:rPr>
        <w:t>《安康市“三线一单”生态环境分区管控方案的通知》安政发〔</w:t>
      </w:r>
      <w:r>
        <w:rPr>
          <w:rFonts w:hint="default" w:ascii="Times New Roman" w:hAnsi="Times New Roman" w:eastAsia="宋体" w:cs="Times New Roman"/>
          <w:b/>
          <w:bCs/>
          <w:color w:val="FF0000"/>
          <w:sz w:val="24"/>
          <w:szCs w:val="24"/>
          <w:lang w:val="en-US" w:eastAsia="zh-CN"/>
        </w:rPr>
        <w:t>2021〕18号符合性分析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1）本项目与安康市生态环境管控单元图的位置关系图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bCs/>
          <w:color w:val="FF0000"/>
          <w:sz w:val="21"/>
          <w:szCs w:val="21"/>
          <w:lang w:eastAsia="zh-CN"/>
        </w:rPr>
      </w:pPr>
      <w:r>
        <w:rPr>
          <w:rFonts w:hint="eastAsia" w:ascii="Times New Roman" w:hAnsi="Times New Roman" w:eastAsia="宋体" w:cs="Times New Roman"/>
          <w:b w:val="0"/>
          <w:bCs w:val="0"/>
          <w:color w:val="FF0000"/>
          <w:sz w:val="24"/>
          <w:szCs w:val="24"/>
          <w:lang w:val="en-US" w:eastAsia="zh-CN"/>
        </w:rPr>
        <w:t>本项目位于安康市旬阳市铜钱关镇，铜钱关镇位于优先管控单元。本项目与安康市环境管控单元图的位置关系见下图：</w:t>
      </w:r>
      <w:r>
        <w:rPr>
          <w:color w:val="FF0000"/>
          <w:sz w:val="21"/>
        </w:rPr>
        <w:pict>
          <v:rect id="_x0000_s2119" o:spid="_x0000_s2119" o:spt="1" style="position:absolute;left:0pt;margin-left:202.3pt;margin-top:74.6pt;height:22.5pt;width:57pt;z-index:251665408;mso-width-relative:page;mso-height-relative:page;" filled="f" stroked="f" coordsize="21600,21600">
            <v:path/>
            <v:fill on="f" focussize="0,0"/>
            <v:stroke on="f"/>
            <v:imagedata o:title=""/>
            <o:lock v:ext="edit" aspectratio="f"/>
            <v:textbox>
              <w:txbxContent>
                <w:p>
                  <w:pPr>
                    <w:rPr>
                      <w:rFonts w:hint="eastAsia" w:eastAsiaTheme="minorEastAsia"/>
                      <w:lang w:val="en-US" w:eastAsia="zh-CN"/>
                    </w:rPr>
                  </w:pPr>
                  <w:r>
                    <w:rPr>
                      <w:rFonts w:hint="eastAsia"/>
                      <w:lang w:val="en-US" w:eastAsia="zh-CN"/>
                    </w:rPr>
                    <w:t>本项目</w:t>
                  </w:r>
                </w:p>
              </w:txbxContent>
            </v:textbox>
          </v:rect>
        </w:pict>
      </w:r>
      <w:r>
        <w:rPr>
          <w:color w:val="FF0000"/>
        </w:rPr>
        <w:drawing>
          <wp:inline distT="0" distB="0" distL="114300" distR="114300">
            <wp:extent cx="5753100" cy="4043680"/>
            <wp:effectExtent l="0" t="0" r="762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5753100" cy="4043680"/>
                    </a:xfrm>
                    <a:prstGeom prst="rect">
                      <a:avLst/>
                    </a:prstGeom>
                    <a:noFill/>
                    <a:ln>
                      <a:noFill/>
                    </a:ln>
                  </pic:spPr>
                </pic:pic>
              </a:graphicData>
            </a:graphic>
          </wp:inline>
        </w:drawing>
      </w:r>
      <w:r>
        <w:rPr>
          <w:color w:val="FF0000"/>
          <w:sz w:val="21"/>
        </w:rPr>
        <w:pict>
          <v:line id="_x0000_s2118" o:spid="_x0000_s2118" o:spt="20" style="position:absolute;left:0pt;flip:y;margin-left:220.3pt;margin-top:100.1pt;height:80.25pt;width:0.05pt;z-index:251664384;mso-width-relative:page;mso-height-relative:page;" fillcolor="#FFFFFF" filled="t" stroked="t" coordsize="21600,21600">
            <v:path arrowok="t"/>
            <v:fill on="t" color2="#FFFFFF" focussize="0,0"/>
            <v:stroke color="#000000" endarrow="open"/>
            <v:imagedata o:title=""/>
            <o:lock v:ext="edit" aspectratio="f"/>
          </v:line>
        </w:pict>
      </w:r>
      <w:r>
        <w:rPr>
          <w:color w:val="FF0000"/>
          <w:sz w:val="21"/>
        </w:rPr>
        <w:pict>
          <v:shape id="_x0000_s2117" o:spid="_x0000_s2117" o:spt="3" type="#_x0000_t3" style="position:absolute;left:0pt;margin-left:217.3pt;margin-top:177.2pt;height:6pt;width:6pt;z-index:251663360;mso-width-relative:page;mso-height-relative:page;" fillcolor="#FF0000" filled="t" stroked="t" coordsize="21600,21600">
            <v:path/>
            <v:fill on="t" color2="#FFFFFF" focussize="0,0"/>
            <v:stroke color="#000000"/>
            <v:imagedata o:title=""/>
            <o:lock v:ext="edit" aspectratio="f"/>
          </v:shape>
        </w:pic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图1.4-2  本项目与安康市环境管控单元的位置关系图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2）</w:t>
      </w:r>
      <w:r>
        <w:rPr>
          <w:rFonts w:hint="eastAsia" w:cs="Times New Roman"/>
          <w:b/>
          <w:bCs/>
          <w:color w:val="FF0000"/>
          <w:sz w:val="21"/>
          <w:szCs w:val="21"/>
          <w:lang w:val="en-US" w:eastAsia="zh-CN"/>
        </w:rPr>
        <w:t>安康市旬阳市生态环境管控单元准入清单</w:t>
      </w:r>
    </w:p>
    <w:p>
      <w:pPr>
        <w:pStyle w:val="4"/>
        <w:keepNext w:val="0"/>
        <w:keepLines w:val="0"/>
        <w:pageBreakBefore w:val="0"/>
        <w:widowControl w:val="0"/>
        <w:numPr>
          <w:ilvl w:val="1"/>
          <w:numId w:val="0"/>
        </w:numPr>
        <w:kinsoku/>
        <w:wordWrap/>
        <w:overflowPunct/>
        <w:topLinePunct w:val="0"/>
        <w:autoSpaceDE/>
        <w:autoSpaceDN/>
        <w:bidi w:val="0"/>
        <w:ind w:leftChars="0"/>
        <w:jc w:val="center"/>
        <w:textAlignment w:val="auto"/>
        <w:rPr>
          <w:rFonts w:hint="eastAsia" w:cs="Times New Roman"/>
          <w:b/>
          <w:bCs/>
          <w:color w:val="FF0000"/>
          <w:sz w:val="21"/>
          <w:szCs w:val="21"/>
          <w:lang w:val="en-US" w:eastAsia="zh-CN"/>
        </w:rPr>
      </w:pPr>
      <w:r>
        <w:rPr>
          <w:rFonts w:hint="eastAsia" w:cs="Times New Roman"/>
          <w:b/>
          <w:bCs/>
          <w:color w:val="FF0000"/>
          <w:sz w:val="21"/>
          <w:szCs w:val="21"/>
          <w:lang w:val="en-US" w:eastAsia="zh-CN"/>
        </w:rPr>
        <w:t>表1.4-3  安康市旬阳市生态环境管控单元准入清单</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942"/>
        <w:gridCol w:w="710"/>
        <w:gridCol w:w="1701"/>
        <w:gridCol w:w="858"/>
        <w:gridCol w:w="2152"/>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1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环境管控单元编码</w:t>
            </w:r>
          </w:p>
        </w:tc>
        <w:tc>
          <w:tcPr>
            <w:tcW w:w="942"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环境管控单元名称</w:t>
            </w:r>
          </w:p>
        </w:tc>
        <w:tc>
          <w:tcPr>
            <w:tcW w:w="71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管控单元类别</w:t>
            </w:r>
          </w:p>
        </w:tc>
        <w:tc>
          <w:tcPr>
            <w:tcW w:w="1701"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涉及镇区</w:t>
            </w:r>
          </w:p>
        </w:tc>
        <w:tc>
          <w:tcPr>
            <w:tcW w:w="3010" w:type="dxa"/>
            <w:gridSpan w:val="2"/>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管控要求</w:t>
            </w:r>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要素属性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ZH61092810005</w:t>
            </w:r>
          </w:p>
        </w:tc>
        <w:tc>
          <w:tcPr>
            <w:tcW w:w="942"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旬阳市优先管控单元</w:t>
            </w:r>
          </w:p>
        </w:tc>
        <w:tc>
          <w:tcPr>
            <w:tcW w:w="71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优先保护单元</w:t>
            </w:r>
          </w:p>
        </w:tc>
        <w:tc>
          <w:tcPr>
            <w:tcW w:w="1701"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白柳镇、城关镇、段家河镇、甘溪镇、构元镇、红军镇、麻坪镇、仁河口镇、石门镇、蜀河镇、双河镇、桐木镇、铜钱关镇、小河镇、早阳镇、赵湾镇</w:t>
            </w:r>
          </w:p>
        </w:tc>
        <w:tc>
          <w:tcPr>
            <w:tcW w:w="858"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布局约束</w:t>
            </w:r>
          </w:p>
        </w:tc>
        <w:tc>
          <w:tcPr>
            <w:tcW w:w="2152"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1.区域执行本清单安康市总体准入要求中</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2.1 总体要求</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。2.同时执行本清单安康市总体准入要求中</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2.5 水土流失生态保护红线区</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准入要求。</w:t>
            </w:r>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生态保护红线</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水土流失极敏感区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ZH61092810009</w:t>
            </w:r>
          </w:p>
        </w:tc>
        <w:tc>
          <w:tcPr>
            <w:tcW w:w="942"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旬阳市优先管控单元</w:t>
            </w:r>
          </w:p>
        </w:tc>
        <w:tc>
          <w:tcPr>
            <w:tcW w:w="71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优先保</w:t>
            </w:r>
          </w:p>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护单元</w:t>
            </w:r>
          </w:p>
        </w:tc>
        <w:tc>
          <w:tcPr>
            <w:tcW w:w="1701"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石门镇、</w:t>
            </w:r>
          </w:p>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铜钱关镇</w:t>
            </w:r>
          </w:p>
        </w:tc>
        <w:tc>
          <w:tcPr>
            <w:tcW w:w="858"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布局</w:t>
            </w:r>
          </w:p>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约束</w:t>
            </w:r>
          </w:p>
        </w:tc>
        <w:tc>
          <w:tcPr>
            <w:tcW w:w="2152"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1.区域执行本清单安康市总体准入要求中</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2.1 总体要求</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。2.水源涵养功能极重要区同时执行本清单安康市总体准入要求中</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2.2 水源涵养生态保护红线区</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准入要求。</w:t>
            </w:r>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生态保护红线</w:t>
            </w:r>
            <w:r>
              <w:rPr>
                <w:rFonts w:hint="eastAsia" w:cs="Times New Roman"/>
                <w:b w:val="0"/>
                <w:bCs w:val="0"/>
                <w:color w:val="FF0000"/>
                <w:sz w:val="21"/>
                <w:szCs w:val="21"/>
                <w:vertAlign w:val="baseline"/>
                <w:lang w:val="en-US" w:eastAsia="zh-CN"/>
              </w:rPr>
              <w:t>—</w:t>
            </w:r>
            <w:r>
              <w:rPr>
                <w:rFonts w:hint="default" w:ascii="Times New Roman" w:hAnsi="Times New Roman" w:eastAsia="宋体" w:cs="Times New Roman"/>
                <w:b w:val="0"/>
                <w:bCs w:val="0"/>
                <w:color w:val="FF0000"/>
                <w:sz w:val="21"/>
                <w:szCs w:val="21"/>
                <w:vertAlign w:val="baseline"/>
                <w:lang w:val="en-US" w:eastAsia="zh-CN"/>
              </w:rPr>
              <w:t>水源涵养功能极重要区</w:t>
            </w:r>
          </w:p>
        </w:tc>
      </w:tr>
    </w:tbl>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表</w:t>
      </w:r>
      <w:r>
        <w:rPr>
          <w:rFonts w:hint="eastAsia" w:ascii="Times New Roman" w:hAnsi="Times New Roman" w:eastAsia="宋体" w:cs="Times New Roman"/>
          <w:b/>
          <w:bCs/>
          <w:color w:val="FF0000"/>
          <w:lang w:val="en-US" w:eastAsia="zh-CN"/>
        </w:rPr>
        <w:t xml:space="preserve">1.4-4 </w:t>
      </w:r>
      <w:r>
        <w:rPr>
          <w:rFonts w:hint="default" w:ascii="Times New Roman" w:hAnsi="Times New Roman" w:eastAsia="宋体" w:cs="Times New Roman"/>
          <w:b/>
          <w:bCs/>
          <w:color w:val="FF0000"/>
          <w:lang w:val="en-US" w:eastAsia="zh-CN"/>
        </w:rPr>
        <w:t xml:space="preserve"> 清单的管控要求</w:t>
      </w:r>
    </w:p>
    <w:p>
      <w:pPr>
        <w:pStyle w:val="2"/>
        <w:keepNext w:val="0"/>
        <w:keepLines w:val="0"/>
        <w:pageBreakBefore w:val="0"/>
        <w:widowControl w:val="0"/>
        <w:kinsoku/>
        <w:wordWrap/>
        <w:overflowPunct/>
        <w:topLinePunct w:val="0"/>
        <w:autoSpaceDE/>
        <w:autoSpaceDN/>
        <w:bidi w:val="0"/>
        <w:ind w:left="0" w:leftChars="0" w:firstLine="0" w:firstLineChars="0"/>
        <w:textAlignment w:val="auto"/>
        <w:rPr>
          <w:rFonts w:hint="default" w:ascii="Times New Roman" w:hAnsi="Times New Roman" w:eastAsia="宋体" w:cs="Times New Roman"/>
          <w:color w:val="FF0000"/>
          <w:lang w:val="en-US" w:eastAsia="zh-CN"/>
        </w:rPr>
      </w:pP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1"/>
        <w:gridCol w:w="767"/>
        <w:gridCol w:w="4443"/>
        <w:gridCol w:w="2677"/>
        <w:gridCol w:w="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1"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序号</w:t>
            </w:r>
          </w:p>
        </w:tc>
        <w:tc>
          <w:tcPr>
            <w:tcW w:w="767"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管控维度</w:t>
            </w:r>
          </w:p>
        </w:tc>
        <w:tc>
          <w:tcPr>
            <w:tcW w:w="4443"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管控要求</w:t>
            </w:r>
          </w:p>
        </w:tc>
        <w:tc>
          <w:tcPr>
            <w:tcW w:w="2677"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本项目</w:t>
            </w:r>
          </w:p>
        </w:tc>
        <w:tc>
          <w:tcPr>
            <w:tcW w:w="709"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1"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1</w:t>
            </w:r>
          </w:p>
        </w:tc>
        <w:tc>
          <w:tcPr>
            <w:tcW w:w="767"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2.1总体要求</w:t>
            </w:r>
          </w:p>
        </w:tc>
        <w:tc>
          <w:tcPr>
            <w:tcW w:w="4443" w:type="dxa"/>
            <w:tcBorders>
              <w:tl2br w:val="nil"/>
              <w:tr2bl w:val="nil"/>
            </w:tcBorders>
            <w:vAlign w:val="center"/>
          </w:tcPr>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原则上按禁止开发区的要求进行管理。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2677"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本项目为多年的老矿山，资源整合后，本项目的产能已符合最低产能5万吨/a的要求，已多次延续采矿许可证，开采方式为地下开采，经过采取各项环境保护措施，对环境的影响较小，符合国家各项政策要求。</w:t>
            </w:r>
          </w:p>
        </w:tc>
        <w:tc>
          <w:tcPr>
            <w:tcW w:w="709"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1"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w:t>
            </w:r>
          </w:p>
        </w:tc>
        <w:tc>
          <w:tcPr>
            <w:tcW w:w="767"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2.2水源涵养生态保护红线区</w:t>
            </w:r>
          </w:p>
        </w:tc>
        <w:tc>
          <w:tcPr>
            <w:tcW w:w="4443" w:type="dxa"/>
            <w:tcBorders>
              <w:tl2br w:val="nil"/>
              <w:tr2bl w:val="nil"/>
            </w:tcBorders>
            <w:vAlign w:val="center"/>
          </w:tcPr>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1.限制或禁止各种损害生态系统水源涵养功能的经济社会活动和生产方式，如无序采矿、毁林开荒、湿地和草地开垦、过度放牧等。</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2.控制水污染，减轻水污染负荷。</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3.严格控制载畜量，实行以草定畜，减轻区内畜牧业对水源和生态系统的压力。</w:t>
            </w:r>
          </w:p>
        </w:tc>
        <w:tc>
          <w:tcPr>
            <w:tcW w:w="2677"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本项目严格按照国家地方各项要求，严格落实相关政策，按照顺序进行开采。项目产生的废水不排放，处理后全部回用，不存在水污染现象。</w:t>
            </w:r>
          </w:p>
        </w:tc>
        <w:tc>
          <w:tcPr>
            <w:tcW w:w="709" w:type="dxa"/>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361" w:type="dxa"/>
            <w:tcBorders>
              <w:tl2br w:val="nil"/>
              <w:tr2bl w:val="nil"/>
            </w:tcBorders>
            <w:vAlign w:val="center"/>
          </w:tcPr>
          <w:p>
            <w:pPr>
              <w:jc w:val="center"/>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3</w:t>
            </w:r>
          </w:p>
        </w:tc>
        <w:tc>
          <w:tcPr>
            <w:tcW w:w="767" w:type="dxa"/>
            <w:tcBorders>
              <w:tl2br w:val="nil"/>
              <w:tr2bl w:val="nil"/>
            </w:tcBorders>
            <w:vAlign w:val="center"/>
          </w:tcPr>
          <w:p>
            <w:pPr>
              <w:jc w:val="center"/>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2.5水土流失生态保护红线区</w:t>
            </w:r>
          </w:p>
        </w:tc>
        <w:tc>
          <w:tcPr>
            <w:tcW w:w="4443" w:type="dxa"/>
            <w:tcBorders>
              <w:tl2br w:val="nil"/>
              <w:tr2bl w:val="nil"/>
            </w:tcBorders>
            <w:vAlign w:val="center"/>
          </w:tcPr>
          <w:p>
            <w:pPr>
              <w:jc w:val="left"/>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1.禁止在崩塌、滑坡危险区和泥石流易发区从事取土、挖砂、采石等可能造成水土流失的活动。</w:t>
            </w:r>
          </w:p>
          <w:p>
            <w:pPr>
              <w:jc w:val="left"/>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2.水土流失严重、生态脆弱的地区，应当限制或者禁止可能造成水土流失的生产建设活动，严格保护植物、沙壳、结皮、地衣等。</w:t>
            </w:r>
          </w:p>
          <w:p>
            <w:pPr>
              <w:jc w:val="left"/>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3.禁止毁林、毁草开垦。</w:t>
            </w:r>
          </w:p>
        </w:tc>
        <w:tc>
          <w:tcPr>
            <w:tcW w:w="2677" w:type="dxa"/>
            <w:tcBorders>
              <w:tl2br w:val="nil"/>
              <w:tr2bl w:val="nil"/>
            </w:tcBorders>
            <w:vAlign w:val="center"/>
          </w:tcPr>
          <w:p>
            <w:pPr>
              <w:jc w:val="center"/>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本项目</w:t>
            </w:r>
            <w:r>
              <w:rPr>
                <w:rFonts w:hint="eastAsia" w:ascii="Times New Roman" w:hAnsi="Times New Roman" w:eastAsia="宋体" w:cs="Times New Roman"/>
                <w:color w:val="FF0000"/>
                <w:vertAlign w:val="baseline"/>
                <w:lang w:val="en-US" w:eastAsia="zh-CN"/>
              </w:rPr>
              <w:t>工业场地</w:t>
            </w:r>
            <w:r>
              <w:rPr>
                <w:rFonts w:hint="default" w:ascii="Times New Roman" w:hAnsi="Times New Roman" w:eastAsia="宋体" w:cs="Times New Roman"/>
                <w:color w:val="FF0000"/>
                <w:vertAlign w:val="baseline"/>
                <w:lang w:val="en-US" w:eastAsia="zh-CN"/>
              </w:rPr>
              <w:t>所处区域无崩塌、滑坡、泥石流等现象；</w:t>
            </w:r>
            <w:r>
              <w:rPr>
                <w:rFonts w:hint="default" w:ascii="Times New Roman" w:hAnsi="Times New Roman" w:eastAsia="宋体" w:cs="Times New Roman"/>
                <w:color w:val="FF0000"/>
                <w:lang w:val="en-US" w:eastAsia="zh-CN"/>
              </w:rPr>
              <w:t>根据</w:t>
            </w:r>
            <w:r>
              <w:rPr>
                <w:rFonts w:hint="default" w:ascii="Times New Roman" w:hAnsi="Times New Roman" w:eastAsia="宋体" w:cs="Times New Roman"/>
                <w:color w:val="FF0000"/>
              </w:rPr>
              <w:t>《陕西省水土流失重点防护区规划》</w:t>
            </w:r>
            <w:r>
              <w:rPr>
                <w:rFonts w:hint="default" w:ascii="Times New Roman" w:hAnsi="Times New Roman" w:eastAsia="宋体" w:cs="Times New Roman"/>
                <w:color w:val="FF0000"/>
                <w:lang w:eastAsia="zh-CN"/>
              </w:rPr>
              <w:t>（陕政发</w:t>
            </w:r>
            <w:r>
              <w:rPr>
                <w:rFonts w:hint="default" w:ascii="Times New Roman" w:hAnsi="Times New Roman" w:eastAsia="宋体" w:cs="Times New Roman"/>
                <w:i w:val="0"/>
                <w:caps w:val="0"/>
                <w:color w:val="FF0000"/>
                <w:spacing w:val="0"/>
                <w:sz w:val="21"/>
                <w:szCs w:val="21"/>
                <w:shd w:val="clear" w:fill="FFFFFF"/>
              </w:rPr>
              <w:t>〔</w:t>
            </w:r>
            <w:r>
              <w:rPr>
                <w:rFonts w:hint="default" w:ascii="Times New Roman" w:hAnsi="Times New Roman" w:eastAsia="宋体" w:cs="Times New Roman"/>
                <w:i w:val="0"/>
                <w:caps w:val="0"/>
                <w:color w:val="FF0000"/>
                <w:spacing w:val="0"/>
                <w:sz w:val="21"/>
                <w:szCs w:val="21"/>
                <w:shd w:val="clear" w:fill="FFFFFF"/>
                <w:lang w:val="en-US" w:eastAsia="zh-CN"/>
              </w:rPr>
              <w:t>1999</w:t>
            </w:r>
            <w:r>
              <w:rPr>
                <w:rFonts w:hint="default" w:ascii="Times New Roman" w:hAnsi="Times New Roman" w:eastAsia="宋体" w:cs="Times New Roman"/>
                <w:i w:val="0"/>
                <w:caps w:val="0"/>
                <w:color w:val="FF0000"/>
                <w:spacing w:val="0"/>
                <w:sz w:val="21"/>
                <w:szCs w:val="21"/>
                <w:shd w:val="clear" w:fill="FFFFFF"/>
              </w:rPr>
              <w:t>〕</w:t>
            </w:r>
            <w:r>
              <w:rPr>
                <w:rFonts w:hint="default" w:ascii="Times New Roman" w:hAnsi="Times New Roman" w:eastAsia="宋体" w:cs="Times New Roman"/>
                <w:color w:val="FF0000"/>
                <w:sz w:val="21"/>
                <w:szCs w:val="21"/>
                <w:lang w:val="en-US" w:eastAsia="zh-CN"/>
              </w:rPr>
              <w:t>6</w:t>
            </w:r>
            <w:r>
              <w:rPr>
                <w:rFonts w:hint="default" w:ascii="Times New Roman" w:hAnsi="Times New Roman" w:eastAsia="宋体" w:cs="Times New Roman"/>
                <w:color w:val="FF0000"/>
                <w:lang w:val="en-US" w:eastAsia="zh-CN"/>
              </w:rPr>
              <w:t>号</w:t>
            </w:r>
            <w:r>
              <w:rPr>
                <w:rFonts w:hint="default" w:ascii="Times New Roman" w:hAnsi="Times New Roman" w:eastAsia="宋体" w:cs="Times New Roman"/>
                <w:color w:val="FF0000"/>
                <w:lang w:eastAsia="zh-CN"/>
              </w:rPr>
              <w:t>）</w:t>
            </w:r>
            <w:r>
              <w:rPr>
                <w:rFonts w:hint="default" w:ascii="Times New Roman" w:hAnsi="Times New Roman" w:eastAsia="宋体" w:cs="Times New Roman"/>
                <w:color w:val="FF0000"/>
                <w:lang w:val="en-US" w:eastAsia="zh-CN"/>
              </w:rPr>
              <w:t>，本项目所处区域</w:t>
            </w:r>
            <w:r>
              <w:rPr>
                <w:rFonts w:hint="eastAsia" w:ascii="Times New Roman" w:hAnsi="Times New Roman" w:eastAsia="宋体" w:cs="Times New Roman"/>
                <w:color w:val="FF0000"/>
                <w:lang w:val="en-US" w:eastAsia="zh-CN"/>
              </w:rPr>
              <w:t>铜钱关镇</w:t>
            </w:r>
            <w:r>
              <w:rPr>
                <w:rFonts w:hint="default" w:ascii="Times New Roman" w:hAnsi="Times New Roman" w:eastAsia="宋体" w:cs="Times New Roman"/>
                <w:color w:val="FF0000"/>
              </w:rPr>
              <w:t>属于</w:t>
            </w:r>
            <w:r>
              <w:rPr>
                <w:rFonts w:hint="default" w:ascii="Times New Roman" w:hAnsi="Times New Roman" w:eastAsia="宋体" w:cs="Times New Roman"/>
                <w:color w:val="FF0000"/>
                <w:lang w:val="en-US" w:eastAsia="zh-CN"/>
              </w:rPr>
              <w:t>水土流失</w:t>
            </w:r>
            <w:r>
              <w:rPr>
                <w:rFonts w:hint="default" w:ascii="Times New Roman" w:hAnsi="Times New Roman" w:eastAsia="宋体" w:cs="Times New Roman"/>
                <w:color w:val="FF0000"/>
              </w:rPr>
              <w:t>重点治理区</w:t>
            </w:r>
            <w:r>
              <w:rPr>
                <w:rFonts w:hint="default" w:ascii="Times New Roman" w:hAnsi="Times New Roman" w:eastAsia="宋体" w:cs="Times New Roman"/>
                <w:color w:val="FF0000"/>
                <w:lang w:eastAsia="zh-CN"/>
              </w:rPr>
              <w:t>，</w:t>
            </w:r>
            <w:r>
              <w:rPr>
                <w:rFonts w:hint="default" w:ascii="Times New Roman" w:hAnsi="Times New Roman" w:eastAsia="宋体" w:cs="Times New Roman"/>
                <w:color w:val="FF0000"/>
                <w:lang w:val="en-US" w:eastAsia="zh-CN"/>
              </w:rPr>
              <w:t>本项目为地下开采，</w:t>
            </w:r>
            <w:r>
              <w:rPr>
                <w:rFonts w:hint="eastAsia" w:ascii="Times New Roman" w:hAnsi="Times New Roman" w:eastAsia="宋体" w:cs="Times New Roman"/>
                <w:color w:val="FF0000"/>
                <w:lang w:val="en-US" w:eastAsia="zh-CN"/>
              </w:rPr>
              <w:t>地面活动占地范围较小，</w:t>
            </w:r>
            <w:r>
              <w:rPr>
                <w:rFonts w:hint="default" w:ascii="Times New Roman" w:hAnsi="Times New Roman" w:eastAsia="宋体" w:cs="Times New Roman"/>
                <w:color w:val="FF0000"/>
                <w:lang w:val="en-US" w:eastAsia="zh-CN"/>
              </w:rPr>
              <w:t>地面的施工活动在严格落实各项环境保护措施后，可减少水土流失现象。本项目占用的林地严格按照国家相关规定缴纳森林植被恢复费，无毁林毁草开垦的现象。</w:t>
            </w:r>
          </w:p>
        </w:tc>
        <w:tc>
          <w:tcPr>
            <w:tcW w:w="709" w:type="dxa"/>
            <w:tcBorders>
              <w:tl2br w:val="nil"/>
              <w:tr2bl w:val="nil"/>
            </w:tcBorders>
            <w:vAlign w:val="center"/>
          </w:tcPr>
          <w:p>
            <w:pPr>
              <w:jc w:val="center"/>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b/>
          <w:bCs/>
          <w:color w:val="FF0000"/>
          <w:sz w:val="24"/>
          <w:szCs w:val="24"/>
          <w:lang w:val="en-US" w:eastAsia="zh-CN"/>
        </w:rPr>
        <w:t>3）一说明</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4"/>
          <w:szCs w:val="24"/>
          <w:lang w:val="en-US" w:eastAsia="zh-CN"/>
        </w:rPr>
        <w:t>优先保护单元以生态优先为原则，突出空间布局约束，依法禁止或限制大规模、高强度工业开发和城镇建设活动，开展生态功能受损区域生态保护修复活动，确保重要生态环境功能不降低。</w:t>
      </w:r>
      <w:r>
        <w:rPr>
          <w:rFonts w:hint="default" w:ascii="Times New Roman" w:hAnsi="Times New Roman" w:eastAsia="宋体" w:cs="Times New Roman"/>
          <w:color w:val="FF0000"/>
          <w:sz w:val="24"/>
          <w:szCs w:val="24"/>
        </w:rPr>
        <w:t>本项目为重晶石及伴生的毒重石开采项目，</w:t>
      </w:r>
      <w:r>
        <w:rPr>
          <w:rFonts w:hint="default" w:ascii="Times New Roman" w:hAnsi="Times New Roman" w:eastAsia="宋体" w:cs="Times New Roman"/>
          <w:color w:val="FF0000"/>
          <w:sz w:val="24"/>
          <w:szCs w:val="24"/>
          <w:lang w:val="en-US" w:eastAsia="zh-CN"/>
        </w:rPr>
        <w:t>开采方式为地下开采，环境影响相对较小。</w:t>
      </w:r>
      <w:r>
        <w:rPr>
          <w:rFonts w:hint="default" w:ascii="Times New Roman" w:hAnsi="Times New Roman" w:eastAsia="宋体" w:cs="Times New Roman"/>
          <w:color w:val="FF0000"/>
          <w:sz w:val="24"/>
          <w:szCs w:val="24"/>
          <w:lang w:eastAsia="zh-CN"/>
        </w:rPr>
        <w:t>资源总量</w:t>
      </w:r>
      <w:r>
        <w:rPr>
          <w:rFonts w:hint="default" w:ascii="Times New Roman" w:hAnsi="Times New Roman" w:eastAsia="宋体" w:cs="Times New Roman"/>
          <w:color w:val="FF0000"/>
          <w:sz w:val="24"/>
          <w:szCs w:val="24"/>
          <w:lang w:val="en-US" w:eastAsia="zh-CN"/>
        </w:rPr>
        <w:t>29.62万吨，目前已开采3.5万吨，</w:t>
      </w:r>
      <w:r>
        <w:rPr>
          <w:rFonts w:hint="default" w:ascii="Times New Roman" w:hAnsi="Times New Roman" w:eastAsia="宋体" w:cs="Times New Roman"/>
          <w:color w:val="FF0000"/>
          <w:sz w:val="24"/>
          <w:szCs w:val="24"/>
        </w:rPr>
        <w:t>项目建成后，矿山设计采矿生产能力166.7t/d（50000t/a），矿山</w:t>
      </w:r>
      <w:r>
        <w:rPr>
          <w:rFonts w:hint="eastAsia" w:ascii="Times New Roman" w:hAnsi="Times New Roman" w:eastAsia="宋体" w:cs="Times New Roman"/>
          <w:color w:val="FF0000"/>
          <w:sz w:val="24"/>
          <w:szCs w:val="24"/>
          <w:lang w:eastAsia="zh-CN"/>
        </w:rPr>
        <w:t>剩余</w:t>
      </w:r>
      <w:r>
        <w:rPr>
          <w:rFonts w:hint="default" w:ascii="Times New Roman" w:hAnsi="Times New Roman" w:eastAsia="宋体" w:cs="Times New Roman"/>
          <w:color w:val="FF0000"/>
          <w:sz w:val="24"/>
          <w:szCs w:val="24"/>
        </w:rPr>
        <w:t>服务年限5.</w:t>
      </w:r>
      <w:r>
        <w:rPr>
          <w:rFonts w:hint="default"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a（不含基建期）</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服务期</w:t>
      </w:r>
      <w:r>
        <w:rPr>
          <w:rFonts w:hint="eastAsia" w:ascii="Times New Roman" w:hAnsi="Times New Roman" w:eastAsia="宋体" w:cs="Times New Roman"/>
          <w:color w:val="FF0000"/>
          <w:sz w:val="24"/>
          <w:szCs w:val="24"/>
          <w:lang w:val="en-US" w:eastAsia="zh-CN"/>
        </w:rPr>
        <w:t>相对</w:t>
      </w:r>
      <w:r>
        <w:rPr>
          <w:rFonts w:hint="default" w:ascii="Times New Roman" w:hAnsi="Times New Roman" w:eastAsia="宋体" w:cs="Times New Roman"/>
          <w:color w:val="FF0000"/>
          <w:sz w:val="24"/>
          <w:szCs w:val="24"/>
          <w:lang w:val="en-US" w:eastAsia="zh-CN"/>
        </w:rPr>
        <w:t>较短，项目服务期满后，依法对生态进行治理恢复</w:t>
      </w:r>
      <w:r>
        <w:rPr>
          <w:rFonts w:hint="eastAsia" w:ascii="Times New Roman" w:hAnsi="Times New Roman" w:eastAsia="宋体" w:cs="Times New Roman"/>
          <w:color w:val="FF0000"/>
          <w:sz w:val="24"/>
          <w:szCs w:val="24"/>
          <w:lang w:val="en-US" w:eastAsia="zh-CN"/>
        </w:rPr>
        <w:t>，本项目不会导致所在区域生态环境下降</w:t>
      </w:r>
      <w:r>
        <w:rPr>
          <w:rFonts w:hint="default" w:ascii="Times New Roman" w:hAnsi="Times New Roman" w:eastAsia="宋体" w:cs="Times New Roman"/>
          <w:color w:val="FF0000"/>
          <w:sz w:val="24"/>
          <w:szCs w:val="24"/>
          <w:lang w:val="en-US" w:eastAsia="zh-CN"/>
        </w:rPr>
        <w:t>。本项目</w:t>
      </w:r>
      <w:r>
        <w:rPr>
          <w:rFonts w:hint="eastAsia" w:ascii="Times New Roman" w:hAnsi="Times New Roman" w:eastAsia="宋体" w:cs="Times New Roman"/>
          <w:color w:val="FF0000"/>
          <w:sz w:val="24"/>
          <w:szCs w:val="24"/>
          <w:lang w:val="en-US" w:eastAsia="zh-CN"/>
        </w:rPr>
        <w:t>生产服务期短，占地面积相对较小，</w:t>
      </w:r>
      <w:r>
        <w:rPr>
          <w:rFonts w:hint="default" w:ascii="Times New Roman" w:hAnsi="Times New Roman" w:eastAsia="宋体" w:cs="Times New Roman"/>
          <w:color w:val="FF0000"/>
          <w:sz w:val="24"/>
          <w:szCs w:val="24"/>
          <w:lang w:val="en-US" w:eastAsia="zh-CN"/>
        </w:rPr>
        <w:t>不属于大规模开发项目，不违背优先保护单元以生态优先的原则</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val="en-US" w:eastAsia="zh-CN"/>
        </w:rPr>
        <w:t>因此，</w:t>
      </w:r>
      <w:r>
        <w:rPr>
          <w:rFonts w:hint="default" w:ascii="Times New Roman" w:hAnsi="Times New Roman" w:eastAsia="宋体" w:cs="Times New Roman"/>
          <w:b w:val="0"/>
          <w:bCs w:val="0"/>
          <w:color w:val="FF0000"/>
          <w:sz w:val="24"/>
          <w:szCs w:val="24"/>
          <w:lang w:val="en-US" w:eastAsia="zh-CN"/>
        </w:rPr>
        <w:t>本项目符合安康市旬阳市生态环境管控单元准入清单的要求。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outlineLvl w:val="9"/>
        <w:rPr>
          <w:rFonts w:hint="eastAsia" w:ascii="Times New Roman" w:hAnsi="Times New Roman" w:eastAsia="宋体" w:cs="Times New Roman"/>
          <w:b/>
          <w:bCs/>
          <w:color w:val="000000" w:themeColor="text1"/>
          <w:sz w:val="24"/>
          <w:szCs w:val="24"/>
          <w:lang w:eastAsia="zh-CN"/>
        </w:rPr>
      </w:pP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3</w:t>
      </w: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 xml:space="preserve"> 安康市“三线一单”符合性分析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eastAsia="zh-CN"/>
        </w:rPr>
        <w:t>表</w:t>
      </w:r>
      <w:r>
        <w:rPr>
          <w:rFonts w:hint="eastAsia" w:ascii="Times New Roman" w:hAnsi="Times New Roman" w:eastAsia="宋体" w:cs="Times New Roman"/>
          <w:b/>
          <w:bCs/>
          <w:color w:val="000000" w:themeColor="text1"/>
          <w:sz w:val="21"/>
          <w:szCs w:val="21"/>
          <w:lang w:val="en-US" w:eastAsia="zh-CN"/>
        </w:rPr>
        <w:t>1.4-5  安康市“三线一单”符合性分析</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9"/>
        <w:gridCol w:w="660"/>
        <w:gridCol w:w="4190"/>
        <w:gridCol w:w="2825"/>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46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项目</w:t>
            </w:r>
          </w:p>
        </w:tc>
        <w:tc>
          <w:tcPr>
            <w:tcW w:w="4850"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要求</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9" w:hRule="atLeast"/>
          <w:jc w:val="center"/>
        </w:trPr>
        <w:tc>
          <w:tcPr>
            <w:tcW w:w="46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生态保护红线</w:t>
            </w:r>
          </w:p>
        </w:tc>
        <w:tc>
          <w:tcPr>
            <w:tcW w:w="4850" w:type="dxa"/>
            <w:gridSpan w:val="2"/>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cs="Times New Roman"/>
                <w:color w:val="000000" w:themeColor="text1"/>
                <w:sz w:val="21"/>
                <w:szCs w:val="21"/>
                <w:vertAlign w:val="baseline"/>
                <w:lang w:val="en-US" w:eastAsia="zh-CN"/>
              </w:rPr>
              <w:t>原则上禁止开发区的要求进行管理。</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根据《安康市生态保护红线图》结合</w:t>
            </w:r>
            <w:r>
              <w:rPr>
                <w:rFonts w:hint="default" w:ascii="Times New Roman" w:hAnsi="Times New Roman" w:eastAsia="宋体" w:cs="Times New Roman"/>
                <w:color w:val="000000" w:themeColor="text1"/>
                <w:sz w:val="21"/>
                <w:szCs w:val="21"/>
                <w:vertAlign w:val="baseline"/>
                <w:lang w:val="en-US" w:eastAsia="zh-CN"/>
              </w:rPr>
              <w:t>《安康市</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三线一单</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生态环境分区管控方案的通知》安政发〔2021〕18号</w:t>
            </w:r>
            <w:r>
              <w:rPr>
                <w:rFonts w:hint="eastAsia" w:ascii="Times New Roman" w:hAnsi="Times New Roman" w:eastAsia="宋体" w:cs="Times New Roman"/>
                <w:color w:val="000000" w:themeColor="text1"/>
                <w:sz w:val="21"/>
                <w:szCs w:val="21"/>
                <w:vertAlign w:val="baseline"/>
                <w:lang w:val="en-US" w:eastAsia="zh-CN"/>
              </w:rPr>
              <w:t>可知，铜钱关镇</w:t>
            </w:r>
            <w:r>
              <w:rPr>
                <w:rFonts w:hint="eastAsia"/>
                <w:color w:val="000000" w:themeColor="text1"/>
                <w:sz w:val="21"/>
                <w:szCs w:val="21"/>
                <w:lang w:val="en-US" w:eastAsia="zh-CN"/>
              </w:rPr>
              <w:t>为水源涵养生态保护红线区和水土流失生态保护红线区，本项目在严格落实各项环境保护政策后，符合水源涵养生态保护红线区和水土流失生态保护红线的的空间布局约束要求，因此，本项目符合生态保护红线的管理要求</w:t>
            </w:r>
            <w:r>
              <w:rPr>
                <w:rFonts w:hint="eastAsia" w:ascii="Times New Roman" w:hAnsi="Times New Roman" w:eastAsia="宋体" w:cs="Times New Roman"/>
                <w:color w:val="000000" w:themeColor="text1"/>
                <w:sz w:val="21"/>
                <w:szCs w:val="21"/>
                <w:vertAlign w:val="baseline"/>
                <w:lang w:val="en-US" w:eastAsia="zh-CN"/>
              </w:rPr>
              <w:t>，本项目与安康市生态保护红线关系图详见附图14。</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jc w:val="center"/>
        </w:trPr>
        <w:tc>
          <w:tcPr>
            <w:tcW w:w="46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环境质量底线</w:t>
            </w:r>
          </w:p>
        </w:tc>
        <w:tc>
          <w:tcPr>
            <w:tcW w:w="4850" w:type="dxa"/>
            <w:gridSpan w:val="2"/>
            <w:tcBorders>
              <w:tl2br w:val="nil"/>
              <w:tr2bl w:val="nil"/>
            </w:tcBorders>
            <w:vAlign w:val="center"/>
          </w:tcPr>
          <w:p>
            <w:pPr>
              <w:pStyle w:val="27"/>
              <w:keepNext w:val="0"/>
              <w:keepLines w:val="0"/>
              <w:widowControl/>
              <w:suppressLineNumbers w:val="0"/>
              <w:jc w:val="center"/>
              <w:rPr>
                <w:color w:val="000000" w:themeColor="text1"/>
                <w:sz w:val="21"/>
                <w:szCs w:val="21"/>
              </w:rPr>
            </w:pPr>
            <w:r>
              <w:rPr>
                <w:color w:val="000000" w:themeColor="text1"/>
                <w:sz w:val="21"/>
                <w:szCs w:val="21"/>
              </w:rPr>
              <w:t>按照水、大气、土壤环境质量不断优化的原则，结合环境质量现状和相关规划、功能区划要求，考虑环境质量改善潜力，确定的分区域分阶段环境质量目标及相应的环境管控、污染物排放控制等要求。</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rPr>
              <w:t>本项目为非金属矿山开采项目，项目周边声环境</w:t>
            </w:r>
            <w:r>
              <w:rPr>
                <w:rFonts w:hint="eastAsia" w:ascii="Times New Roman" w:hAnsi="Times New Roman" w:eastAsia="宋体" w:cs="Times New Roman"/>
                <w:color w:val="000000" w:themeColor="text1"/>
                <w:lang w:eastAsia="zh-CN"/>
              </w:rPr>
              <w:t>、土壤、地下水、大气</w:t>
            </w:r>
            <w:r>
              <w:rPr>
                <w:rFonts w:hint="default" w:ascii="Times New Roman" w:hAnsi="Times New Roman" w:eastAsia="宋体" w:cs="Times New Roman"/>
                <w:color w:val="000000" w:themeColor="text1"/>
              </w:rPr>
              <w:t>均能满足环境质量要求，项目所在地20</w:t>
            </w:r>
            <w:r>
              <w:rPr>
                <w:rFonts w:hint="default" w:ascii="Times New Roman" w:hAnsi="Times New Roman" w:eastAsia="宋体" w:cs="Times New Roman"/>
                <w:color w:val="000000" w:themeColor="text1"/>
                <w:lang w:val="en-US" w:eastAsia="zh-CN"/>
              </w:rPr>
              <w:t>2</w:t>
            </w:r>
            <w:r>
              <w:rPr>
                <w:rFonts w:hint="eastAsia" w:ascii="Times New Roman" w:hAnsi="Times New Roman" w:eastAsia="宋体" w:cs="Times New Roman"/>
                <w:color w:val="000000" w:themeColor="text1"/>
                <w:lang w:val="en-US" w:eastAsia="zh-CN"/>
              </w:rPr>
              <w:t>1</w:t>
            </w:r>
            <w:r>
              <w:rPr>
                <w:rFonts w:hint="default" w:ascii="Times New Roman" w:hAnsi="Times New Roman" w:eastAsia="宋体" w:cs="Times New Roman"/>
                <w:color w:val="000000" w:themeColor="text1"/>
              </w:rPr>
              <w:t>年环境空气质量为达标区。</w:t>
            </w:r>
            <w:r>
              <w:rPr>
                <w:rFonts w:hint="eastAsia"/>
                <w:color w:val="000000" w:themeColor="text1"/>
              </w:rPr>
              <w:t>项目运行过程中，生产废水处理后回用；废气通过各项治理措施后场界达标排放，</w:t>
            </w:r>
            <w:r>
              <w:rPr>
                <w:rFonts w:hint="eastAsia"/>
                <w:color w:val="000000" w:themeColor="text1"/>
                <w:szCs w:val="22"/>
              </w:rPr>
              <w:t>不会改变区域大气环境质量</w:t>
            </w:r>
            <w:r>
              <w:rPr>
                <w:rFonts w:hint="eastAsia"/>
                <w:color w:val="000000" w:themeColor="text1"/>
                <w:szCs w:val="22"/>
                <w:lang w:eastAsia="zh-CN"/>
              </w:rPr>
              <w:t>、扩建项目产生的废石用于矿区基建，剩余全部井下充填，不外排，危险废物在危险废物暂存间临时贮存，交由有资质单位处置，生活垃圾分类收集，交由环卫部门处置；噪声达标排放</w:t>
            </w:r>
            <w:r>
              <w:rPr>
                <w:rFonts w:hint="eastAsia"/>
                <w:color w:val="000000" w:themeColor="text1"/>
                <w:lang w:val="en-US" w:eastAsia="zh-CN"/>
              </w:rPr>
              <w:t>，</w:t>
            </w:r>
            <w:r>
              <w:rPr>
                <w:rFonts w:hint="eastAsia"/>
                <w:color w:val="000000" w:themeColor="text1"/>
              </w:rPr>
              <w:t>符合环境质量底线的原则。</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46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资源利用上线</w:t>
            </w:r>
          </w:p>
        </w:tc>
        <w:tc>
          <w:tcPr>
            <w:tcW w:w="4850" w:type="dxa"/>
            <w:gridSpan w:val="2"/>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outlineLvl w:val="9"/>
              <w:rPr>
                <w:color w:val="000000" w:themeColor="text1"/>
                <w:sz w:val="21"/>
                <w:szCs w:val="21"/>
              </w:rPr>
            </w:pPr>
            <w:r>
              <w:rPr>
                <w:color w:val="000000" w:themeColor="text1"/>
                <w:sz w:val="21"/>
                <w:szCs w:val="21"/>
              </w:rPr>
              <w:t>按照自然资源资产</w:t>
            </w:r>
            <w:r>
              <w:rPr>
                <w:rFonts w:hint="eastAsia"/>
                <w:color w:val="000000" w:themeColor="text1"/>
                <w:sz w:val="21"/>
                <w:szCs w:val="21"/>
                <w:lang w:eastAsia="zh-CN"/>
              </w:rPr>
              <w:t>“</w:t>
            </w:r>
            <w:r>
              <w:rPr>
                <w:color w:val="000000" w:themeColor="text1"/>
                <w:sz w:val="21"/>
                <w:szCs w:val="21"/>
              </w:rPr>
              <w:t>只能增值、不能贬值</w:t>
            </w:r>
            <w:r>
              <w:rPr>
                <w:rFonts w:hint="eastAsia"/>
                <w:color w:val="000000" w:themeColor="text1"/>
                <w:sz w:val="21"/>
                <w:szCs w:val="21"/>
                <w:lang w:eastAsia="zh-CN"/>
              </w:rPr>
              <w:t>”</w:t>
            </w:r>
            <w:r>
              <w:rPr>
                <w:color w:val="000000" w:themeColor="text1"/>
                <w:sz w:val="21"/>
                <w:szCs w:val="21"/>
              </w:rPr>
              <w:t>的原则，以保障生态安全和改善环境质量为目的，利用自然资源资产负债表，结合自然资源开发管控，提出的分区域分阶段的资源开发利用总量、强度、效率等上线管控要求。</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rPr>
            </w:pPr>
            <w:r>
              <w:rPr>
                <w:rFonts w:hint="eastAsia"/>
                <w:color w:val="000000" w:themeColor="text1"/>
              </w:rPr>
              <w:t>本工程占地面积小，建成后主要固定生产设备采用电能</w:t>
            </w:r>
            <w:r>
              <w:rPr>
                <w:rFonts w:hint="eastAsia"/>
                <w:color w:val="000000" w:themeColor="text1"/>
                <w:lang w:eastAsia="zh-CN"/>
              </w:rPr>
              <w:t>和少量柴油</w:t>
            </w:r>
            <w:r>
              <w:rPr>
                <w:rFonts w:hint="eastAsia"/>
                <w:color w:val="000000" w:themeColor="text1"/>
              </w:rPr>
              <w:t>，生产用水使用</w:t>
            </w:r>
            <w:r>
              <w:rPr>
                <w:rFonts w:hint="eastAsia"/>
                <w:color w:val="000000" w:themeColor="text1"/>
                <w:lang w:eastAsia="zh-CN"/>
              </w:rPr>
              <w:t>山泉水</w:t>
            </w:r>
            <w:r>
              <w:rPr>
                <w:rFonts w:hint="eastAsia"/>
                <w:color w:val="000000" w:themeColor="text1"/>
              </w:rPr>
              <w:t>为水源</w:t>
            </w:r>
            <w:r>
              <w:rPr>
                <w:rFonts w:hint="eastAsia"/>
                <w:color w:val="000000" w:themeColor="text1"/>
                <w:lang w:eastAsia="zh-CN"/>
              </w:rPr>
              <w:t>，生活用水采购商品桶装水，</w:t>
            </w:r>
            <w:r>
              <w:rPr>
                <w:rFonts w:hint="eastAsia"/>
                <w:color w:val="000000" w:themeColor="text1"/>
                <w:lang w:val="en-US" w:eastAsia="zh-CN"/>
              </w:rPr>
              <w:t>资源利用相对较少。</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安康市生态环境准入清单</w:t>
            </w:r>
          </w:p>
        </w:tc>
        <w:tc>
          <w:tcPr>
            <w:tcW w:w="66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空间布局约束</w:t>
            </w: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1.本行政区域内的自然保护区、风景名胜区、森林公园、地质公园、世界自然和文化遗产地、饮用水水源保护区等区域的禁止性和限制性准入要求按照国家相关法律法规执行。</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项目不涉及上述环境敏感区。</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color w:val="000000" w:themeColor="text1"/>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color w:val="000000" w:themeColor="text1"/>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2.禁止在优先保护耕地内新建有色金属采选、冶炼、化工、医药、电镀、铅蓄电池制造、煤炭开采等行业企业，现有相关行业企业要采用新技术、新工艺、加快提标升级改造步伐。</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本项目为化学矿采选，不占用优先保护类耕地。</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3.禁止在居民区、学校、医院和养老院等周边新建、扩建有色金属采选、冶炼、化工等行业企业。</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本项目为化学矿采选，周边无居民区、学校、医院和养老院等环境敏感区。</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4.淘汰涉重金属行业落后产能，严格执行重金属相关行业准入条件，禁止新建落后产能或者产能严重过剩行业的建设项目。</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本项目不属于涉重金属行业落后产能项目。</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5.在汉江流域新设、改设或者扩大排污口，应当符合水功能区划、水资源保护规划和防洪要求，未经许可不得设置入河排污口。</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本项目无废水排放口。</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6.限制新建、扩建原生汞矿开采项目；现有汞矿开采按原有规模开采至2032年8月16日前淘汰关闭。</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本项目不涉及汞矿开采。</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7.在长江流域江河两岸的禁止和限制性准入要求按照《长江保护法》执行。</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本项目不属于《长江保护法》禁止和限制的区域。</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8.蒿坪河流域禁止新建、扩建矿山开采项目。</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本项目不属于蒿坪河流域范围内。</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污染排放管控</w:t>
            </w: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本项目不属于“两高”项目</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2.禁止工况企业在废水、废气和废渣处置过程中将污染物向土壤环境转移。</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本项目废气达标排放，废水回用不外排，</w:t>
            </w:r>
            <w:r>
              <w:rPr>
                <w:rFonts w:hint="eastAsia"/>
                <w:color w:val="000000" w:themeColor="text1"/>
                <w:szCs w:val="22"/>
                <w:lang w:eastAsia="zh-CN"/>
              </w:rPr>
              <w:t>扩建项目产生的废石用于矿区基建，剩余全部井下充填，不外排，危险废物在危险废物暂存间临时贮存，交由有资质单位处置，生活垃圾分类收集，交由环卫部门处置</w:t>
            </w:r>
            <w:r>
              <w:rPr>
                <w:rFonts w:hint="eastAsia" w:ascii="Times New Roman" w:hAnsi="Times New Roman" w:eastAsia="宋体" w:cs="Times New Roman"/>
                <w:color w:val="000000" w:themeColor="text1"/>
                <w:sz w:val="21"/>
                <w:szCs w:val="21"/>
                <w:vertAlign w:val="baseline"/>
                <w:lang w:val="en-US" w:eastAsia="zh-CN"/>
              </w:rPr>
              <w:t>。</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3.鼓励尾矿渣综合利用，无主尾矿库应由当地人民政府依法闭库或封场绿化，防治水土流失和环境损害。</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本项目废石少部分用于矿区基础建设，其余全部回填井下回填。</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环境风险防控</w:t>
            </w: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做好危险化学品运输和尾矿库环境风险防控。</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本项目不涉及危险化学品和尾矿库。</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9"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p>
        </w:tc>
        <w:tc>
          <w:tcPr>
            <w:tcW w:w="66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资源利用效率要求</w:t>
            </w:r>
          </w:p>
        </w:tc>
        <w:tc>
          <w:tcPr>
            <w:tcW w:w="41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推动高耗能行业技术创新和改造升级，新建、改（扩）建项目必须达到强制性能耗限额标准先进值和污染物排放标准。</w:t>
            </w:r>
          </w:p>
        </w:tc>
        <w:tc>
          <w:tcPr>
            <w:tcW w:w="282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本项目不属于高耗能行业。</w:t>
            </w:r>
          </w:p>
        </w:tc>
        <w:tc>
          <w:tcPr>
            <w:tcW w:w="79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bl>
    <w:p>
      <w:pPr>
        <w:pStyle w:val="5"/>
        <w:rPr>
          <w:rFonts w:hint="eastAsia"/>
          <w:color w:val="000000" w:themeColor="text1"/>
          <w:lang w:val="en-US" w:eastAsia="zh-CN"/>
        </w:rPr>
      </w:pPr>
      <w:bookmarkStart w:id="27" w:name="_Toc28701"/>
      <w:r>
        <w:rPr>
          <w:rFonts w:hint="eastAsia"/>
          <w:color w:val="000000" w:themeColor="text1"/>
          <w:lang w:val="en-US" w:eastAsia="zh-CN"/>
        </w:rPr>
        <w:t>相关规划符合性分析</w:t>
      </w:r>
      <w:bookmarkEnd w:id="26"/>
      <w:bookmarkEnd w:id="27"/>
    </w:p>
    <w:p>
      <w:pPr>
        <w:adjustRightInd w:val="0"/>
        <w:snapToGrid w:val="0"/>
        <w:spacing w:line="360" w:lineRule="auto"/>
        <w:jc w:val="center"/>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表1.4-6  相关规划符合性分析</w:t>
      </w:r>
    </w:p>
    <w:tbl>
      <w:tblPr>
        <w:tblStyle w:val="40"/>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3853"/>
        <w:gridCol w:w="2523"/>
        <w:gridCol w:w="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5643"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相关文件</w:t>
            </w:r>
          </w:p>
        </w:tc>
        <w:tc>
          <w:tcPr>
            <w:tcW w:w="2523"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本项目</w:t>
            </w:r>
          </w:p>
        </w:tc>
        <w:tc>
          <w:tcPr>
            <w:tcW w:w="82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文件名称</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内容要求</w:t>
            </w:r>
          </w:p>
        </w:tc>
        <w:tc>
          <w:tcPr>
            <w:tcW w:w="252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rPr>
            </w:pPr>
          </w:p>
        </w:tc>
        <w:tc>
          <w:tcPr>
            <w:tcW w:w="82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91" w:hRule="atLeast"/>
          <w:jc w:val="center"/>
        </w:trPr>
        <w:tc>
          <w:tcPr>
            <w:tcW w:w="17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rPr>
            </w:pPr>
            <w:r>
              <w:rPr>
                <w:rFonts w:hint="eastAsia"/>
                <w:color w:val="FF0000"/>
              </w:rPr>
              <w:t>《陕</w:t>
            </w:r>
            <w:r>
              <w:rPr>
                <w:rFonts w:hint="default" w:ascii="Times New Roman" w:hAnsi="Times New Roman" w:eastAsia="宋体" w:cs="Times New Roman"/>
                <w:color w:val="FF0000"/>
              </w:rPr>
              <w:t>西省水土流失重点防护区规划》</w:t>
            </w:r>
            <w:r>
              <w:rPr>
                <w:rFonts w:hint="default" w:ascii="Times New Roman" w:hAnsi="Times New Roman" w:eastAsia="宋体" w:cs="Times New Roman"/>
                <w:color w:val="FF0000"/>
                <w:lang w:eastAsia="zh-CN"/>
              </w:rPr>
              <w:t>（陕政发</w:t>
            </w:r>
            <w:r>
              <w:rPr>
                <w:rFonts w:hint="default" w:ascii="Times New Roman" w:hAnsi="Times New Roman" w:eastAsia="宋体" w:cs="Times New Roman"/>
                <w:i w:val="0"/>
                <w:caps w:val="0"/>
                <w:color w:val="FF0000"/>
                <w:spacing w:val="0"/>
                <w:sz w:val="21"/>
                <w:szCs w:val="21"/>
                <w:shd w:val="clear" w:fill="FFFFFF"/>
              </w:rPr>
              <w:t>〔</w:t>
            </w:r>
            <w:r>
              <w:rPr>
                <w:rFonts w:hint="default" w:ascii="Times New Roman" w:hAnsi="Times New Roman" w:eastAsia="宋体" w:cs="Times New Roman"/>
                <w:i w:val="0"/>
                <w:caps w:val="0"/>
                <w:color w:val="FF0000"/>
                <w:spacing w:val="0"/>
                <w:sz w:val="21"/>
                <w:szCs w:val="21"/>
                <w:shd w:val="clear" w:fill="FFFFFF"/>
                <w:lang w:val="en-US" w:eastAsia="zh-CN"/>
              </w:rPr>
              <w:t>1999</w:t>
            </w:r>
            <w:r>
              <w:rPr>
                <w:rFonts w:hint="default" w:ascii="Times New Roman" w:hAnsi="Times New Roman" w:eastAsia="宋体" w:cs="Times New Roman"/>
                <w:i w:val="0"/>
                <w:caps w:val="0"/>
                <w:color w:val="FF0000"/>
                <w:spacing w:val="0"/>
                <w:sz w:val="21"/>
                <w:szCs w:val="21"/>
                <w:shd w:val="clear" w:fill="FFFFFF"/>
              </w:rPr>
              <w:t>〕</w:t>
            </w:r>
            <w:r>
              <w:rPr>
                <w:rFonts w:hint="default" w:ascii="Times New Roman" w:hAnsi="Times New Roman" w:eastAsia="宋体" w:cs="Times New Roman"/>
                <w:color w:val="FF0000"/>
                <w:sz w:val="21"/>
                <w:szCs w:val="21"/>
                <w:lang w:val="en-US" w:eastAsia="zh-CN"/>
              </w:rPr>
              <w:t>6</w:t>
            </w:r>
            <w:r>
              <w:rPr>
                <w:rFonts w:hint="default" w:ascii="Times New Roman" w:hAnsi="Times New Roman" w:eastAsia="宋体" w:cs="Times New Roman"/>
                <w:color w:val="FF0000"/>
                <w:lang w:val="en-US" w:eastAsia="zh-CN"/>
              </w:rPr>
              <w:t>号</w:t>
            </w:r>
            <w:r>
              <w:rPr>
                <w:rFonts w:hint="default" w:ascii="Times New Roman" w:hAnsi="Times New Roman" w:eastAsia="宋体" w:cs="Times New Roman"/>
                <w:color w:val="FF0000"/>
                <w:lang w:eastAsia="zh-CN"/>
              </w:rPr>
              <w:t>）</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rPr>
            </w:pPr>
            <w:r>
              <w:rPr>
                <w:rFonts w:ascii="Times New Roman" w:hAnsi="Times New Roman" w:eastAsiaTheme="minorEastAsia" w:cstheme="minorBidi"/>
                <w:color w:val="FF0000"/>
                <w:kern w:val="2"/>
                <w:sz w:val="21"/>
                <w:szCs w:val="22"/>
              </w:rPr>
              <w:t>重点治理区：秦巴山区重点治理区：包括商南、丹凤、山阳、商州、洛南、镇安、柞水、白河、石泉、镇坪、紫阳、岚皋、汉阴、旬阳、安康、宁陕、平利、西乡、洋县、城固、汉中市汉台区、镇巴、南郑、勉县、宁强、略阳、佛坪、留坝、凤县等（区）全部或部分乡镇。</w:t>
            </w:r>
            <w:r>
              <w:rPr>
                <w:rFonts w:hint="eastAsia" w:ascii="Times New Roman" w:hAnsi="Times New Roman" w:eastAsiaTheme="minorEastAsia" w:cstheme="minorBidi"/>
                <w:color w:val="FF0000"/>
                <w:kern w:val="2"/>
                <w:sz w:val="21"/>
                <w:szCs w:val="22"/>
              </w:rPr>
              <w:t>重点治理区要以治理水土流失、保水保土、减少泥沙下泄为主要目标，全面规划，山、水、田、林、路综合治理，建立水土流失综合防治体系，改善生产基本条件和生态环境，山、水、田、林、路综合治理，建立水土流失综合防治体系，改善生产基本条件和生态环境，增强抗御自然灾害的能力。</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rPr>
            </w:pPr>
            <w:r>
              <w:rPr>
                <w:rFonts w:hint="eastAsia"/>
                <w:color w:val="FF0000"/>
                <w:lang w:eastAsia="zh-CN"/>
              </w:rPr>
              <w:t>旬阳市（原</w:t>
            </w:r>
            <w:r>
              <w:rPr>
                <w:rFonts w:hint="eastAsia"/>
                <w:color w:val="FF0000"/>
              </w:rPr>
              <w:t>旬阳县</w:t>
            </w:r>
            <w:r>
              <w:rPr>
                <w:rFonts w:hint="eastAsia"/>
                <w:color w:val="FF0000"/>
                <w:lang w:eastAsia="zh-CN"/>
              </w:rPr>
              <w:t>）</w:t>
            </w:r>
            <w:r>
              <w:rPr>
                <w:rFonts w:hint="eastAsia"/>
                <w:color w:val="FF0000"/>
              </w:rPr>
              <w:t>，属于</w:t>
            </w:r>
            <w:r>
              <w:rPr>
                <w:rFonts w:hint="eastAsia"/>
                <w:color w:val="FF0000"/>
                <w:lang w:val="en-US" w:eastAsia="zh-CN"/>
              </w:rPr>
              <w:t>水土流失</w:t>
            </w:r>
            <w:r>
              <w:rPr>
                <w:rFonts w:hint="eastAsia"/>
                <w:color w:val="FF0000"/>
              </w:rPr>
              <w:t>重点治理区，本项目在实施过程中严格</w:t>
            </w:r>
            <w:r>
              <w:rPr>
                <w:rFonts w:hint="eastAsia"/>
                <w:color w:val="FF0000"/>
                <w:lang w:val="en-US" w:eastAsia="zh-CN"/>
              </w:rPr>
              <w:t>按照</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旬阳县赤岩镇水磨河口构皮沟毒重石矿</w:t>
            </w:r>
            <w:r>
              <w:rPr>
                <w:rFonts w:hint="eastAsia" w:ascii="Times New Roman" w:hAnsi="Times New Roman" w:eastAsia="宋体" w:cs="Times New Roman"/>
                <w:color w:val="FF0000"/>
                <w:sz w:val="21"/>
                <w:szCs w:val="21"/>
                <w:lang w:val="en-US" w:eastAsia="zh-CN"/>
              </w:rPr>
              <w:t>水保方案报告表</w:t>
            </w:r>
            <w:r>
              <w:rPr>
                <w:rFonts w:hint="eastAsia"/>
                <w:color w:val="FF0000"/>
                <w:lang w:val="en-US" w:eastAsia="zh-CN"/>
              </w:rPr>
              <w:t>》</w:t>
            </w:r>
            <w:r>
              <w:rPr>
                <w:rFonts w:hint="eastAsia"/>
                <w:color w:val="FF0000"/>
              </w:rPr>
              <w:t>采取各种措施严控水土流失。</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3"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olor w:val="FF0000"/>
              </w:rPr>
              <w:t>《陕西省主体功能区规划》</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rPr>
            </w:pPr>
            <w:r>
              <w:rPr>
                <w:rFonts w:hint="eastAsia"/>
                <w:color w:val="FF0000"/>
              </w:rPr>
              <w:t>规划旬阳县为限制开发区域中国家层面重点生态功能区</w:t>
            </w:r>
            <w:r>
              <w:rPr>
                <w:color w:val="FF0000"/>
              </w:rPr>
              <w:t>-</w:t>
            </w:r>
            <w:r>
              <w:rPr>
                <w:rFonts w:hint="eastAsia"/>
                <w:color w:val="FF0000"/>
              </w:rPr>
              <w:t>秦巴生物多样性生态功能区，主体功能是维护生物多样性、水源涵养、水土保持，提供生态产品。在限制开发区域内，资源环境承载力相对较强的特定区域，在不损害主体功能的前提下，可因地制宜适度发展和能源、矿产资源开发利用相关产业。在水资源严重短缺、环境容量很小、生态十分脆弱、地震和地质灾害频发的地区，要严格控制能源和矿产资源开，或在区外进行矿产资源的加工利用。</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cs="Times New Roman" w:eastAsiaTheme="minorEastAsia"/>
                <w:color w:val="FF0000"/>
                <w:sz w:val="21"/>
                <w:szCs w:val="21"/>
                <w:vertAlign w:val="baseline"/>
                <w:lang w:eastAsia="zh-CN"/>
              </w:rPr>
            </w:pPr>
            <w:r>
              <w:rPr>
                <w:rFonts w:hint="eastAsia"/>
                <w:color w:val="FF0000"/>
              </w:rPr>
              <w:t>本项目矿区和</w:t>
            </w:r>
            <w:r>
              <w:rPr>
                <w:color w:val="FF0000"/>
              </w:rPr>
              <w:t>地面生产设施均</w:t>
            </w:r>
            <w:r>
              <w:rPr>
                <w:rFonts w:hint="default" w:ascii="Times New Roman" w:hAnsi="Times New Roman" w:eastAsia="宋体" w:cs="Times New Roman"/>
                <w:color w:val="FF0000"/>
              </w:rPr>
              <w:t>在</w:t>
            </w:r>
            <w:r>
              <w:rPr>
                <w:rFonts w:hint="eastAsia" w:ascii="Times New Roman" w:hAnsi="Times New Roman" w:eastAsia="宋体" w:cs="Times New Roman"/>
                <w:color w:val="FF0000"/>
                <w:lang w:val="en-US" w:eastAsia="zh-CN"/>
              </w:rPr>
              <w:t>1500</w:t>
            </w:r>
            <w:r>
              <w:rPr>
                <w:rFonts w:hint="default" w:ascii="Times New Roman" w:hAnsi="Times New Roman" w:eastAsia="宋体" w:cs="Times New Roman"/>
                <w:color w:val="FF0000"/>
              </w:rPr>
              <w:t>m以下，采取地下开采方式，不在水源保护区、自然保护区等特殊生态敏区的禁止开发区范</w:t>
            </w:r>
            <w:r>
              <w:rPr>
                <w:color w:val="FF0000"/>
              </w:rPr>
              <w:t>围内，在采取相应的态保护措施后对区域水源涵养、</w:t>
            </w:r>
            <w:r>
              <w:rPr>
                <w:rFonts w:hint="eastAsia"/>
                <w:color w:val="FF0000"/>
                <w:lang w:eastAsia="zh-CN"/>
              </w:rPr>
              <w:t>水土流失</w:t>
            </w:r>
            <w:r>
              <w:rPr>
                <w:color w:val="FF0000"/>
              </w:rPr>
              <w:t>等生态主体功能影响较小，开采影响处于区域资源环境承载力范围之内</w:t>
            </w:r>
            <w:r>
              <w:rPr>
                <w:rFonts w:hint="eastAsia"/>
                <w:color w:val="FF0000"/>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rPr>
            </w:pP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Theme="minorEastAsia"/>
                <w:color w:val="FF0000"/>
                <w:lang w:eastAsia="zh-CN"/>
              </w:rPr>
            </w:pPr>
            <w:r>
              <w:rPr>
                <w:rFonts w:hint="eastAsia"/>
                <w:color w:val="FF0000"/>
                <w:lang w:eastAsia="zh-CN"/>
              </w:rPr>
              <w:t>限制开发区域（重点生态功能区）管制原则。维护生态系统完整性。严格管制各类开发活动，矿产开发、发展适宜产业和建设基础设施都应控制空间范围和建设规模，尽可能减少对自然生态系统的干扰，不得损害生态系统的稳定性和完整性。</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Theme="minorEastAsia"/>
                <w:color w:val="FF0000"/>
                <w:lang w:eastAsia="zh-CN"/>
              </w:rPr>
            </w:pPr>
            <w:r>
              <w:rPr>
                <w:rFonts w:hint="eastAsia"/>
                <w:color w:val="FF0000"/>
                <w:lang w:eastAsia="zh-CN"/>
              </w:rPr>
              <w:t>本项目为矿产开发项目，为地下开采，工业场地占地范围小，开采区无自然保护区、森林公园等敏感区，不会对自然生态系统产生干扰。</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rPr>
            </w:pP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lang w:val="en-US" w:eastAsia="zh-CN"/>
              </w:rPr>
            </w:pPr>
            <w:r>
              <w:rPr>
                <w:rFonts w:hint="eastAsia"/>
                <w:color w:val="FF0000"/>
                <w:lang w:eastAsia="zh-CN"/>
              </w:rPr>
              <w:t>主要矿产资源开发布局——陕南地区。在不影响区域主体功能的前提下，按照“点上开发，面上保护”的要求，科学规划，有序开发凤（县）太（白）、勉（县）略（阳）、宁（强）、山（阳）镇（安）柞（水）、旬阳、商南等地区金属和非金属矿产资源，建设现代材料基地。</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lang w:eastAsia="zh-CN"/>
              </w:rPr>
            </w:pPr>
            <w:r>
              <w:rPr>
                <w:rFonts w:hint="eastAsia"/>
                <w:color w:val="FF0000"/>
                <w:lang w:eastAsia="zh-CN"/>
              </w:rPr>
              <w:t>本项目的开采不会影响区域主体功能，位于旬阳县，属于非金属矿开采。</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1" w:hRule="atLeast"/>
          <w:jc w:val="center"/>
        </w:trPr>
        <w:tc>
          <w:tcPr>
            <w:tcW w:w="17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《陕西省生态功能区划》</w:t>
            </w:r>
            <w:r>
              <w:rPr>
                <w:rFonts w:hint="eastAsia"/>
                <w:color w:val="FF0000"/>
              </w:rPr>
              <w:t>（陕</w:t>
            </w:r>
            <w:r>
              <w:rPr>
                <w:rFonts w:hint="default" w:ascii="Times New Roman" w:hAnsi="Times New Roman" w:eastAsia="宋体" w:cs="Times New Roman"/>
                <w:color w:val="FF0000"/>
              </w:rPr>
              <w:t>政办发</w:t>
            </w:r>
            <w:r>
              <w:rPr>
                <w:rFonts w:ascii="Arial" w:hAnsi="Arial" w:eastAsia="宋体" w:cs="Arial"/>
                <w:i w:val="0"/>
                <w:caps w:val="0"/>
                <w:color w:val="FF0000"/>
                <w:spacing w:val="0"/>
                <w:sz w:val="21"/>
                <w:szCs w:val="21"/>
                <w:shd w:val="clear" w:fill="FFFFFF"/>
              </w:rPr>
              <w:t>〔</w:t>
            </w:r>
            <w:r>
              <w:rPr>
                <w:rFonts w:hint="eastAsia" w:ascii="Times New Roman" w:hAnsi="Times New Roman" w:eastAsia="宋体" w:cs="Times New Roman"/>
                <w:color w:val="FF0000"/>
                <w:sz w:val="21"/>
                <w:szCs w:val="21"/>
                <w:lang w:val="en-US" w:eastAsia="zh-CN"/>
              </w:rPr>
              <w:t>2004</w:t>
            </w:r>
            <w:r>
              <w:rPr>
                <w:rFonts w:ascii="Arial" w:hAnsi="Arial" w:eastAsia="宋体" w:cs="Arial"/>
                <w:i w:val="0"/>
                <w:caps w:val="0"/>
                <w:color w:val="FF0000"/>
                <w:spacing w:val="0"/>
                <w:sz w:val="21"/>
                <w:szCs w:val="21"/>
                <w:shd w:val="clear" w:fill="FFFFFF"/>
              </w:rPr>
              <w:t>〕</w:t>
            </w:r>
            <w:r>
              <w:rPr>
                <w:rFonts w:hint="default" w:ascii="Times New Roman" w:hAnsi="Times New Roman" w:eastAsia="宋体" w:cs="Times New Roman"/>
                <w:color w:val="FF0000"/>
              </w:rPr>
              <w:t>115号）</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rPr>
            </w:pPr>
            <w:r>
              <w:rPr>
                <w:rFonts w:hint="eastAsia"/>
                <w:color w:val="000000" w:themeColor="text1"/>
              </w:rPr>
              <w:t>陕西省水土流失问题十分突出，是黄河中游和长江流域水土流失最严重的地区之一。黄土高原和秦巴山地中低山地区大部分属于-强度水土流失区。</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eastAsia="zh-CN"/>
              </w:rPr>
            </w:pPr>
            <w:r>
              <w:rPr>
                <w:rFonts w:hint="eastAsia" w:eastAsiaTheme="minorEastAsia" w:cstheme="minorBidi"/>
                <w:color w:val="000000" w:themeColor="text1"/>
                <w:kern w:val="2"/>
                <w:sz w:val="21"/>
                <w:szCs w:val="22"/>
              </w:rPr>
              <w:t>本项目属于汉江两岸低山丘陵土壤侵蚀控制区</w:t>
            </w:r>
            <w:r>
              <w:rPr>
                <w:rFonts w:hint="eastAsia" w:cstheme="minorBidi"/>
                <w:color w:val="000000" w:themeColor="text1"/>
                <w:kern w:val="2"/>
                <w:sz w:val="21"/>
                <w:szCs w:val="22"/>
                <w:lang w:eastAsia="zh-CN"/>
              </w:rPr>
              <w:t>，</w:t>
            </w:r>
            <w:r>
              <w:rPr>
                <w:rFonts w:hint="eastAsia"/>
                <w:color w:val="000000" w:themeColor="text1"/>
              </w:rPr>
              <w:t>《陕西省生态功能区划》</w:t>
            </w:r>
            <w:r>
              <w:rPr>
                <w:rFonts w:hint="eastAsia" w:ascii="Times New Roman" w:hAnsi="Times New Roman" w:eastAsia="宋体" w:cs="Times New Roman"/>
                <w:color w:val="000000" w:themeColor="text1"/>
                <w:lang w:val="en-US" w:eastAsia="zh-CN"/>
              </w:rPr>
              <w:t>详</w:t>
            </w:r>
            <w:r>
              <w:rPr>
                <w:rFonts w:hint="default" w:ascii="Times New Roman" w:hAnsi="Times New Roman" w:eastAsia="宋体" w:cs="Times New Roman"/>
                <w:color w:val="000000" w:themeColor="text1"/>
              </w:rPr>
              <w:t>见附图</w:t>
            </w:r>
            <w:r>
              <w:rPr>
                <w:rFonts w:hint="eastAsia" w:ascii="Times New Roman" w:hAnsi="Times New Roman" w:eastAsia="宋体" w:cs="Times New Roman"/>
                <w:color w:val="000000" w:themeColor="text1"/>
                <w:lang w:val="en-US" w:eastAsia="zh-CN"/>
              </w:rPr>
              <w:t>9</w:t>
            </w:r>
            <w:r>
              <w:rPr>
                <w:rFonts w:hint="eastAsia" w:ascii="Times New Roman" w:hAnsi="Times New Roman" w:eastAsia="宋体" w:cs="Times New Roman"/>
                <w:color w:val="000000" w:themeColor="text1"/>
                <w:lang w:eastAsia="zh-CN"/>
              </w:rPr>
              <w:t>。</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lang w:val="en-US" w:eastAsia="zh-CN"/>
              </w:rPr>
              <w:t>本项目已于2019年编制水土保持方案报告书，其中对水土保持提出了各项工程措施和植物措施，如建设拦挡工程、截排水沟、护坡、地面平整、种植植被等措施，减少项目建设水土流失影响。</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8" w:hRule="atLeast"/>
          <w:jc w:val="center"/>
        </w:trPr>
        <w:tc>
          <w:tcPr>
            <w:tcW w:w="17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《陕西省巴山生态环境保护办法（草案）》2021年6月（第二次征求意见稿）</w:t>
            </w: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县级以上人民政府应当根据巴山生态环境保护要求和本行政区域内矿产资源赋存情况，节约集约利用矿产资源。核心保护区和重点保护区禁止采矿，一般保护区应当严格控制和规范露天采矿，提高矿山环境污染治理能力。</w:t>
            </w:r>
          </w:p>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依法取得采矿许可证等相关审批手续的矿产资源开发企业，应当按照绿色矿山标准进行建设、开采，提高资源综合利用率；加强对矿产资源开发产生的废水、污水、泥浆等的管理，减少对生态环境的损害。已建成项目造成严重环境污染的，由县级以上人民政府依照管理权限责令限期整改，对拒不整改或者整改后仍不符合标准的，责令停产或者关闭。</w:t>
            </w:r>
          </w:p>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县级以上人民政府自然资源行政主管部门应当加强矿山修复管理，规范管理矿山环境治理恢复和土地复垦基金，实行动态监管，督促矿山企业落实矿山环境治理恢复责任。</w:t>
            </w:r>
          </w:p>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sz w:val="21"/>
                <w:szCs w:val="21"/>
              </w:rPr>
              <w:t>矿产资源开发企业应当编制矿山地质环境保护与土地复垦、生态环境恢复治理方案，报县级以上自然资源、生态环境行政主管部门备案。</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本项目</w:t>
            </w:r>
            <w:r>
              <w:rPr>
                <w:rFonts w:hint="default" w:ascii="Times New Roman" w:hAnsi="Times New Roman" w:eastAsia="宋体" w:cs="Times New Roman"/>
                <w:color w:val="FF0000"/>
              </w:rPr>
              <w:t>矿区和地面生产设施均在</w:t>
            </w:r>
            <w:r>
              <w:rPr>
                <w:rFonts w:hint="eastAsia" w:ascii="Times New Roman" w:hAnsi="Times New Roman" w:eastAsia="宋体" w:cs="Times New Roman"/>
                <w:color w:val="FF0000"/>
                <w:lang w:val="en-US" w:eastAsia="zh-CN"/>
              </w:rPr>
              <w:t>1500</w:t>
            </w:r>
            <w:r>
              <w:rPr>
                <w:rFonts w:hint="default" w:ascii="Times New Roman" w:hAnsi="Times New Roman" w:eastAsia="宋体" w:cs="Times New Roman"/>
                <w:color w:val="FF0000"/>
              </w:rPr>
              <w:t>m以下</w:t>
            </w:r>
            <w:r>
              <w:rPr>
                <w:rFonts w:hint="eastAsia" w:ascii="Times New Roman" w:hAnsi="Times New Roman" w:eastAsia="宋体" w:cs="Times New Roman"/>
                <w:color w:val="FF0000"/>
                <w:lang w:eastAsia="zh-CN"/>
              </w:rPr>
              <w:t>，</w:t>
            </w:r>
            <w:r>
              <w:rPr>
                <w:rFonts w:hint="eastAsia" w:ascii="Times New Roman" w:hAnsi="Times New Roman" w:eastAsia="宋体" w:cs="Times New Roman"/>
                <w:color w:val="FF0000"/>
                <w:lang w:val="en-US" w:eastAsia="zh-CN"/>
              </w:rPr>
              <w:t>属于巴山地区一般保护区。</w:t>
            </w:r>
            <w:r>
              <w:rPr>
                <w:rFonts w:hint="eastAsia" w:ascii="Times New Roman" w:hAnsi="Times New Roman" w:eastAsia="宋体" w:cs="Times New Roman"/>
                <w:color w:val="000000" w:themeColor="text1"/>
                <w:lang w:val="en-US" w:eastAsia="zh-CN"/>
              </w:rPr>
              <w:t>本项目为地下开采，依法取得了采矿许可证，采矿证号：C6109002009126120047872。本项目属于扩建项目，根据对现有项目调查分析，现有项目未造成严重的环境污染。本项目已编制</w:t>
            </w:r>
            <w:r>
              <w:rPr>
                <w:color w:val="000000" w:themeColor="text1"/>
              </w:rPr>
              <w:t>《</w:t>
            </w:r>
            <w:r>
              <w:rPr>
                <w:rFonts w:hint="eastAsia" w:ascii="仿宋_GB2312"/>
                <w:color w:val="000000" w:themeColor="text1"/>
              </w:rPr>
              <w:t>陕西省旬阳县赤岩镇水磨河口构皮沟毒重石矿矿山地质环境保护与恢复治理方案</w:t>
            </w:r>
            <w:r>
              <w:rPr>
                <w:color w:val="000000" w:themeColor="text1"/>
              </w:rPr>
              <w:t>》</w:t>
            </w:r>
            <w:r>
              <w:rPr>
                <w:rFonts w:hint="eastAsia"/>
                <w:color w:val="000000" w:themeColor="text1"/>
                <w:lang w:val="en-US" w:eastAsia="zh-CN"/>
              </w:rPr>
              <w:t>和《旬阳县赤岩镇水磨沟口构皮沟毒重石矿矿山地质环境保护与土地复垦方案》。根据</w:t>
            </w:r>
            <w:r>
              <w:rPr>
                <w:rFonts w:hint="default" w:ascii="Times New Roman" w:hAnsi="Times New Roman" w:eastAsia="宋体" w:cs="Times New Roman"/>
                <w:color w:val="000000" w:themeColor="text1"/>
                <w:lang w:val="en-US" w:eastAsia="zh-CN"/>
              </w:rPr>
              <w:t>《非金属矿行业绿色矿山建设规范》（DZ/T0312-2018）</w:t>
            </w:r>
            <w:r>
              <w:rPr>
                <w:rFonts w:hint="eastAsia" w:ascii="Times New Roman" w:hAnsi="Times New Roman" w:eastAsia="宋体" w:cs="Times New Roman"/>
                <w:color w:val="000000" w:themeColor="text1"/>
                <w:lang w:val="en-US" w:eastAsia="zh-CN"/>
              </w:rPr>
              <w:t>要求，本项目拟采取喷淋、洒水、湿式凿岩等措施防治扬尘污染；现有工程的废石在矿硐下堆放，应按照本项目的水土保持方案修建挡渣墙，排洪沟等措施；矿山生产废水在沉淀池沉淀后回用，清水采用高位水池存贮，生活饮用水单独存放；对产生噪声较大的机械设备采取隔声消声措施等；矿区内除工业场地、道路等区域，其余全部绿化，，废石场正在绿化当中，绿化率达到100%；扩建项目固体废物一部分用于矿区基建，其余全部井下填充；危险废物交由有资质单位处置；生活垃圾交由环卫部门处置，固废处置率可达到100%；本项目的开采回采率为90%，满足重晶石地下开采</w:t>
            </w:r>
            <w:r>
              <w:rPr>
                <w:rFonts w:hint="default" w:ascii="Arial" w:hAnsi="Arial" w:eastAsia="宋体" w:cs="Arial"/>
                <w:color w:val="000000" w:themeColor="text1"/>
                <w:lang w:val="en-US" w:eastAsia="zh-CN"/>
              </w:rPr>
              <w:t>≥</w:t>
            </w:r>
            <w:r>
              <w:rPr>
                <w:rFonts w:hint="eastAsia" w:ascii="Times New Roman" w:hAnsi="Times New Roman" w:eastAsia="宋体" w:cs="Times New Roman"/>
                <w:color w:val="000000" w:themeColor="text1"/>
                <w:lang w:val="en-US" w:eastAsia="zh-CN"/>
              </w:rPr>
              <w:t>85%的要求等。</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6"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pacing w:val="-2"/>
                <w:sz w:val="21"/>
                <w:szCs w:val="21"/>
                <w:highlight w:val="none"/>
                <w:lang w:eastAsia="zh-CN"/>
              </w:rPr>
              <w:t>《陕西省矿产资源总体规划（2016—2020年）》</w:t>
            </w: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z w:val="21"/>
                <w:szCs w:val="21"/>
                <w:highlight w:val="none"/>
              </w:rPr>
              <w:t>限制开采区：饮用水源地二级保护区和准保护区、城市规划区、秦岭地区海拔1500m至2600m之间的秦岭中山针阔叶林水源涵养与生物多样性生态功能区；黄土高原丘陵沟壑水土保持生态功能区、秦巴生物多样性功能区、沿黄土长梁沟壑水土保持生态片区、秦岭东段中低山水土保持片区、点状开发的城镇；矿产资源开发利用过程中可能对生态环境有较大影响的地区；目前开采技术达不到要求，易造成资源浪费的地区。另将以下4个矿产资源分布区域划定为限制开采区：西安市城区地热开采区、山阳县钒矿开采区、商南县钒矿开采区、华阴市华阳川铀铌铅矿区，以上4个区域应分别限制地热、钒和铀铌铅矿的开采。</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Style w:val="126"/>
                <w:rFonts w:hint="default" w:ascii="Times New Roman" w:hAnsi="Times New Roman" w:eastAsia="宋体" w:cs="Times New Roman"/>
                <w:color w:val="FF0000"/>
                <w:sz w:val="21"/>
                <w:szCs w:val="21"/>
                <w:highlight w:val="none"/>
                <w:lang w:eastAsia="zh-CN"/>
              </w:rPr>
              <w:t>本项目矿区位于秦巴生物多样性功能区，属于限制开采区。</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color w:val="FF0000"/>
                <w:sz w:val="21"/>
                <w:szCs w:val="21"/>
                <w:highlight w:val="none"/>
                <w:lang w:eastAsia="zh-CN"/>
              </w:rPr>
            </w:pPr>
            <w:r>
              <w:rPr>
                <w:rFonts w:hint="default" w:ascii="Times New Roman" w:hAnsi="Times New Roman" w:cs="Times New Roman"/>
                <w:color w:val="FF0000"/>
                <w:sz w:val="21"/>
                <w:szCs w:val="21"/>
                <w:highlight w:val="none"/>
              </w:rPr>
              <w:t>限制开采区严格控制采矿权的设置。新设采矿权应进行严格的规划论证，开展环评工作并制定有效的保护措施，确保有关功能区安全和相关资源安全。限制开采区内已设采矿权在开发利用活动中应确保有关功能区和相关资源的安全，对存在不安全因素的矿山要限期整改，对到期仍达不到要求的，依法注销其采矿许可证</w:t>
            </w:r>
            <w:r>
              <w:rPr>
                <w:rFonts w:hint="eastAsia" w:ascii="Times New Roman" w:hAnsi="Times New Roman" w:cs="Times New Roman"/>
                <w:color w:val="FF0000"/>
                <w:sz w:val="21"/>
                <w:szCs w:val="21"/>
                <w:highlight w:val="none"/>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z w:val="21"/>
                <w:szCs w:val="21"/>
                <w:highlight w:val="none"/>
                <w:lang w:eastAsia="zh-CN"/>
              </w:rPr>
            </w:pPr>
            <w:r>
              <w:rPr>
                <w:rStyle w:val="126"/>
                <w:rFonts w:hint="default" w:ascii="Times New Roman" w:hAnsi="Times New Roman" w:eastAsia="宋体" w:cs="Times New Roman"/>
                <w:color w:val="FF0000"/>
                <w:sz w:val="21"/>
                <w:szCs w:val="21"/>
                <w:highlight w:val="none"/>
                <w:lang w:eastAsia="zh-CN"/>
              </w:rPr>
              <w:t>本项目属于已设采矿权，项目为地下开采，对区域生态环境影响不大</w:t>
            </w:r>
            <w:r>
              <w:rPr>
                <w:rStyle w:val="126"/>
                <w:rFonts w:hint="eastAsia" w:ascii="Times New Roman" w:hAnsi="Times New Roman" w:eastAsia="宋体" w:cs="Times New Roman"/>
                <w:color w:val="FF0000"/>
                <w:sz w:val="21"/>
                <w:szCs w:val="21"/>
                <w:highlight w:val="none"/>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color w:val="FF0000"/>
                <w:sz w:val="21"/>
                <w:szCs w:val="21"/>
                <w:highlight w:val="none"/>
              </w:rPr>
            </w:pPr>
            <w:r>
              <w:rPr>
                <w:rFonts w:hint="eastAsia" w:ascii="Times New Roman" w:hAnsi="Times New Roman" w:cs="Times New Roman"/>
                <w:color w:val="FF0000"/>
                <w:sz w:val="21"/>
                <w:szCs w:val="21"/>
                <w:highlight w:val="none"/>
              </w:rPr>
              <w:t>鼓励开采石油、天然气、煤层气、页岩气、地热、锰、铜、岩金、银、岩盐、重晶石、玉石、名贵饰面石材等矿产，在符合开采准入条件下，可考虑优先设置采矿权。适度控制开采煤、铁、铅、锌、钼、水泥用灰岩，保护性开采钨、锑、晶质石墨，限制开采高硫煤、石煤、钒、硫铁矿、石棉、瓦板岩、高岭土、石膏等矿产，限制开采陕南地区的煤炭资源。限制开采的矿产应严格控制采矿权投放。不再新建汞矿山，逐步停止汞矿开采，禁止开采蓝石棉、可耕地的砖瓦用粘土。</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z w:val="21"/>
                <w:szCs w:val="21"/>
                <w:highlight w:val="none"/>
                <w:lang w:eastAsia="zh-CN"/>
              </w:rPr>
            </w:pPr>
            <w:r>
              <w:rPr>
                <w:rFonts w:hint="eastAsia"/>
                <w:color w:val="FF0000"/>
                <w:lang w:val="en-US" w:eastAsia="zh-CN"/>
              </w:rPr>
              <w:t>本项目开采矿种为毒重石和重晶石。根据本规划</w:t>
            </w:r>
            <w:r>
              <w:rPr>
                <w:rFonts w:hint="eastAsia"/>
                <w:color w:val="FF0000"/>
              </w:rPr>
              <w:t>重晶石属于鼓励开采的矿产。</w:t>
            </w:r>
            <w:r>
              <w:rPr>
                <w:rFonts w:hint="eastAsia"/>
                <w:color w:val="FF0000"/>
                <w:lang w:val="en-US" w:eastAsia="zh-CN"/>
              </w:rPr>
              <w:t>毒重石不属于适度控制、限制开采、禁止开采的矿种，视为允许类。</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全省矿产资源开发利用共划分为重点矿区、限制开采区和禁止开采区等三类开采规划区。</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①重点矿区；全省共划定23个重点矿区，分别是：神东矿区神府区、榆神、</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榆横、彬长、渭北（韩城、澄合、蒲白、铜川）、永陇、府谷、古城、吴堡、黄陵、旬耀煤炭国家规划矿区及凤太铅锌金矿区、小秦岭金钼矿区、安康北部金矿区、勉略宁多金属矿区、柞水铁矿区、镇安金钨钼矿区、旬阳铅锌矿区、榆林岩盐矿区、汉中北部玻璃用石英岩矿区。</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②限制开采区：以下区域划为限制开采区：饮用水源地二级保护区和准保护区、城市规划区、秦岭地区海拔1500m至2600m之间的秦岭中山针阔叶林水源涵养与生物多样性生态功能区；黄土高原丘陵沟壑水土保持生态功能区、秦巴生物多样性功能区、沿黄土长梁沟壑水土保持生态片区、秦岭东段中低山水土保持片区、点状开发的城镇；矿产资源开发利用过程中可能对生态环境有较大影响的地区；目前开采技术达不到要求，易造成资源浪费的地区。另将以下4个矿产资源分布区域划定为限制开采区：西安市城区地热开采区、山阳县钒矿开采区、商南县钒矿开采区、华阴市华阳川铀铌铅矿区，以上4个区域应分别限制地热、钒和铀铌铅矿的开采。</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rPr>
              <w:t>限制开采区严格控制采矿权的设置。新设采矿权应进行严格的规划论证，开展环评工作并制定有效的保护措施，确保有关功能区安全和相关资源安全。限制开采区内已设采矿权在开发利用活动中应确保有关功能区和相关资源的安全，对存在不安全因素的矿山要限期</w:t>
            </w:r>
            <w:r>
              <w:rPr>
                <w:rFonts w:hint="default" w:ascii="Times New Roman" w:hAnsi="Times New Roman" w:eastAsia="宋体" w:cs="Times New Roman"/>
                <w:color w:val="FF0000"/>
                <w:sz w:val="21"/>
                <w:szCs w:val="21"/>
              </w:rPr>
              <w:t>整改，对到期仍达不到要求的，依法注销其采矿许可证。</w:t>
            </w:r>
          </w:p>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color w:val="FF0000"/>
                <w:sz w:val="21"/>
                <w:szCs w:val="21"/>
              </w:rPr>
              <w:t>③禁止开采区：自然保护区、森林公园、风景名胜区、地质公园、水产种质资源保护区、重要湿地、秦岭地区海拔2600m以上的中高山针叶林灌丛草甸生物多样性生态功能区、秦岭地区植物园和重要地质遗迹保护区、饮用水源地保护区的一级保护区、自然文化遗产、有关法律法规规定的不得开采矿产资源的地区。现有技术经济条件下，达不到资源合理利用、整体开发等要求的矿产地，开发利用会造成严重资源浪费或破坏的区域。</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auto"/>
              <w:rPr>
                <w:rFonts w:hint="eastAsia" w:ascii="Times New Roman" w:hAnsi="Times New Roman" w:eastAsia="宋体" w:cs="Times New Roman"/>
                <w:color w:val="FF0000"/>
                <w:lang w:eastAsia="zh-CN"/>
              </w:rPr>
            </w:pPr>
            <w:r>
              <w:rPr>
                <w:rFonts w:hint="default" w:ascii="Times New Roman" w:hAnsi="Times New Roman" w:eastAsia="宋体" w:cs="Times New Roman"/>
                <w:color w:val="FF0000"/>
              </w:rPr>
              <w:t>本项目</w:t>
            </w:r>
            <w:r>
              <w:rPr>
                <w:rFonts w:hint="eastAsia" w:ascii="Times New Roman" w:hAnsi="Times New Roman" w:eastAsia="宋体" w:cs="Times New Roman"/>
                <w:color w:val="FF0000"/>
                <w:lang w:eastAsia="zh-CN"/>
              </w:rPr>
              <w:t>位于巴山地区，不属于秦岭地区。</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z w:val="21"/>
                <w:szCs w:val="21"/>
                <w:highlight w:val="none"/>
                <w:lang w:eastAsia="zh-CN"/>
              </w:rPr>
            </w:pPr>
            <w:r>
              <w:rPr>
                <w:rFonts w:hint="eastAsia" w:ascii="Times New Roman" w:hAnsi="Times New Roman" w:eastAsia="宋体" w:cs="Times New Roman"/>
                <w:color w:val="FF0000"/>
                <w:lang w:eastAsia="zh-CN"/>
              </w:rPr>
              <w:t>本项目</w:t>
            </w:r>
            <w:r>
              <w:rPr>
                <w:rFonts w:hint="default" w:ascii="Times New Roman" w:hAnsi="Times New Roman" w:eastAsia="宋体" w:cs="Times New Roman"/>
                <w:color w:val="FF0000"/>
              </w:rPr>
              <w:t>矿区和地面生产设施均在</w:t>
            </w:r>
            <w:r>
              <w:rPr>
                <w:rFonts w:hint="eastAsia" w:ascii="Times New Roman" w:hAnsi="Times New Roman" w:eastAsia="宋体" w:cs="Times New Roman"/>
                <w:color w:val="FF0000"/>
                <w:lang w:val="en-US" w:eastAsia="zh-CN"/>
              </w:rPr>
              <w:t>1500</w:t>
            </w:r>
            <w:r>
              <w:rPr>
                <w:rFonts w:hint="default" w:ascii="Times New Roman" w:hAnsi="Times New Roman" w:eastAsia="宋体" w:cs="Times New Roman"/>
                <w:color w:val="FF0000"/>
              </w:rPr>
              <w:t>m以下，采取地下开采方式，不在水源保护区、自然保护区等特殊生态敏区的禁止开发区范围内，不属于禁止开发区</w:t>
            </w:r>
            <w:r>
              <w:rPr>
                <w:rFonts w:hint="eastAsia" w:ascii="Times New Roman" w:hAnsi="Times New Roman" w:eastAsia="宋体" w:cs="Times New Roman"/>
                <w:color w:val="FF0000"/>
                <w:lang w:eastAsia="zh-CN"/>
              </w:rPr>
              <w:t>。</w:t>
            </w:r>
            <w:r>
              <w:rPr>
                <w:rFonts w:hint="eastAsia" w:ascii="Times New Roman" w:hAnsi="Times New Roman" w:eastAsia="宋体" w:cs="Times New Roman"/>
                <w:color w:val="FF0000"/>
                <w:lang w:val="en-US" w:eastAsia="zh-CN"/>
              </w:rPr>
              <w:t>根据《陕西省主体功能区划》，本项目属于“秦巴生物多样性功能区规划”，属于限制开采区。但是本项目为保留矿权，建设单位按照本次环评提出的相关环境保护和风险防范措施严格执行，对环境的影响不大。</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根据矿山规模应与资源储量规模相适应的原则，实施矿山最低开采规模准入管理，合理设定新建矿山最低服务年限。重晶石新建矿山矿石5万吨/年，保留或技改整合矿山2万吨/年</w:t>
            </w:r>
            <w:r>
              <w:rPr>
                <w:rFonts w:hint="eastAsia" w:ascii="Times New Roman" w:hAnsi="Times New Roman" w:eastAsia="宋体" w:cs="Times New Roman"/>
                <w:color w:val="FF0000"/>
                <w:sz w:val="21"/>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FF0000"/>
              </w:rPr>
              <w:t>本项目</w:t>
            </w:r>
            <w:r>
              <w:rPr>
                <w:rFonts w:hint="eastAsia" w:ascii="Times New Roman" w:hAnsi="Times New Roman" w:eastAsia="宋体" w:cs="Times New Roman"/>
                <w:color w:val="FF0000"/>
                <w:lang w:eastAsia="zh-CN"/>
              </w:rPr>
              <w:t>为重晶石扩建项目，</w:t>
            </w:r>
            <w:r>
              <w:rPr>
                <w:rFonts w:hint="default" w:ascii="Times New Roman" w:hAnsi="Times New Roman" w:eastAsia="宋体" w:cs="Times New Roman"/>
                <w:color w:val="FF0000"/>
              </w:rPr>
              <w:t>建成后开采规模为开采矿石5万吨/年</w:t>
            </w:r>
            <w:r>
              <w:rPr>
                <w:rFonts w:hint="eastAsia" w:ascii="Times New Roman" w:hAnsi="Times New Roman" w:eastAsia="宋体" w:cs="Times New Roman"/>
                <w:color w:val="FF0000"/>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r>
              <w:rPr>
                <w:rStyle w:val="126"/>
                <w:rFonts w:hint="default" w:ascii="Times New Roman" w:hAnsi="Times New Roman" w:eastAsia="宋体" w:cs="Times New Roman"/>
                <w:color w:val="FF0000"/>
                <w:spacing w:val="0"/>
                <w:kern w:val="0"/>
                <w:sz w:val="21"/>
                <w:szCs w:val="21"/>
                <w:highlight w:val="none"/>
                <w:lang w:val="en-US" w:eastAsia="zh-CN" w:bidi="ar-SA"/>
              </w:rPr>
              <w:t>陕西省矿产资源总体规划（2016~2020年）环境影响报告书》</w:t>
            </w: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color w:val="FF0000"/>
                <w:sz w:val="21"/>
                <w:szCs w:val="21"/>
                <w:highlight w:val="none"/>
                <w:lang w:eastAsia="zh-CN"/>
              </w:rPr>
            </w:pPr>
            <w:r>
              <w:rPr>
                <w:color w:val="FF0000"/>
                <w:kern w:val="0"/>
                <w:sz w:val="21"/>
                <w:szCs w:val="21"/>
              </w:rPr>
              <w:t>在矿产资源勘查阶段：查明矿区环境地质条件，在现状评价的基础上，预测矿床开采后可能产生的环境地质问题，提出防治建议；在矿山设计、基建和生产阶段：矿山环境保护设施、环境问题的预防工程必须与主体工程同时设计、同时施工、同时验收并移交生产使用；在矿山闭坑阶段：主要是做好矿山土地复垦，使矿区环境质量向良性转化</w:t>
            </w:r>
            <w:r>
              <w:rPr>
                <w:rFonts w:hint="eastAsia"/>
                <w:color w:val="FF0000"/>
                <w:kern w:val="0"/>
                <w:sz w:val="21"/>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eastAsia" w:ascii="Times New Roman" w:hAnsi="Times New Roman" w:cs="Times New Roman" w:eastAsiaTheme="minorEastAsia"/>
                <w:color w:val="FF0000"/>
                <w:sz w:val="21"/>
                <w:szCs w:val="21"/>
                <w:highlight w:val="none"/>
                <w:lang w:val="en-US" w:eastAsia="zh-CN"/>
              </w:rPr>
            </w:pPr>
            <w:r>
              <w:rPr>
                <w:color w:val="FF0000"/>
                <w:kern w:val="0"/>
                <w:sz w:val="21"/>
                <w:szCs w:val="21"/>
              </w:rPr>
              <w:t>根据</w:t>
            </w:r>
            <w:r>
              <w:rPr>
                <w:color w:val="FF0000"/>
                <w:kern w:val="0"/>
                <w:sz w:val="21"/>
                <w:szCs w:val="21"/>
                <w:highlight w:val="none"/>
              </w:rPr>
              <w:t>项目开发利用方案，矿山探矿期对区域环境地质条件进行了分析</w:t>
            </w:r>
            <w:r>
              <w:rPr>
                <w:rFonts w:hint="eastAsia"/>
                <w:color w:val="FF0000"/>
                <w:kern w:val="0"/>
                <w:sz w:val="21"/>
                <w:szCs w:val="21"/>
                <w:highlight w:val="none"/>
                <w:lang w:eastAsia="zh-CN"/>
              </w:rPr>
              <w:t>。</w:t>
            </w:r>
            <w:r>
              <w:rPr>
                <w:rFonts w:hint="eastAsia"/>
                <w:color w:val="FF0000"/>
                <w:kern w:val="0"/>
                <w:sz w:val="21"/>
                <w:szCs w:val="21"/>
                <w:lang w:eastAsia="zh-CN"/>
              </w:rPr>
              <w:t>环评</w:t>
            </w:r>
            <w:r>
              <w:rPr>
                <w:color w:val="FF0000"/>
                <w:kern w:val="0"/>
                <w:sz w:val="21"/>
                <w:szCs w:val="21"/>
              </w:rPr>
              <w:t>要求本项目必须严格执行三同时制度，</w:t>
            </w:r>
            <w:r>
              <w:rPr>
                <w:rFonts w:hint="eastAsia"/>
                <w:color w:val="FF0000"/>
                <w:kern w:val="0"/>
                <w:sz w:val="21"/>
                <w:szCs w:val="21"/>
                <w:lang w:eastAsia="zh-CN"/>
              </w:rPr>
              <w:t>闭矿阶段</w:t>
            </w:r>
            <w:r>
              <w:rPr>
                <w:color w:val="FF0000"/>
                <w:kern w:val="0"/>
                <w:sz w:val="21"/>
                <w:szCs w:val="21"/>
              </w:rPr>
              <w:t>，</w:t>
            </w:r>
            <w:r>
              <w:rPr>
                <w:rFonts w:hint="eastAsia"/>
                <w:color w:val="FF0000"/>
                <w:kern w:val="0"/>
                <w:sz w:val="21"/>
                <w:szCs w:val="21"/>
                <w:lang w:eastAsia="zh-CN"/>
              </w:rPr>
              <w:t>依据本项目的矿山地质环境保护与土地复垦方案进行恢复治理。</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color w:val="FF0000"/>
                <w:sz w:val="21"/>
                <w:szCs w:val="21"/>
                <w:highlight w:val="none"/>
                <w:lang w:eastAsia="zh-CN"/>
              </w:rPr>
            </w:pPr>
            <w:r>
              <w:rPr>
                <w:color w:val="FF0000"/>
                <w:kern w:val="0"/>
                <w:sz w:val="21"/>
                <w:szCs w:val="21"/>
              </w:rPr>
              <w:t>矿山环境问题涉及到气、水、土、岩体及生态等各方面，从本质上看绝大部分分属环境地质问题，是地质环境遭到改变或破坏所引起。在目前经济水平还不高，对环境投入有限的情况下，加强环境保护的法制建设，依法加强管理，是控制生态破坏和环境污染的一项途径</w:t>
            </w:r>
            <w:r>
              <w:rPr>
                <w:rFonts w:hint="eastAsia"/>
                <w:color w:val="FF0000"/>
                <w:kern w:val="0"/>
                <w:sz w:val="21"/>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z w:val="21"/>
                <w:szCs w:val="21"/>
                <w:highlight w:val="none"/>
                <w:lang w:eastAsia="zh-CN"/>
              </w:rPr>
            </w:pPr>
            <w:r>
              <w:rPr>
                <w:rStyle w:val="126"/>
                <w:rFonts w:hint="eastAsia" w:ascii="Times New Roman" w:hAnsi="Times New Roman" w:eastAsia="宋体" w:cs="Times New Roman"/>
                <w:color w:val="FF0000"/>
                <w:sz w:val="21"/>
                <w:szCs w:val="21"/>
                <w:highlight w:val="none"/>
                <w:lang w:eastAsia="zh-CN"/>
              </w:rPr>
              <w:t>本项目应严格按照本报告提出的环境保护要求进行建设，尤其是地质方面的环境问题，应做好支护、填充、监测、预警等措施。</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color w:val="FF0000"/>
                <w:sz w:val="21"/>
                <w:szCs w:val="21"/>
                <w:highlight w:val="none"/>
                <w:lang w:eastAsia="zh-CN"/>
              </w:rPr>
            </w:pPr>
            <w:r>
              <w:rPr>
                <w:color w:val="FF0000"/>
                <w:kern w:val="0"/>
                <w:sz w:val="21"/>
                <w:szCs w:val="21"/>
              </w:rPr>
              <w:t>加强矿山环境的监测及预测、预报，扩大监测及预测、预报的范围，建立跟踪评价制度，掌握矿山环境的动态，及时采取有效的防治措施。特别是在重点矿山开发区，建立地区性矿山环境监测站，纳入整个地质环境监测系统，在全省形成一个较完善的矿山环境监测网络</w:t>
            </w:r>
            <w:r>
              <w:rPr>
                <w:rFonts w:hint="eastAsia"/>
                <w:color w:val="FF0000"/>
                <w:kern w:val="0"/>
                <w:sz w:val="21"/>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eastAsia" w:ascii="Times New Roman" w:hAnsi="Times New Roman" w:cs="Times New Roman" w:eastAsiaTheme="minorEastAsia"/>
                <w:color w:val="FF0000"/>
                <w:sz w:val="21"/>
                <w:szCs w:val="21"/>
                <w:highlight w:val="none"/>
                <w:lang w:eastAsia="zh-CN"/>
              </w:rPr>
            </w:pPr>
            <w:r>
              <w:rPr>
                <w:rFonts w:hint="eastAsia"/>
                <w:color w:val="FF0000"/>
                <w:kern w:val="0"/>
                <w:sz w:val="21"/>
                <w:szCs w:val="21"/>
                <w:lang w:eastAsia="zh-CN"/>
              </w:rPr>
              <w:t>环评要求</w:t>
            </w:r>
            <w:r>
              <w:rPr>
                <w:color w:val="FF0000"/>
                <w:kern w:val="0"/>
                <w:sz w:val="21"/>
                <w:szCs w:val="21"/>
              </w:rPr>
              <w:t>建设单位</w:t>
            </w:r>
            <w:r>
              <w:rPr>
                <w:rFonts w:hint="eastAsia"/>
                <w:color w:val="FF0000"/>
                <w:kern w:val="0"/>
                <w:sz w:val="21"/>
                <w:szCs w:val="21"/>
                <w:lang w:eastAsia="zh-CN"/>
              </w:rPr>
              <w:t>按照本报告加强</w:t>
            </w:r>
            <w:r>
              <w:rPr>
                <w:color w:val="FF0000"/>
                <w:kern w:val="0"/>
                <w:sz w:val="21"/>
                <w:szCs w:val="21"/>
              </w:rPr>
              <w:t>环境监测计划</w:t>
            </w:r>
            <w:r>
              <w:rPr>
                <w:rFonts w:hint="eastAsia"/>
                <w:color w:val="FF0000"/>
                <w:kern w:val="0"/>
                <w:sz w:val="21"/>
                <w:szCs w:val="21"/>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eastAsia="宋体"/>
                <w:color w:val="FF0000"/>
                <w:kern w:val="0"/>
                <w:sz w:val="21"/>
                <w:szCs w:val="21"/>
                <w:lang w:eastAsia="zh-CN"/>
              </w:rPr>
            </w:pPr>
            <w:r>
              <w:rPr>
                <w:color w:val="FF0000"/>
                <w:kern w:val="0"/>
                <w:sz w:val="21"/>
                <w:szCs w:val="21"/>
              </w:rPr>
              <w:t>推广应用清洁煤技术、研究采用先进的采、选技术和加工利用技术。依靠科技进步，提高劳动生产率和资源利用率</w:t>
            </w:r>
            <w:r>
              <w:rPr>
                <w:rFonts w:hint="eastAsia"/>
                <w:color w:val="FF0000"/>
                <w:kern w:val="0"/>
                <w:sz w:val="21"/>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eastAsia" w:ascii="Times New Roman" w:hAnsi="Times New Roman" w:cs="Times New Roman" w:eastAsiaTheme="minorEastAsia"/>
                <w:color w:val="FF0000"/>
                <w:sz w:val="21"/>
                <w:szCs w:val="21"/>
                <w:highlight w:val="none"/>
                <w:lang w:eastAsia="zh-CN"/>
              </w:rPr>
            </w:pPr>
            <w:r>
              <w:rPr>
                <w:color w:val="FF0000"/>
                <w:kern w:val="0"/>
                <w:sz w:val="21"/>
                <w:szCs w:val="21"/>
              </w:rPr>
              <w:t>严格按照国家和省级要求开展清洁生产</w:t>
            </w:r>
            <w:r>
              <w:rPr>
                <w:rFonts w:hint="eastAsia"/>
                <w:color w:val="FF0000"/>
                <w:kern w:val="0"/>
                <w:sz w:val="21"/>
                <w:szCs w:val="21"/>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Fonts w:hint="eastAsia" w:eastAsia="宋体"/>
                <w:color w:val="FF0000"/>
                <w:kern w:val="0"/>
                <w:sz w:val="21"/>
                <w:szCs w:val="21"/>
                <w:lang w:eastAsia="zh-CN"/>
              </w:rPr>
            </w:pPr>
            <w:r>
              <w:rPr>
                <w:color w:val="FF0000"/>
                <w:kern w:val="0"/>
                <w:sz w:val="21"/>
                <w:szCs w:val="21"/>
              </w:rPr>
              <w:t>应该努力做好矿山环境保护的宣传教育，使各级领导和广大群众全面认识发展与环境的关系。树立矿业可持续发展的观点，即在矿业发展的同时必须加强矿山环境的保护与治理，使矿业开发不超过自然的承受力，不超过环境纳污量，即环境的自净能力</w:t>
            </w:r>
            <w:r>
              <w:rPr>
                <w:rFonts w:hint="eastAsia"/>
                <w:color w:val="FF0000"/>
                <w:kern w:val="0"/>
                <w:sz w:val="21"/>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eastAsia" w:ascii="Times New Roman" w:hAnsi="Times New Roman" w:cs="Times New Roman" w:eastAsiaTheme="minorEastAsia"/>
                <w:color w:val="FF0000"/>
                <w:sz w:val="21"/>
                <w:szCs w:val="21"/>
                <w:highlight w:val="none"/>
                <w:lang w:eastAsia="zh-CN"/>
              </w:rPr>
            </w:pPr>
            <w:r>
              <w:rPr>
                <w:rFonts w:hint="eastAsia"/>
                <w:color w:val="FF0000"/>
                <w:kern w:val="0"/>
                <w:sz w:val="21"/>
                <w:szCs w:val="21"/>
                <w:lang w:eastAsia="zh-CN"/>
              </w:rPr>
              <w:t>本报告</w:t>
            </w:r>
            <w:r>
              <w:rPr>
                <w:color w:val="FF0000"/>
                <w:kern w:val="0"/>
                <w:sz w:val="21"/>
                <w:szCs w:val="21"/>
              </w:rPr>
              <w:t>要求建设单位加强环境保护的宣传教育，严格按照</w:t>
            </w:r>
            <w:r>
              <w:rPr>
                <w:rFonts w:hint="eastAsia"/>
                <w:color w:val="FF0000"/>
                <w:kern w:val="0"/>
                <w:sz w:val="21"/>
                <w:szCs w:val="21"/>
                <w:lang w:eastAsia="zh-CN"/>
              </w:rPr>
              <w:t>报告</w:t>
            </w:r>
            <w:r>
              <w:rPr>
                <w:color w:val="FF0000"/>
                <w:kern w:val="0"/>
                <w:sz w:val="21"/>
                <w:szCs w:val="21"/>
              </w:rPr>
              <w:t>要求的污染防治措施组织落实，加强环境监测管理，确保矿山不会对环境造成重大污染</w:t>
            </w:r>
            <w:r>
              <w:rPr>
                <w:rFonts w:hint="eastAsia"/>
                <w:color w:val="FF0000"/>
                <w:kern w:val="0"/>
                <w:sz w:val="21"/>
                <w:szCs w:val="21"/>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pacing w:val="-2"/>
                <w:sz w:val="21"/>
                <w:szCs w:val="21"/>
                <w:highlight w:val="none"/>
                <w:lang w:eastAsia="zh-CN"/>
              </w:rPr>
            </w:pPr>
            <w:r>
              <w:rPr>
                <w:rStyle w:val="126"/>
                <w:rFonts w:hint="default" w:ascii="Times New Roman" w:hAnsi="Times New Roman" w:eastAsia="宋体" w:cs="Times New Roman"/>
                <w:color w:val="FF0000"/>
                <w:spacing w:val="0"/>
                <w:kern w:val="0"/>
                <w:sz w:val="21"/>
                <w:szCs w:val="21"/>
                <w:highlight w:val="none"/>
                <w:lang w:val="en-US" w:eastAsia="zh-CN" w:bidi="ar-SA"/>
              </w:rPr>
              <w:t>陕西省矿产资源总体规划（2016~2020年）环境影响报告书》</w:t>
            </w:r>
            <w:r>
              <w:rPr>
                <w:rStyle w:val="126"/>
                <w:rFonts w:hint="eastAsia" w:ascii="Times New Roman" w:hAnsi="Times New Roman" w:eastAsia="宋体" w:cs="Times New Roman"/>
                <w:color w:val="FF0000"/>
                <w:spacing w:val="0"/>
                <w:kern w:val="0"/>
                <w:sz w:val="21"/>
                <w:szCs w:val="21"/>
                <w:highlight w:val="none"/>
                <w:lang w:val="en-US" w:eastAsia="zh-CN" w:bidi="ar-SA"/>
              </w:rPr>
              <w:t>审查意见</w:t>
            </w: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color w:val="FF0000"/>
                <w:kern w:val="0"/>
                <w:sz w:val="21"/>
                <w:szCs w:val="21"/>
              </w:rPr>
            </w:pPr>
            <w:r>
              <w:rPr>
                <w:rStyle w:val="126"/>
                <w:rFonts w:hint="default" w:ascii="Times New Roman" w:hAnsi="Times New Roman" w:eastAsia="宋体" w:cs="Times New Roman"/>
                <w:color w:val="FF0000"/>
                <w:spacing w:val="0"/>
                <w:kern w:val="0"/>
                <w:sz w:val="21"/>
                <w:szCs w:val="21"/>
                <w:highlight w:val="none"/>
                <w:lang w:val="en-US" w:eastAsia="zh-CN" w:bidi="ar-SA"/>
              </w:rPr>
              <w:t>进一步优化《规划》开发任务，降低环境影响范围和程度。对临近重要生态敏感区和饮用水水源保护区的矿产资源开发，应采取有效措施，避免影响生态服务功能。对土壤、地表水重金属污染较为严重的区域，应严格限制涉重金属矿产资源开发活动，控制开采规模和污染物排放总量</w:t>
            </w:r>
            <w:r>
              <w:rPr>
                <w:rStyle w:val="126"/>
                <w:rFonts w:hint="eastAsia" w:ascii="Times New Roman" w:hAnsi="Times New Roman" w:cs="Times New Roman"/>
                <w:color w:val="FF0000"/>
                <w:spacing w:val="0"/>
                <w:kern w:val="0"/>
                <w:sz w:val="21"/>
                <w:szCs w:val="21"/>
                <w:highlight w:val="none"/>
                <w:lang w:val="en-US" w:eastAsia="zh-CN" w:bidi="ar-SA"/>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kern w:val="0"/>
                <w:sz w:val="21"/>
                <w:szCs w:val="21"/>
                <w:lang w:eastAsia="zh-CN"/>
              </w:rPr>
            </w:pPr>
            <w:r>
              <w:rPr>
                <w:rStyle w:val="126"/>
                <w:rFonts w:hint="default" w:ascii="Times New Roman" w:hAnsi="Times New Roman" w:eastAsia="宋体" w:cs="Times New Roman"/>
                <w:color w:val="FF0000"/>
                <w:spacing w:val="0"/>
                <w:kern w:val="0"/>
                <w:sz w:val="21"/>
                <w:szCs w:val="21"/>
                <w:highlight w:val="none"/>
                <w:lang w:val="en-US" w:eastAsia="zh-CN" w:bidi="ar-SA"/>
              </w:rPr>
              <w:t>本项目位于大巴山水源涵养与生物多样性保护区，项目采取地下开采，开采标高为1500m以下，对生态环境影响较小。项目开采矿种为</w:t>
            </w:r>
            <w:r>
              <w:rPr>
                <w:rStyle w:val="126"/>
                <w:rFonts w:hint="eastAsia" w:ascii="Times New Roman" w:hAnsi="Times New Roman" w:eastAsia="宋体" w:cs="Times New Roman"/>
                <w:color w:val="FF0000"/>
                <w:spacing w:val="0"/>
                <w:kern w:val="0"/>
                <w:sz w:val="21"/>
                <w:szCs w:val="21"/>
                <w:highlight w:val="none"/>
                <w:lang w:val="en-US" w:eastAsia="zh-CN" w:bidi="ar-SA"/>
              </w:rPr>
              <w:t>毒重石、重晶石</w:t>
            </w:r>
            <w:r>
              <w:rPr>
                <w:rStyle w:val="126"/>
                <w:rFonts w:hint="default" w:ascii="Times New Roman" w:hAnsi="Times New Roman" w:eastAsia="宋体" w:cs="Times New Roman"/>
                <w:color w:val="FF0000"/>
                <w:spacing w:val="0"/>
                <w:kern w:val="0"/>
                <w:sz w:val="21"/>
                <w:szCs w:val="21"/>
                <w:highlight w:val="none"/>
                <w:lang w:val="en-US" w:eastAsia="zh-CN" w:bidi="ar-SA"/>
              </w:rPr>
              <w:t>矿，不涉及重金属排放</w:t>
            </w:r>
            <w:r>
              <w:rPr>
                <w:rStyle w:val="126"/>
                <w:rFonts w:hint="eastAsia" w:ascii="Times New Roman" w:hAnsi="Times New Roman" w:eastAsia="宋体" w:cs="Times New Roman"/>
                <w:color w:val="FF0000"/>
                <w:spacing w:val="0"/>
                <w:kern w:val="0"/>
                <w:sz w:val="21"/>
                <w:szCs w:val="21"/>
                <w:highlight w:val="none"/>
                <w:lang w:val="en-US" w:eastAsia="zh-CN" w:bidi="ar-SA"/>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pacing w:val="0"/>
                <w:kern w:val="0"/>
                <w:sz w:val="21"/>
                <w:szCs w:val="21"/>
                <w:highlight w:val="none"/>
                <w:lang w:val="en-US" w:eastAsia="zh-CN" w:bidi="ar-SA"/>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color w:val="FF0000"/>
                <w:kern w:val="0"/>
                <w:sz w:val="21"/>
                <w:szCs w:val="21"/>
              </w:rPr>
            </w:pPr>
            <w:r>
              <w:rPr>
                <w:rStyle w:val="126"/>
                <w:rFonts w:hint="eastAsia" w:ascii="Times New Roman" w:hAnsi="Times New Roman" w:eastAsia="宋体" w:cs="Times New Roman"/>
                <w:color w:val="FF0000"/>
                <w:spacing w:val="0"/>
                <w:kern w:val="0"/>
                <w:sz w:val="21"/>
                <w:szCs w:val="21"/>
                <w:highlight w:val="none"/>
                <w:lang w:val="en-US" w:eastAsia="zh-CN" w:bidi="ar-SA"/>
              </w:rPr>
              <w:t>严格矿产资源开发的环境准入条件。针对突出环境问题，提出降低污染排放强度、提高矿区矸石及尾矿综合利用率和防控环境风险等差别化对策措施，有效减缓矿产资源开发的环境影响和生态破坏。加强矿产资源综合利用，提高资源节约集约利用水平。严格控制铅、锌矿产及陕南秦巴山区石材矿产资源开采的环境影响，提出严格的环境准入要求</w:t>
            </w:r>
            <w:r>
              <w:rPr>
                <w:rStyle w:val="126"/>
                <w:rFonts w:hint="eastAsia" w:ascii="Times New Roman" w:hAnsi="Times New Roman" w:cs="Times New Roman"/>
                <w:color w:val="FF0000"/>
                <w:spacing w:val="0"/>
                <w:kern w:val="0"/>
                <w:sz w:val="21"/>
                <w:szCs w:val="21"/>
                <w:highlight w:val="none"/>
                <w:lang w:val="en-US" w:eastAsia="zh-CN" w:bidi="ar-SA"/>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FF0000"/>
                <w:kern w:val="0"/>
                <w:sz w:val="21"/>
                <w:szCs w:val="21"/>
                <w:lang w:eastAsia="zh-CN"/>
              </w:rPr>
            </w:pPr>
            <w:r>
              <w:rPr>
                <w:rStyle w:val="126"/>
                <w:rFonts w:hint="eastAsia" w:ascii="Times New Roman" w:hAnsi="Times New Roman" w:eastAsia="宋体" w:cs="Times New Roman"/>
                <w:color w:val="FF0000"/>
                <w:spacing w:val="0"/>
                <w:kern w:val="0"/>
                <w:sz w:val="21"/>
                <w:szCs w:val="21"/>
                <w:highlight w:val="none"/>
                <w:lang w:val="en-US" w:eastAsia="zh-CN" w:bidi="ar-SA"/>
              </w:rPr>
              <w:t>本项目扩建工程不再新建废石场，废石回用于矿区基建和采空区回填。项目产生的废水全部回用，不外排，废气、噪声经过处理达标排放，对生态环境影响较小。</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pacing w:val="0"/>
                <w:kern w:val="0"/>
                <w:sz w:val="21"/>
                <w:szCs w:val="21"/>
                <w:highlight w:val="none"/>
                <w:lang w:val="en-US" w:eastAsia="zh-CN" w:bidi="ar-SA"/>
              </w:rPr>
            </w:pPr>
            <w:r>
              <w:rPr>
                <w:rStyle w:val="126"/>
                <w:rFonts w:hint="eastAsia" w:ascii="Times New Roman" w:hAnsi="Times New Roman" w:eastAsia="宋体" w:cs="Times New Roman"/>
                <w:color w:val="FF0000"/>
                <w:spacing w:val="0"/>
                <w:kern w:val="0"/>
                <w:sz w:val="21"/>
                <w:szCs w:val="21"/>
                <w:highlight w:val="none"/>
                <w:lang w:val="en-US" w:eastAsia="zh-CN" w:bidi="ar-SA"/>
              </w:rPr>
              <w:t>《陕西省国土空间规划》（2021-2035年）</w:t>
            </w: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Style w:val="126"/>
                <w:rFonts w:hint="default" w:ascii="Times New Roman" w:hAnsi="Times New Roman" w:eastAsia="宋体" w:cs="Times New Roman"/>
                <w:color w:val="FF0000"/>
                <w:spacing w:val="0"/>
                <w:kern w:val="0"/>
                <w:sz w:val="21"/>
                <w:szCs w:val="21"/>
                <w:highlight w:val="none"/>
                <w:lang w:val="en-US" w:eastAsia="zh-CN" w:bidi="ar-SA"/>
              </w:rPr>
            </w:pPr>
            <w:r>
              <w:rPr>
                <w:rStyle w:val="126"/>
                <w:rFonts w:hint="default" w:ascii="Times New Roman" w:hAnsi="Times New Roman" w:eastAsia="宋体" w:cs="Times New Roman"/>
                <w:b w:val="0"/>
                <w:bCs w:val="0"/>
                <w:color w:val="FF0000"/>
                <w:spacing w:val="0"/>
                <w:kern w:val="0"/>
                <w:sz w:val="21"/>
                <w:szCs w:val="21"/>
                <w:highlight w:val="none"/>
                <w:lang w:val="en-US" w:eastAsia="zh-CN" w:bidi="ar-SA"/>
              </w:rPr>
              <w:t>促进矿产资源开发与保护：加强重要矿产资源勘察、提高矿产资源利用水平、优化矿产资源保护与开发布局、强化矿产资源勘察开发空间管控。</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pacing w:val="0"/>
                <w:kern w:val="0"/>
                <w:sz w:val="21"/>
                <w:szCs w:val="21"/>
                <w:highlight w:val="none"/>
                <w:lang w:val="en-US" w:eastAsia="zh-CN" w:bidi="ar-SA"/>
              </w:rPr>
            </w:pPr>
            <w:r>
              <w:rPr>
                <w:rStyle w:val="126"/>
                <w:rFonts w:hint="eastAsia" w:ascii="Times New Roman" w:hAnsi="Times New Roman" w:eastAsia="宋体" w:cs="Times New Roman"/>
                <w:color w:val="FF0000"/>
                <w:spacing w:val="0"/>
                <w:kern w:val="0"/>
                <w:sz w:val="21"/>
                <w:szCs w:val="21"/>
                <w:highlight w:val="none"/>
                <w:lang w:val="en-US" w:eastAsia="zh-CN" w:bidi="ar-SA"/>
              </w:rPr>
              <w:t>本项目为矿产资源开发项目，开采过程中应提高矿产资源的开采利用水平，保护环境。</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eastAsia" w:ascii="Times New Roman" w:hAnsi="Times New Roman" w:eastAsia="宋体" w:cs="Times New Roman"/>
                <w:color w:val="FF0000"/>
                <w:spacing w:val="0"/>
                <w:kern w:val="0"/>
                <w:sz w:val="21"/>
                <w:szCs w:val="21"/>
                <w:highlight w:val="none"/>
                <w:lang w:val="en-US" w:eastAsia="zh-CN" w:bidi="ar-SA"/>
              </w:rPr>
            </w:pPr>
          </w:p>
        </w:tc>
        <w:tc>
          <w:tcPr>
            <w:tcW w:w="3853"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jc w:val="center"/>
              <w:textAlignment w:val="auto"/>
              <w:rPr>
                <w:rStyle w:val="126"/>
                <w:rFonts w:hint="default" w:ascii="Times New Roman" w:hAnsi="Times New Roman" w:eastAsia="宋体" w:cs="Times New Roman"/>
                <w:b w:val="0"/>
                <w:bCs w:val="0"/>
                <w:color w:val="FF0000"/>
                <w:spacing w:val="0"/>
                <w:kern w:val="0"/>
                <w:sz w:val="21"/>
                <w:szCs w:val="21"/>
                <w:highlight w:val="none"/>
                <w:lang w:val="en-US" w:eastAsia="zh-CN" w:bidi="ar-SA"/>
              </w:rPr>
            </w:pPr>
            <w:r>
              <w:rPr>
                <w:rStyle w:val="126"/>
                <w:rFonts w:hint="eastAsia" w:ascii="Times New Roman" w:hAnsi="Times New Roman" w:eastAsia="宋体" w:cs="Times New Roman"/>
                <w:b w:val="0"/>
                <w:bCs w:val="0"/>
                <w:color w:val="FF0000"/>
                <w:spacing w:val="0"/>
                <w:kern w:val="0"/>
                <w:sz w:val="21"/>
                <w:szCs w:val="21"/>
                <w:highlight w:val="none"/>
                <w:lang w:val="en-US" w:eastAsia="zh-CN" w:bidi="ar-SA"/>
              </w:rPr>
              <w:t>推进矿山生态修复：治理恢复矿山地址环境；复垦历史遗留工况废弃用地。</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Style w:val="126"/>
                <w:rFonts w:hint="default" w:ascii="Times New Roman" w:hAnsi="Times New Roman" w:eastAsia="宋体" w:cs="Times New Roman"/>
                <w:color w:val="FF0000"/>
                <w:spacing w:val="0"/>
                <w:kern w:val="0"/>
                <w:sz w:val="21"/>
                <w:szCs w:val="21"/>
                <w:highlight w:val="none"/>
                <w:lang w:val="en-US" w:eastAsia="zh-CN" w:bidi="ar-SA"/>
              </w:rPr>
            </w:pPr>
            <w:r>
              <w:rPr>
                <w:rStyle w:val="126"/>
                <w:rFonts w:hint="eastAsia" w:ascii="Times New Roman" w:hAnsi="Times New Roman" w:eastAsia="宋体" w:cs="Times New Roman"/>
                <w:color w:val="FF0000"/>
                <w:spacing w:val="0"/>
                <w:kern w:val="0"/>
                <w:sz w:val="21"/>
                <w:szCs w:val="21"/>
                <w:highlight w:val="none"/>
                <w:lang w:val="en-US" w:eastAsia="zh-CN" w:bidi="ar-SA"/>
              </w:rPr>
              <w:t>开采结束后，应按照</w:t>
            </w:r>
            <w:r>
              <w:rPr>
                <w:rFonts w:hint="eastAsia"/>
                <w:color w:val="FF0000"/>
                <w:sz w:val="21"/>
                <w:szCs w:val="21"/>
                <w:lang w:val="en-US" w:eastAsia="zh-CN"/>
              </w:rPr>
              <w:t>《旬阳县赤岩镇水磨沟口构皮沟毒重石矿矿山地质环境保护与土地复垦方案》</w:t>
            </w:r>
            <w:r>
              <w:rPr>
                <w:rStyle w:val="126"/>
                <w:rFonts w:hint="eastAsia" w:ascii="Times New Roman" w:hAnsi="Times New Roman" w:eastAsia="宋体" w:cs="Times New Roman"/>
                <w:color w:val="FF0000"/>
                <w:spacing w:val="0"/>
                <w:kern w:val="0"/>
                <w:sz w:val="21"/>
                <w:szCs w:val="21"/>
                <w:highlight w:val="none"/>
                <w:lang w:val="en-US" w:eastAsia="zh-CN" w:bidi="ar-SA"/>
              </w:rPr>
              <w:t>对本项目开采占用的土地全部复垦。</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78"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rPr>
              <w:t>《安康市矿产资源总体规划》（2016~2020）</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eastAsia="zh-CN"/>
              </w:rPr>
            </w:pPr>
            <w:r>
              <w:rPr>
                <w:rFonts w:hint="default" w:ascii="Times New Roman" w:hAnsi="Times New Roman" w:eastAsia="宋体" w:cs="Times New Roman"/>
                <w:color w:val="000000" w:themeColor="text1"/>
              </w:rPr>
              <w:t>鼓励开采金、银、铜、重晶石、冶镁白云岩、富硒矿泉水等矿产，适度控制开采铁、水泥用灰岩、铅、锌、钼，保护性开采锑、钨。限制开采石煤、硫铁矿、石膏、钒、瓦板岩等矿产，限制开采的矿产应严格控制采矿权投放。禁止开采蓝石棉及基本农田保护区内的砖瓦用粘土。不再新建汞矿山，逐步停止汞矿开采</w:t>
            </w:r>
            <w:r>
              <w:rPr>
                <w:rFonts w:hint="eastAsia" w:ascii="Times New Roman" w:hAnsi="Times New Roman" w:eastAsia="宋体" w:cs="Times New Roman"/>
                <w:color w:val="000000" w:themeColor="text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rPr>
              <w:t>本项目主要开采的重晶石属于鼓励开采的矿产</w:t>
            </w:r>
            <w:r>
              <w:rPr>
                <w:rFonts w:hint="eastAsia" w:ascii="Times New Roman" w:hAnsi="Times New Roman" w:eastAsia="宋体" w:cs="Times New Roman"/>
                <w:color w:val="000000" w:themeColor="text1"/>
                <w:lang w:eastAsia="zh-CN"/>
              </w:rPr>
              <w:t>资源</w:t>
            </w:r>
            <w:r>
              <w:rPr>
                <w:rFonts w:hint="default" w:ascii="Times New Roman" w:hAnsi="Times New Roman" w:eastAsia="宋体" w:cs="Times New Roman"/>
                <w:color w:val="000000" w:themeColor="text1"/>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6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p>
        </w:tc>
        <w:tc>
          <w:tcPr>
            <w:tcW w:w="3853" w:type="dxa"/>
            <w:tcBorders>
              <w:tl2br w:val="nil"/>
              <w:tr2bl w:val="nil"/>
            </w:tcBorders>
            <w:vAlign w:val="center"/>
          </w:tcPr>
          <w:p>
            <w:pPr>
              <w:pStyle w:val="42"/>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根据有关法律、法规，将以下区域划为限制开采区</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城市规划区，饮用水源地二级保护区和准保护区，秦岭地区海拔1500米至2600米之间的秦岭中山针阔叶林水源涵养与生物多样性生态功能区，点状开发的城镇，矿产资源开发利用过程中可能对生态环境有较大影响的地区，目前开采技术达不到要求、易造成资源浪费的地区。</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自然保护区、森林公园、风景名胜区、地质公园、水产种质资源保护区、重要湿地、秦岭地区海拔2600米以上的中高山针叶林灌丛草甸生物多样性生态功能区、秦岭地区植物园和重要地质遗迹保护区、饮用水源地保护区的一级保护区、自然文化遗产、有关法律法规规定的不得开采矿产资源的地区。现有技术经济条件下，达不到资源合理利用、整体开发等要求的矿产地，开发利用会造成严重资源浪费或破坏的区域。</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本项目属于巴山地区，不属于秦岭地区。</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本项目矿区和地面生产设施均在</w:t>
            </w:r>
            <w:r>
              <w:rPr>
                <w:rFonts w:hint="eastAsia" w:ascii="Times New Roman" w:hAnsi="Times New Roman" w:eastAsia="宋体" w:cs="Times New Roman"/>
                <w:color w:val="000000" w:themeColor="text1"/>
                <w:lang w:val="en-US" w:eastAsia="zh-CN"/>
              </w:rPr>
              <w:t>1500</w:t>
            </w:r>
            <w:r>
              <w:rPr>
                <w:rFonts w:hint="default" w:ascii="Times New Roman" w:hAnsi="Times New Roman" w:eastAsia="宋体" w:cs="Times New Roman"/>
                <w:color w:val="000000" w:themeColor="text1"/>
              </w:rPr>
              <w:t>m以下，采取地下开采方式，不在水源保护区、自然保护区等特殊生态敏区的禁止开发区范围内，不属于限制开发区或禁止开发区</w:t>
            </w:r>
            <w:r>
              <w:rPr>
                <w:rFonts w:hint="eastAsia" w:ascii="Times New Roman" w:hAnsi="Times New Roman" w:eastAsia="宋体" w:cs="Times New Roman"/>
                <w:color w:val="000000" w:themeColor="text1"/>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50"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p>
        </w:tc>
        <w:tc>
          <w:tcPr>
            <w:tcW w:w="38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textAlignment w:val="auto"/>
              <w:outlineLvl w:val="9"/>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kern w:val="2"/>
                <w:sz w:val="21"/>
                <w:szCs w:val="22"/>
                <w:lang w:val="zh-CN" w:eastAsia="zh-CN" w:bidi="ar-SA"/>
              </w:rPr>
              <w:t>根据矿山规模应与矿区资源储量规模相适应的原则，设置矿山最低开采规模与最低开采年限。非煤矿山最低服务年限原则上不低于</w:t>
            </w:r>
            <w:r>
              <w:rPr>
                <w:rFonts w:hint="eastAsia" w:ascii="Times New Roman" w:hAnsi="Times New Roman" w:eastAsia="宋体" w:cs="Times New Roman"/>
                <w:color w:val="000000" w:themeColor="text1"/>
                <w:kern w:val="2"/>
                <w:sz w:val="21"/>
                <w:szCs w:val="22"/>
                <w:lang w:val="en-US" w:eastAsia="zh-CN" w:bidi="ar-SA"/>
              </w:rPr>
              <w:t>10</w:t>
            </w:r>
            <w:r>
              <w:rPr>
                <w:rFonts w:hint="eastAsia" w:ascii="Times New Roman" w:hAnsi="Times New Roman" w:eastAsia="宋体" w:cs="Times New Roman"/>
                <w:color w:val="000000" w:themeColor="text1"/>
                <w:kern w:val="2"/>
                <w:sz w:val="21"/>
                <w:szCs w:val="22"/>
                <w:lang w:val="zh-CN" w:eastAsia="zh-CN" w:bidi="ar-SA"/>
              </w:rPr>
              <w:t>年。技改、整合矿山服务年限，根据其保有资源储量和最低开采规模而定。</w:t>
            </w:r>
            <w:r>
              <w:rPr>
                <w:rFonts w:hint="default" w:ascii="Times New Roman" w:hAnsi="Times New Roman" w:eastAsia="宋体" w:cs="Times New Roman"/>
                <w:color w:val="000000" w:themeColor="text1"/>
              </w:rPr>
              <w:t>重晶石新建矿山矿石5万吨/年，保留或技改整合矿山2万吨/年</w:t>
            </w:r>
            <w:r>
              <w:rPr>
                <w:rFonts w:hint="eastAsia" w:ascii="Times New Roman" w:hAnsi="Times New Roman" w:eastAsia="宋体" w:cs="Times New Roman"/>
                <w:color w:val="000000" w:themeColor="text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w:t>
            </w:r>
            <w:r>
              <w:rPr>
                <w:rFonts w:hint="eastAsia" w:ascii="Times New Roman" w:hAnsi="Times New Roman" w:eastAsia="宋体" w:cs="Times New Roman"/>
                <w:color w:val="000000" w:themeColor="text1"/>
                <w:lang w:eastAsia="zh-CN"/>
              </w:rPr>
              <w:t>为重晶石扩建项目，</w:t>
            </w:r>
            <w:r>
              <w:rPr>
                <w:rFonts w:hint="default" w:ascii="Times New Roman" w:hAnsi="Times New Roman" w:eastAsia="宋体" w:cs="Times New Roman"/>
                <w:color w:val="000000" w:themeColor="text1"/>
              </w:rPr>
              <w:t>建成后开采规模为开采矿石5万吨/年</w:t>
            </w:r>
            <w:r>
              <w:rPr>
                <w:rFonts w:hint="eastAsia" w:ascii="Times New Roman" w:hAnsi="Times New Roman" w:eastAsia="宋体" w:cs="Times New Roman"/>
                <w:color w:val="000000" w:themeColor="text1"/>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50" w:hRule="atLeast"/>
          <w:jc w:val="center"/>
        </w:trPr>
        <w:tc>
          <w:tcPr>
            <w:tcW w:w="17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《安康市主体功能区规划》</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kern w:val="0"/>
                <w:szCs w:val="21"/>
              </w:rPr>
              <w:t>限制开发区域</w:t>
            </w:r>
            <w:r>
              <w:rPr>
                <w:rFonts w:hint="default" w:ascii="Times New Roman" w:hAnsi="Times New Roman" w:eastAsia="宋体" w:cs="Times New Roman"/>
                <w:color w:val="000000" w:themeColor="text1"/>
                <w:kern w:val="0"/>
                <w:szCs w:val="21"/>
              </w:rPr>
              <w:fldChar w:fldCharType="begin"/>
            </w:r>
            <w:r>
              <w:rPr>
                <w:rFonts w:hint="default" w:ascii="Times New Roman" w:hAnsi="Times New Roman" w:eastAsia="宋体" w:cs="Times New Roman"/>
                <w:color w:val="000000" w:themeColor="text1"/>
                <w:kern w:val="0"/>
                <w:szCs w:val="21"/>
              </w:rPr>
              <w:instrText xml:space="preserve"> = 1 \* ROMAN \* MERGEFORMAT </w:instrText>
            </w:r>
            <w:r>
              <w:rPr>
                <w:rFonts w:hint="default" w:ascii="Times New Roman" w:hAnsi="Times New Roman" w:eastAsia="宋体" w:cs="Times New Roman"/>
                <w:color w:val="000000" w:themeColor="text1"/>
                <w:kern w:val="0"/>
                <w:szCs w:val="21"/>
              </w:rPr>
              <w:fldChar w:fldCharType="separate"/>
            </w:r>
            <w:r>
              <w:rPr>
                <w:rFonts w:hint="default" w:ascii="Times New Roman" w:hAnsi="Times New Roman" w:eastAsia="宋体" w:cs="Times New Roman"/>
                <w:color w:val="000000" w:themeColor="text1"/>
                <w:kern w:val="0"/>
                <w:szCs w:val="21"/>
              </w:rPr>
              <w:t>I</w:t>
            </w:r>
            <w:r>
              <w:rPr>
                <w:rFonts w:hint="default" w:ascii="Times New Roman" w:hAnsi="Times New Roman" w:eastAsia="宋体" w:cs="Times New Roman"/>
                <w:color w:val="000000" w:themeColor="text1"/>
                <w:kern w:val="0"/>
                <w:szCs w:val="21"/>
              </w:rPr>
              <w:fldChar w:fldCharType="end"/>
            </w:r>
            <w:r>
              <w:rPr>
                <w:rFonts w:hint="default" w:ascii="Times New Roman" w:hAnsi="Times New Roman" w:eastAsia="宋体" w:cs="Times New Roman"/>
                <w:color w:val="000000" w:themeColor="text1"/>
                <w:kern w:val="0"/>
                <w:szCs w:val="21"/>
              </w:rPr>
              <w:t>类</w:t>
            </w:r>
            <w:r>
              <w:rPr>
                <w:rFonts w:hint="eastAsia" w:ascii="Times New Roman" w:hAnsi="Times New Roman" w:eastAsia="宋体" w:cs="Times New Roman"/>
                <w:color w:val="000000" w:themeColor="text1"/>
                <w:kern w:val="0"/>
                <w:szCs w:val="21"/>
                <w:lang w:eastAsia="zh-CN"/>
              </w:rPr>
              <w:t>：</w:t>
            </w:r>
            <w:r>
              <w:rPr>
                <w:rFonts w:hint="default" w:ascii="Times New Roman" w:hAnsi="Times New Roman" w:eastAsia="宋体" w:cs="Times New Roman"/>
                <w:color w:val="000000" w:themeColor="text1"/>
                <w:kern w:val="0"/>
                <w:szCs w:val="21"/>
              </w:rPr>
              <w:t>赵湾镇、红军镇、麻坪镇、双河镇、赤岩镇、神河镇、金寨镇、仁河口镇、石门镇、桐木镇、铜钱关镇、仙河镇。安康市的重要生态屏障，汉江流域的重要水源地，维护国土生态安全和水资源安全，保护自然资源和文化遗产，保全生物多样性和维护自然生境，促进人与自然和谐发展的具有重大生态意义的区域</w:t>
            </w:r>
            <w:r>
              <w:rPr>
                <w:rFonts w:hint="eastAsia" w:ascii="Times New Roman" w:hAnsi="Times New Roman" w:eastAsia="宋体" w:cs="Times New Roman"/>
                <w:color w:val="000000" w:themeColor="text1"/>
                <w:kern w:val="0"/>
                <w:szCs w:val="2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本项目位于铜钱关镇，属于限制开发区</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本项目为保留矿权，海拔在1500m以下，属于地下开采，对环境的影响较小。</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79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《旬阳县矿产资源总体规划》（2016~2020）</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color w:val="000000" w:themeColor="text1"/>
              </w:rPr>
              <w:t>鼓励开采铜、岩金等矿产，在符合开采准入条件下，可考虑优先设置采矿权。适度控制开采铁、铅、锌、水泥用灰岩，保护性开采锑，限制开采石煤、瓦板岩等矿产。限制开采的矿产应严格控制采矿权投放。不再新建汞矿山，逐步停止汞矿开采。禁止开采可耕地的砖瓦用粘土。合理开采适应地区经济发展需要的建材类非金属矿产。</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本项目开采的重晶石和毒重石不属于限制或禁止开采的矿产</w:t>
            </w:r>
            <w:r>
              <w:rPr>
                <w:rFonts w:hint="eastAsia" w:ascii="Times New Roman" w:hAnsi="Times New Roman" w:eastAsia="宋体" w:cs="Times New Roman"/>
                <w:color w:val="000000" w:themeColor="text1"/>
                <w:lang w:eastAsia="zh-CN"/>
              </w:rPr>
              <w:t>资源。</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02" w:hRule="atLeast"/>
          <w:jc w:val="center"/>
        </w:trPr>
        <w:tc>
          <w:tcPr>
            <w:tcW w:w="179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p>
        </w:tc>
        <w:tc>
          <w:tcPr>
            <w:tcW w:w="3853" w:type="dxa"/>
            <w:tcBorders>
              <w:tl2br w:val="nil"/>
              <w:tr2bl w:val="nil"/>
            </w:tcBorders>
            <w:vAlign w:val="center"/>
          </w:tcPr>
          <w:p>
            <w:pPr>
              <w:pStyle w:val="42"/>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根据有关法律、法规，以下区域划为限制开采区</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饮用水源地二级保护区和准保护区、城市规划区、秦岭地区海拔1500米至2600米之间的秦岭中山针阔叶林水源涵养与生物多样性生态功能区；秦巴生物多样性功能区、点状开发的城镇；矿产资源开发利用过程中可能对生态环境有较大影响的地区；目前开采技术达不到要求，易造成资源浪费的地区。</w:t>
            </w:r>
          </w:p>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有关法律、法规、规划要求及旬阳县实际情况，将以下区域设为禁止开采区：自然保护区、森林公园、风景名胜区、地质公园、重要湿地、秦岭地区海拔2600米以上的中高山针叶林灌丛草甸生物多样性生态功能区、重要地质遗迹保护区、饮用水源地保护区的一级保护区、自然文化遗产、有关法律法规规定的不得开采矿产资源的地区。现有技术经济条件下，达不到资源合理利用、整体开发等要求的矿产地，开发利用会造成严重资源浪费或破坏的区域。</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本项目矿区和地面生产设施均在</w:t>
            </w:r>
            <w:r>
              <w:rPr>
                <w:rFonts w:hint="eastAsia" w:ascii="Times New Roman" w:hAnsi="Times New Roman" w:eastAsia="宋体" w:cs="Times New Roman"/>
                <w:color w:val="000000" w:themeColor="text1"/>
                <w:lang w:val="en-US" w:eastAsia="zh-CN"/>
              </w:rPr>
              <w:t>1500</w:t>
            </w:r>
            <w:r>
              <w:rPr>
                <w:rFonts w:hint="default" w:ascii="Times New Roman" w:hAnsi="Times New Roman" w:eastAsia="宋体" w:cs="Times New Roman"/>
                <w:color w:val="000000" w:themeColor="text1"/>
              </w:rPr>
              <w:t>m以下，采取地下开采方式，不在水源保护区、自然保护区等特殊生态敏区的禁止开发区范围内，不属于限制开发区或禁止开发区</w:t>
            </w:r>
            <w:r>
              <w:rPr>
                <w:rFonts w:hint="eastAsia" w:ascii="Times New Roman" w:hAnsi="Times New Roman" w:eastAsia="宋体" w:cs="Times New Roman"/>
                <w:color w:val="000000" w:themeColor="text1"/>
                <w:lang w:eastAsia="zh-CN"/>
              </w:rPr>
              <w:t>。</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7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《旬阳县土地利用总体规划》（2006-2020年）</w:t>
            </w:r>
          </w:p>
        </w:tc>
        <w:tc>
          <w:tcPr>
            <w:tcW w:w="385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区内土地主要用于采矿业以及其他不宜在居民点内安排的工业用地</w:t>
            </w:r>
            <w:r>
              <w:rPr>
                <w:rFonts w:hint="eastAsia" w:ascii="Times New Roman" w:hAnsi="Times New Roman" w:eastAsia="宋体" w:cs="Times New Roman"/>
                <w:color w:val="000000" w:themeColor="text1"/>
                <w:lang w:eastAsia="zh-CN"/>
              </w:rPr>
              <w:t>。</w:t>
            </w:r>
          </w:p>
        </w:tc>
        <w:tc>
          <w:tcPr>
            <w:tcW w:w="25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Cs/>
                <w:color w:val="000000" w:themeColor="text1"/>
              </w:rPr>
              <w:t>本项目矿区主要用于采矿工业需要，矿区内无居民点。</w:t>
            </w:r>
          </w:p>
        </w:tc>
        <w:tc>
          <w:tcPr>
            <w:tcW w:w="82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vertAlign w:val="baseline"/>
                <w:lang w:val="en-US" w:eastAsia="zh-CN"/>
              </w:rPr>
              <w:t>符合</w:t>
            </w:r>
          </w:p>
        </w:tc>
      </w:tr>
    </w:tbl>
    <w:p>
      <w:pPr>
        <w:pStyle w:val="5"/>
        <w:rPr>
          <w:rFonts w:hint="eastAsia"/>
          <w:color w:val="000000" w:themeColor="text1"/>
          <w:lang w:val="en-US" w:eastAsia="zh-CN"/>
        </w:rPr>
      </w:pPr>
      <w:bookmarkStart w:id="28" w:name="_Toc8334"/>
      <w:bookmarkStart w:id="29" w:name="_Toc2141_WPSOffice_Level3"/>
      <w:r>
        <w:rPr>
          <w:rFonts w:hint="eastAsia"/>
          <w:color w:val="000000" w:themeColor="text1"/>
          <w:lang w:val="en-US" w:eastAsia="zh-CN"/>
        </w:rPr>
        <w:t>相关污染防治技术文件符合性分析</w:t>
      </w:r>
      <w:bookmarkEnd w:id="28"/>
      <w:bookmarkEnd w:id="29"/>
    </w:p>
    <w:p>
      <w:pPr>
        <w:adjustRightInd w:val="0"/>
        <w:snapToGrid w:val="0"/>
        <w:spacing w:line="360" w:lineRule="auto"/>
        <w:jc w:val="center"/>
        <w:rPr>
          <w:rFonts w:hint="default" w:ascii="Times New Roman" w:hAnsi="Times New Roman" w:eastAsia="宋体" w:cs="Times New Roman"/>
          <w:b/>
          <w:bCs/>
          <w:color w:val="000000" w:themeColor="text1"/>
          <w:sz w:val="21"/>
          <w:szCs w:val="21"/>
          <w:vertAlign w:val="baseline"/>
          <w:lang w:val="en-US" w:eastAsia="zh-CN"/>
        </w:rPr>
      </w:pPr>
      <w:r>
        <w:rPr>
          <w:rFonts w:hint="eastAsia" w:ascii="Times New Roman" w:hAnsi="Times New Roman" w:eastAsia="宋体" w:cs="Times New Roman"/>
          <w:b/>
          <w:bCs/>
          <w:color w:val="000000" w:themeColor="text1"/>
          <w:sz w:val="21"/>
          <w:szCs w:val="21"/>
          <w:lang w:val="en-US" w:eastAsia="zh-CN"/>
        </w:rPr>
        <w:t>表1.4-7   相关污染防治技术文件符合性分析</w:t>
      </w:r>
    </w:p>
    <w:tbl>
      <w:tblPr>
        <w:tblStyle w:val="40"/>
        <w:tblW w:w="893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3391"/>
        <w:gridCol w:w="3199"/>
        <w:gridCol w:w="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相关文件</w:t>
            </w:r>
          </w:p>
        </w:tc>
        <w:tc>
          <w:tcPr>
            <w:tcW w:w="319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本项目</w:t>
            </w:r>
          </w:p>
        </w:tc>
        <w:tc>
          <w:tcPr>
            <w:tcW w:w="4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文件名称</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内容要求</w:t>
            </w:r>
          </w:p>
        </w:tc>
        <w:tc>
          <w:tcPr>
            <w:tcW w:w="319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p>
        </w:tc>
        <w:tc>
          <w:tcPr>
            <w:tcW w:w="4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bCs/>
                <w:color w:val="000000" w:themeColor="text1"/>
                <w:sz w:val="21"/>
                <w:szCs w:val="21"/>
              </w:rPr>
              <w:t>《</w:t>
            </w:r>
            <w:r>
              <w:rPr>
                <w:rFonts w:hint="default" w:ascii="Times New Roman" w:hAnsi="Times New Roman" w:eastAsia="宋体" w:cs="Times New Roman"/>
                <w:color w:val="000000" w:themeColor="text1"/>
                <w:sz w:val="21"/>
                <w:szCs w:val="21"/>
              </w:rPr>
              <w:t>国务院关于全面整顿和规范矿产资源开发秩序的通知》</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严厉打击无证勘查和开采等违法行为。</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本项目采矿许可证情况：证号编号：C6109002009126120047872</w:t>
            </w:r>
            <w:r>
              <w:rPr>
                <w:rFonts w:hint="eastAsia" w:ascii="Times New Roman" w:hAnsi="Times New Roman" w:eastAsia="宋体" w:cs="Times New Roman"/>
                <w:color w:val="000000" w:themeColor="text1"/>
                <w:sz w:val="21"/>
                <w:szCs w:val="21"/>
                <w:lang w:val="en-US"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坚决关闭破坏环境、污染严重、不具备安全生产条件的矿山企业</w:t>
            </w:r>
            <w:r>
              <w:rPr>
                <w:rFonts w:hint="eastAsia" w:ascii="Times New Roman" w:hAnsi="Times New Roman" w:eastAsia="宋体" w:cs="Times New Roman"/>
                <w:color w:val="000000" w:themeColor="text1"/>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本项目现有工程采用</w:t>
            </w:r>
            <w:r>
              <w:rPr>
                <w:rFonts w:hint="eastAsia" w:ascii="Times New Roman" w:hAnsi="Times New Roman" w:eastAsia="宋体" w:cs="Times New Roman"/>
                <w:color w:val="000000" w:themeColor="text1"/>
                <w:sz w:val="21"/>
                <w:szCs w:val="21"/>
                <w:lang w:val="en-US" w:eastAsia="zh-CN"/>
              </w:rPr>
              <w:t>生产废水回用</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使用低噪声设备等措施减少对环境的污染；扩建后</w:t>
            </w:r>
            <w:r>
              <w:rPr>
                <w:rFonts w:hint="eastAsia" w:ascii="Times New Roman" w:hAnsi="Times New Roman" w:eastAsia="宋体" w:cs="Times New Roman"/>
                <w:color w:val="000000" w:themeColor="text1"/>
                <w:sz w:val="21"/>
                <w:szCs w:val="21"/>
                <w:lang w:val="en-US" w:eastAsia="zh-CN"/>
              </w:rPr>
              <w:t>进一步加强污染控制和生态预防治理措施，对现有工程不完善的环保措施进一步整改。</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各类矿山都要按照规模化、集约化的原则进行整合，限期达到规定的最低开采规模。各地要统一组织制定小矿整合方案，并切实抓好落实，提高矿产资源开发利用水平。</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该矿</w:t>
            </w:r>
            <w:r>
              <w:rPr>
                <w:rFonts w:hint="default" w:ascii="Times New Roman" w:hAnsi="Times New Roman" w:eastAsia="宋体" w:cs="Times New Roman"/>
                <w:bCs/>
                <w:color w:val="000000" w:themeColor="text1"/>
                <w:sz w:val="21"/>
                <w:szCs w:val="21"/>
              </w:rPr>
              <w:t>是2009年</w:t>
            </w:r>
            <w:r>
              <w:rPr>
                <w:rFonts w:hint="default" w:ascii="Times New Roman" w:hAnsi="Times New Roman" w:eastAsia="宋体" w:cs="Times New Roman"/>
                <w:color w:val="000000" w:themeColor="text1"/>
                <w:sz w:val="21"/>
                <w:szCs w:val="21"/>
              </w:rPr>
              <w:t>由旬阳县赤岩镇大磨沟重晶石矿和旬阳县金城毒重石矿</w:t>
            </w:r>
            <w:r>
              <w:rPr>
                <w:rFonts w:hint="default" w:ascii="Times New Roman" w:hAnsi="Times New Roman" w:eastAsia="宋体" w:cs="Times New Roman"/>
                <w:bCs/>
                <w:color w:val="000000" w:themeColor="text1"/>
                <w:sz w:val="21"/>
                <w:szCs w:val="21"/>
              </w:rPr>
              <w:t>二个矿山整合而成，矿区面积2.3845平方公里，计划进行重晶石及伴生的毒重石开采，年生产能力为3万吨。</w:t>
            </w:r>
            <w:r>
              <w:rPr>
                <w:rFonts w:hint="default" w:ascii="Times New Roman" w:hAnsi="Times New Roman" w:eastAsia="宋体" w:cs="Times New Roman"/>
                <w:color w:val="000000" w:themeColor="text1"/>
                <w:sz w:val="21"/>
                <w:szCs w:val="21"/>
              </w:rPr>
              <w:t>为了契合当前产业政策要求及扩大生产规模，形成集约化生产，降低单位产品生产成本，旬阳县恒欣矿业有限公司拟在现有矿山基础上，建设旬阳县赤岩镇水磨河口构皮沟毒重石（重晶石及伴生毒重石）矿扩建项目。根据安康市政府、安康市国土资源局及安康市安全生产监督管理局对矿山最低生产规模的要求，本项目扩建完成后，矿山产能将由3万吨</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rPr>
              <w:t>年提升至5万吨/年。</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探索建立矿山生态环境恢复补偿制度。</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本项目已于2015年12月完成本项目矿山地质环境保护与恢复治理方案中已明确规定了各项补偿措施</w:t>
            </w:r>
            <w:r>
              <w:rPr>
                <w:rFonts w:hint="default" w:ascii="Times New Roman" w:hAnsi="Times New Roman" w:eastAsia="宋体" w:cs="Times New Roman"/>
                <w:color w:val="000000" w:themeColor="text1"/>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olor w:val="000000" w:themeColor="text1"/>
                <w:sz w:val="21"/>
                <w:szCs w:val="21"/>
              </w:rPr>
              <w:t>《国土资源部关于进一步加强土地整理复垦开发工作的通知》</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themeColor="text1"/>
                <w:sz w:val="21"/>
                <w:szCs w:val="21"/>
              </w:rPr>
            </w:pPr>
            <w:r>
              <w:rPr>
                <w:rFonts w:hint="eastAsia"/>
                <w:color w:val="000000" w:themeColor="text1"/>
                <w:sz w:val="21"/>
                <w:szCs w:val="21"/>
              </w:rPr>
              <w:t>要切实加强生产建设用地的复垦工作。强化源头控制，把土地复垦与生产建设垦规定，同步规划，同步实施。要全面落实国务院七部委有关土地复编制好复垦方案，完善责任机制，落实复垦任务。</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eastAsiaTheme="minorEastAsia"/>
                <w:b w:val="0"/>
                <w:bCs w:val="0"/>
                <w:color w:val="000000" w:themeColor="text1"/>
                <w:sz w:val="21"/>
                <w:szCs w:val="21"/>
                <w:vertAlign w:val="baseline"/>
                <w:lang w:val="en-US" w:eastAsia="zh-CN"/>
              </w:rPr>
            </w:pPr>
            <w:r>
              <w:rPr>
                <w:rFonts w:hint="eastAsia"/>
                <w:color w:val="000000" w:themeColor="text1"/>
                <w:sz w:val="21"/>
                <w:szCs w:val="21"/>
              </w:rPr>
              <w:t>本项目已编制《陕西省旬阳县赤岩镇水磨河口构皮沟毒重石矿矿山地质环境保护与恢复治理方案》</w:t>
            </w:r>
            <w:r>
              <w:rPr>
                <w:rFonts w:hint="eastAsia"/>
                <w:color w:val="000000" w:themeColor="text1"/>
                <w:sz w:val="21"/>
                <w:szCs w:val="21"/>
                <w:lang w:val="en-US" w:eastAsia="zh-CN"/>
              </w:rPr>
              <w:t>与《旬阳县赤岩镇水磨沟口构皮沟毒重石矿矿山地质环境保护与土地复垦方案》</w:t>
            </w:r>
            <w:r>
              <w:rPr>
                <w:rFonts w:hint="eastAsia"/>
                <w:color w:val="000000" w:themeColor="text1"/>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color w:val="FF0000"/>
                <w:sz w:val="21"/>
                <w:szCs w:val="21"/>
              </w:rPr>
              <w:t>《矿山生态环境保护与污染防治技术政策</w:t>
            </w:r>
            <w:r>
              <w:rPr>
                <w:rFonts w:hint="default" w:ascii="Times New Roman" w:hAnsi="Times New Roman" w:eastAsia="宋体" w:cs="Times New Roman"/>
                <w:b w:val="0"/>
                <w:bCs w:val="0"/>
                <w:color w:val="FF0000"/>
                <w:sz w:val="21"/>
                <w:szCs w:val="21"/>
              </w:rPr>
              <w:t>》环发</w:t>
            </w:r>
            <w:r>
              <w:rPr>
                <w:rFonts w:hint="default" w:ascii="Times New Roman" w:hAnsi="Times New Roman" w:eastAsia="宋体" w:cs="Times New Roman"/>
                <w:i w:val="0"/>
                <w:caps w:val="0"/>
                <w:color w:val="FF0000"/>
                <w:spacing w:val="0"/>
                <w:sz w:val="21"/>
                <w:szCs w:val="21"/>
                <w:shd w:val="clear" w:fill="FFFFFF"/>
              </w:rPr>
              <w:t>〔</w:t>
            </w:r>
            <w:r>
              <w:rPr>
                <w:rFonts w:hint="default" w:ascii="Times New Roman" w:hAnsi="Times New Roman" w:eastAsia="宋体" w:cs="Times New Roman"/>
                <w:color w:val="FF0000"/>
                <w:sz w:val="21"/>
                <w:szCs w:val="21"/>
                <w:lang w:val="en-US" w:eastAsia="zh-CN"/>
              </w:rPr>
              <w:t>2005</w:t>
            </w:r>
            <w:r>
              <w:rPr>
                <w:rFonts w:hint="default" w:ascii="Times New Roman" w:hAnsi="Times New Roman" w:eastAsia="宋体" w:cs="Times New Roman"/>
                <w:i w:val="0"/>
                <w:caps w:val="0"/>
                <w:color w:val="FF0000"/>
                <w:spacing w:val="0"/>
                <w:sz w:val="21"/>
                <w:szCs w:val="21"/>
                <w:shd w:val="clear" w:fill="FFFFFF"/>
              </w:rPr>
              <w:t>〕</w:t>
            </w:r>
            <w:r>
              <w:rPr>
                <w:rFonts w:hint="default" w:ascii="Times New Roman" w:hAnsi="Times New Roman" w:eastAsia="宋体" w:cs="Times New Roman"/>
                <w:b w:val="0"/>
                <w:bCs w:val="0"/>
                <w:color w:val="FF0000"/>
                <w:sz w:val="21"/>
                <w:szCs w:val="21"/>
              </w:rPr>
              <w:t>109号</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禁止在依法划定的自然保护区（核心区、缓冲区）、风景名胜区、森林公园、</w:t>
            </w:r>
            <w:r>
              <w:rPr>
                <w:rFonts w:hint="default" w:ascii="Times New Roman" w:hAnsi="Times New Roman" w:eastAsia="宋体" w:cs="Times New Roman"/>
                <w:color w:val="FF0000"/>
                <w:sz w:val="21"/>
                <w:szCs w:val="21"/>
                <w:lang w:val="en-US" w:eastAsia="zh-CN"/>
              </w:rPr>
              <w:t>饮用</w:t>
            </w:r>
            <w:r>
              <w:rPr>
                <w:rFonts w:hint="default" w:ascii="Times New Roman" w:hAnsi="Times New Roman" w:eastAsia="宋体" w:cs="Times New Roman"/>
                <w:color w:val="FF0000"/>
                <w:sz w:val="21"/>
                <w:szCs w:val="21"/>
              </w:rPr>
              <w:t>水水源保护区、重要湖泊周边、文物古迹所在地、地质遗迹保护区、基本农田保护区等区域内采矿</w:t>
            </w:r>
            <w:r>
              <w:rPr>
                <w:rFonts w:hint="eastAsia" w:ascii="Times New Roman" w:hAnsi="Times New Roman" w:eastAsia="宋体" w:cs="Times New Roman"/>
                <w:color w:val="FF0000"/>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color w:val="FF0000"/>
                <w:sz w:val="21"/>
                <w:szCs w:val="21"/>
              </w:rPr>
              <w:t>本项目不涉及《矿山生态环境保护与污染防治技术政策》中提及的区域</w:t>
            </w:r>
            <w:r>
              <w:rPr>
                <w:rFonts w:hint="eastAsia" w:ascii="Times New Roman" w:hAnsi="Times New Roman" w:eastAsia="宋体" w:cs="Times New Roman"/>
                <w:color w:val="FF0000"/>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应建造专用的尾矿库，并采取措施防止尾矿库的二次环境污染及诱发次生地质灾害；推广选矿固体废物的综合利用技术</w:t>
            </w:r>
            <w:r>
              <w:rPr>
                <w:rFonts w:hint="eastAsia" w:ascii="Times New Roman" w:hAnsi="Times New Roman" w:eastAsia="宋体" w:cs="Times New Roman"/>
                <w:color w:val="FF0000"/>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color w:val="FF0000"/>
                <w:sz w:val="21"/>
                <w:szCs w:val="21"/>
                <w:lang w:val="en-US" w:eastAsia="zh-CN"/>
              </w:rPr>
              <w:t>本项目仅为采矿，不涉及选矿，无尾矿库。现有项目的废石场按照土地复垦方案进行生态恢复。扩建项目废石除矿区基建和道路建设，其余全部</w:t>
            </w:r>
            <w:r>
              <w:rPr>
                <w:rFonts w:hint="default" w:ascii="Times New Roman" w:hAnsi="Times New Roman" w:eastAsia="宋体" w:cs="Times New Roman"/>
                <w:color w:val="FF0000"/>
                <w:sz w:val="21"/>
                <w:szCs w:val="21"/>
              </w:rPr>
              <w:t>作为充填料，充填采空区</w:t>
            </w:r>
            <w:r>
              <w:rPr>
                <w:rFonts w:hint="eastAsia" w:ascii="Times New Roman" w:hAnsi="Times New Roman" w:eastAsia="宋体" w:cs="Times New Roman"/>
                <w:color w:val="FF0000"/>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矿山资源的开发应贯彻“污染防治与生态环境保护并重，生态环境保护与生态环境建设并举；以及预防为主，防治结合、过程控制、综合治理”的指导方针。</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本项目为地下开采，对生态地质环境的影响以预防为主，开采过程中采取防治结合的措施，保证污染物达标排放，对已经造成的生态环境影响采取综合治理的措施。</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2015年，</w:t>
            </w:r>
            <w:r>
              <w:rPr>
                <w:rFonts w:hint="eastAsia" w:ascii="Times New Roman" w:hAnsi="Times New Roman" w:eastAsia="宋体" w:cs="Times New Roman"/>
                <w:color w:val="FF0000"/>
                <w:sz w:val="21"/>
                <w:szCs w:val="21"/>
                <w:lang w:eastAsia="zh-CN"/>
              </w:rPr>
              <w:t>历史遗留矿山开采破坏土地复垦率达到</w:t>
            </w:r>
            <w:r>
              <w:rPr>
                <w:rFonts w:hint="eastAsia" w:ascii="Times New Roman" w:hAnsi="Times New Roman" w:eastAsia="宋体" w:cs="Times New Roman"/>
                <w:color w:val="FF0000"/>
                <w:sz w:val="21"/>
                <w:szCs w:val="21"/>
                <w:lang w:val="en-US" w:eastAsia="zh-CN"/>
              </w:rPr>
              <w:t>45%以上，新建矿山应做到边开采、边复垦，破坏土地复垦率达到85%以上。</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本项目为扩建项目，对现有项目的废石场进行100%的土地复垦，项目闭矿后，对占用的土地全部进行复垦。</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鼓励奖矿坑水优先利用为生产用水，作为辅助水源加以利用。</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本项目利用矿坑涌水进行降尘。</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 xml:space="preserve"> </w:t>
            </w:r>
            <w:r>
              <w:rPr>
                <w:rFonts w:hint="eastAsia" w:ascii="Times New Roman" w:hAnsi="Times New Roman" w:eastAsia="宋体" w:cs="Times New Roman"/>
                <w:color w:val="FF0000"/>
                <w:sz w:val="21"/>
                <w:szCs w:val="21"/>
                <w:lang w:val="en-US" w:eastAsia="zh-CN"/>
              </w:rPr>
              <w:t>对采矿活动产生的固体废物，应使用专用场所堆放，并采取有效措施防止二次环境污染及诱发此生地质灾害。</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本项目现有工程产生的废石堆放于废石场，废石场已根据本项目的矿山地质环境保护与土地复垦方案进行恢复治理，扩建项目产生的废石用于基建，其余全部井下充填，不外排，扩建项目不新建废石场。</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9" w:hRule="atLeast"/>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应根据采矿固体废物的性质、贮存场所的工程地质情况，采用完善的防渗、集排水措施，防止淋溶水污染地表水和地下水。</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根据废石浸出试验可知，本项目废石为</w:t>
            </w:r>
            <w:r>
              <w:rPr>
                <w:rFonts w:hint="default" w:ascii="Times New Roman" w:hAnsi="Times New Roman" w:eastAsia="宋体" w:cs="Times New Roman"/>
                <w:color w:val="FF0000"/>
                <w:sz w:val="21"/>
                <w:szCs w:val="21"/>
                <w:lang w:val="en-US" w:eastAsia="zh-CN"/>
              </w:rPr>
              <w:t>I类一般工业固体废物</w:t>
            </w:r>
            <w:r>
              <w:rPr>
                <w:rFonts w:hint="eastAsia" w:ascii="Times New Roman" w:hAnsi="Times New Roman" w:eastAsia="宋体" w:cs="Times New Roman"/>
                <w:color w:val="FF0000"/>
                <w:sz w:val="21"/>
                <w:szCs w:val="21"/>
                <w:lang w:val="en-US" w:eastAsia="zh-CN"/>
              </w:rPr>
              <w:t>。本项目K2矿体建设期产生的废石，由于矿坑尚未形成，不能及时回填采空区，建设期产生的废石临时堆放于PD750附近的废石临时堆棚，临时堆棚地面做防渗处理，不会污染地下水和地表水。</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矿山生产过程中应采取种植植物和覆盖等复垦措施，对露天坑、废石场、尾矿库、矸石山等永久性坡面进行稳定化处理，防止水土流失和滑坡。</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本项目现有工程的废石场已根据本项目的矿山地质环境保护与土地复垦方案进行恢复治理。</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rPr>
              <w:t>《矿山生态环境保护与恢复治理技术规范》（试行）</w:t>
            </w:r>
            <w:r>
              <w:rPr>
                <w:rFonts w:hint="default" w:ascii="Times New Roman" w:hAnsi="Times New Roman" w:eastAsia="宋体" w:cs="Times New Roman"/>
                <w:b w:val="0"/>
                <w:bCs w:val="0"/>
                <w:color w:val="000000" w:themeColor="text1"/>
                <w:sz w:val="21"/>
                <w:szCs w:val="21"/>
              </w:rPr>
              <w:t>（HJ651-2013）</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禁止在依法划定的自然保护区、风景名胜区、森林公园、饮用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r>
              <w:rPr>
                <w:rFonts w:hint="eastAsia" w:ascii="Times New Roman" w:hAnsi="Times New Roman" w:eastAsia="宋体" w:cs="Times New Roman"/>
                <w:color w:val="000000" w:themeColor="text1"/>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本项目不涉及《矿山生态环境保护与恢复治理技术规范》（试行）中提及的区域，本项目为地下开开采</w:t>
            </w:r>
            <w:r>
              <w:rPr>
                <w:rFonts w:hint="eastAsia" w:ascii="Times New Roman" w:hAnsi="Times New Roman" w:eastAsia="宋体" w:cs="Times New Roman"/>
                <w:color w:val="000000" w:themeColor="text1"/>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所有矿山企业均应按照本标准各项要求，编制实施矿山生态环境保护与恢复治理方案</w:t>
            </w:r>
            <w:r>
              <w:rPr>
                <w:rFonts w:hint="eastAsia" w:ascii="Times New Roman" w:hAnsi="Times New Roman" w:eastAsia="宋体" w:cs="Times New Roman"/>
                <w:color w:val="000000" w:themeColor="text1"/>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本项目</w:t>
            </w:r>
            <w:r>
              <w:rPr>
                <w:rFonts w:hint="eastAsia" w:ascii="Times New Roman" w:hAnsi="Times New Roman" w:eastAsia="宋体" w:cs="Times New Roman"/>
                <w:color w:val="000000" w:themeColor="text1"/>
                <w:sz w:val="21"/>
                <w:szCs w:val="21"/>
                <w:lang w:val="en-US" w:eastAsia="zh-CN"/>
              </w:rPr>
              <w:t>2015年12月</w:t>
            </w:r>
            <w:r>
              <w:rPr>
                <w:rFonts w:hint="default" w:ascii="Times New Roman" w:hAnsi="Times New Roman" w:eastAsia="宋体" w:cs="Times New Roman"/>
                <w:color w:val="000000" w:themeColor="text1"/>
                <w:sz w:val="21"/>
                <w:szCs w:val="21"/>
              </w:rPr>
              <w:t>已编制了</w:t>
            </w:r>
            <w:r>
              <w:rPr>
                <w:rFonts w:hint="eastAsia"/>
                <w:color w:val="000000" w:themeColor="text1"/>
                <w:sz w:val="21"/>
                <w:szCs w:val="21"/>
              </w:rPr>
              <w:t>《陕西省旬阳县赤岩镇水磨河口构皮沟毒重石矿矿山地质环境保护与恢复治理方案》</w:t>
            </w:r>
            <w:r>
              <w:rPr>
                <w:rFonts w:hint="eastAsia" w:ascii="Times New Roman" w:hAnsi="Times New Roman" w:eastAsia="宋体" w:cs="Times New Roman"/>
                <w:color w:val="000000" w:themeColor="text1"/>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矿区专用道路选线应绕避环境敏感区和环境敏感点，防止对环境保护敏感目标造成不利影响</w:t>
            </w:r>
            <w:r>
              <w:rPr>
                <w:rFonts w:hint="eastAsia" w:ascii="Times New Roman" w:hAnsi="Times New Roman" w:eastAsia="宋体" w:cs="Times New Roman"/>
                <w:color w:val="000000" w:themeColor="text1"/>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K1矿体道路主要利用原有村道改建而成，K2矿体新建道路</w:t>
            </w:r>
            <w:r>
              <w:rPr>
                <w:rFonts w:hint="default" w:ascii="Times New Roman" w:hAnsi="Times New Roman" w:eastAsia="宋体" w:cs="Times New Roman"/>
                <w:color w:val="000000" w:themeColor="text1"/>
                <w:sz w:val="21"/>
                <w:szCs w:val="21"/>
              </w:rPr>
              <w:t>长度</w:t>
            </w: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.0km，道路宽</w:t>
            </w:r>
            <w:r>
              <w:rPr>
                <w:rFonts w:hint="eastAsia" w:ascii="Times New Roman" w:hAnsi="Times New Roman" w:eastAsia="宋体" w:cs="Times New Roman"/>
                <w:color w:val="000000" w:themeColor="text1"/>
                <w:sz w:val="21"/>
                <w:szCs w:val="21"/>
                <w:lang w:val="en-US" w:eastAsia="zh-CN"/>
              </w:rPr>
              <w:t>约</w:t>
            </w:r>
            <w:r>
              <w:rPr>
                <w:rFonts w:hint="default" w:ascii="Times New Roman" w:hAnsi="Times New Roman" w:eastAsia="宋体" w:cs="Times New Roman"/>
                <w:color w:val="000000" w:themeColor="text1"/>
                <w:sz w:val="21"/>
                <w:szCs w:val="21"/>
              </w:rPr>
              <w:t>3m，</w:t>
            </w:r>
            <w:r>
              <w:rPr>
                <w:rFonts w:hint="eastAsia" w:ascii="Times New Roman" w:hAnsi="Times New Roman" w:eastAsia="宋体" w:cs="Times New Roman"/>
                <w:color w:val="000000" w:themeColor="text1"/>
                <w:sz w:val="21"/>
                <w:szCs w:val="21"/>
                <w:lang w:eastAsia="zh-CN"/>
              </w:rPr>
              <w:t>主要依托现有的山路建设，</w:t>
            </w:r>
            <w:r>
              <w:rPr>
                <w:rFonts w:hint="default" w:ascii="Times New Roman" w:hAnsi="Times New Roman" w:eastAsia="宋体" w:cs="Times New Roman"/>
                <w:color w:val="000000" w:themeColor="text1"/>
                <w:sz w:val="21"/>
                <w:szCs w:val="21"/>
              </w:rPr>
              <w:t>不占有基本农田，不涉及自然保护区、饮用水源地保护区</w:t>
            </w:r>
            <w:r>
              <w:rPr>
                <w:rFonts w:hint="eastAsia" w:ascii="Times New Roman" w:hAnsi="Times New Roman" w:eastAsia="宋体" w:cs="Times New Roman"/>
                <w:color w:val="000000" w:themeColor="text1"/>
                <w:sz w:val="21"/>
                <w:szCs w:val="21"/>
                <w:lang w:eastAsia="zh-CN"/>
              </w:rPr>
              <w:t>等保护目标</w:t>
            </w:r>
            <w:r>
              <w:rPr>
                <w:rFonts w:hint="default" w:ascii="Times New Roman" w:hAnsi="Times New Roman" w:eastAsia="宋体" w:cs="Times New Roman"/>
                <w:color w:val="000000" w:themeColor="text1"/>
                <w:sz w:val="21"/>
                <w:szCs w:val="21"/>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val="0"/>
                <w:bCs w:val="0"/>
                <w:color w:val="000000" w:themeColor="text1"/>
                <w:sz w:val="21"/>
                <w:szCs w:val="21"/>
              </w:rPr>
              <w:t>《关于加快建设绿色矿山的实施意见》国土资规</w:t>
            </w:r>
            <w:r>
              <w:rPr>
                <w:rFonts w:ascii="Arial" w:hAnsi="Arial" w:eastAsia="宋体" w:cs="Arial"/>
                <w:i w:val="0"/>
                <w:caps w:val="0"/>
                <w:color w:val="000000" w:themeColor="text1"/>
                <w:spacing w:val="0"/>
                <w:sz w:val="21"/>
                <w:szCs w:val="21"/>
                <w:shd w:val="clear" w:fill="FFFFFF"/>
              </w:rPr>
              <w:t>〔</w:t>
            </w:r>
            <w:r>
              <w:rPr>
                <w:rFonts w:hint="eastAsia" w:ascii="Times New Roman" w:hAnsi="Times New Roman" w:eastAsia="宋体" w:cs="Times New Roman"/>
                <w:color w:val="000000" w:themeColor="text1"/>
                <w:sz w:val="21"/>
                <w:szCs w:val="21"/>
                <w:lang w:val="en-US" w:eastAsia="zh-CN"/>
              </w:rPr>
              <w:t>2017</w:t>
            </w:r>
            <w:r>
              <w:rPr>
                <w:rFonts w:ascii="Arial" w:hAnsi="Arial" w:eastAsia="宋体" w:cs="Arial"/>
                <w:i w:val="0"/>
                <w:caps w:val="0"/>
                <w:color w:val="000000" w:themeColor="text1"/>
                <w:spacing w:val="0"/>
                <w:sz w:val="21"/>
                <w:szCs w:val="21"/>
                <w:shd w:val="clear" w:fill="FFFFFF"/>
              </w:rPr>
              <w:t>〕</w:t>
            </w:r>
            <w:r>
              <w:rPr>
                <w:rFonts w:hint="default" w:ascii="Times New Roman" w:hAnsi="Times New Roman" w:eastAsia="宋体" w:cs="Times New Roman"/>
                <w:b w:val="0"/>
                <w:bCs w:val="0"/>
                <w:color w:val="000000" w:themeColor="text1"/>
                <w:sz w:val="21"/>
                <w:szCs w:val="21"/>
              </w:rPr>
              <w:t>4号</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坚持</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尽职尽责保护国土资源、节约集约利用国土资源、尽心尽力维护群众权益</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的工作定位，紧紧围绕生态文明建设总体要求，通过政府引导、企业主体、标准领跑、政策扶持，创新机制、强化监管，落实责任、激发活力，将绿色发展理念贯穿于矿产资源规划、勘查、开发利用于保护全过程，引领和带动传统矿业转型升级，提升矿业发展质量和效益</w:t>
            </w:r>
            <w:r>
              <w:rPr>
                <w:rFonts w:hint="eastAsia" w:ascii="Times New Roman" w:hAnsi="Times New Roman" w:eastAsia="宋体" w:cs="Times New Roman"/>
                <w:color w:val="000000" w:themeColor="text1"/>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000000" w:themeColor="text1"/>
                <w:sz w:val="21"/>
                <w:szCs w:val="21"/>
                <w:lang w:eastAsia="zh-CN"/>
              </w:rPr>
            </w:pPr>
            <w:r>
              <w:rPr>
                <w:rFonts w:hint="eastAsia"/>
                <w:color w:val="000000" w:themeColor="text1"/>
                <w:lang w:val="en-US" w:eastAsia="zh-CN"/>
              </w:rPr>
              <w:t>扩建项目严格控制临时占地面积，优化施工方式，减少生态影响。严格按照</w:t>
            </w:r>
            <w:r>
              <w:rPr>
                <w:rFonts w:hint="default" w:ascii="Times New Roman" w:hAnsi="Times New Roman" w:eastAsia="宋体" w:cs="Times New Roman"/>
                <w:color w:val="000000" w:themeColor="text1"/>
                <w:lang w:val="en-US" w:eastAsia="zh-CN"/>
              </w:rPr>
              <w:t>《非金属矿行业绿色矿山建设规范》（DZ/T0312-2018）</w:t>
            </w:r>
            <w:r>
              <w:rPr>
                <w:rFonts w:hint="eastAsia" w:ascii="Times New Roman" w:hAnsi="Times New Roman" w:eastAsia="宋体" w:cs="Times New Roman"/>
                <w:color w:val="000000" w:themeColor="text1"/>
                <w:lang w:val="en-US" w:eastAsia="zh-CN"/>
              </w:rPr>
              <w:t>要求进行建设。本项目拟采取喷淋、洒水、湿式凿岩等措施防治扬尘污染；矿山生产废水在沉淀池沉淀后回用，清水采用高位水池存贮，生活饮用水单独存放；对产生噪声较大的机械设备采取隔声消声措施等；矿区内除废石场、工业场地、道路等区域，其余全部绿化，绿化率达到100%；扩建项目固体废物一部分用于矿区基建，其余全部井下填充；危险废物交由有资质单位处置；生活垃圾交由环卫部门处置，固废处置率可达到100%；本项目的开采回采率为90%，满足重晶石地下开采</w:t>
            </w:r>
            <w:r>
              <w:rPr>
                <w:rFonts w:hint="default" w:ascii="Arial" w:hAnsi="Arial" w:eastAsia="宋体" w:cs="Arial"/>
                <w:color w:val="000000" w:themeColor="text1"/>
                <w:lang w:val="en-US" w:eastAsia="zh-CN"/>
              </w:rPr>
              <w:t>≥</w:t>
            </w:r>
            <w:r>
              <w:rPr>
                <w:rFonts w:hint="eastAsia" w:ascii="Times New Roman" w:hAnsi="Times New Roman" w:eastAsia="宋体" w:cs="Times New Roman"/>
                <w:color w:val="000000" w:themeColor="text1"/>
                <w:lang w:val="en-US" w:eastAsia="zh-CN"/>
              </w:rPr>
              <w:t>85%的要求等。</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大力推进矿区土地节约集约利用和耕地保护</w:t>
            </w:r>
            <w:r>
              <w:rPr>
                <w:rFonts w:hint="eastAsia" w:ascii="Times New Roman" w:hAnsi="Times New Roman" w:eastAsia="宋体" w:cs="Times New Roman"/>
                <w:color w:val="000000" w:themeColor="text1"/>
                <w:sz w:val="21"/>
                <w:szCs w:val="2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w:t>
            </w:r>
            <w:r>
              <w:rPr>
                <w:rFonts w:hint="eastAsia" w:ascii="Times New Roman" w:hAnsi="Times New Roman" w:eastAsia="宋体" w:cs="Times New Roman"/>
                <w:color w:val="000000" w:themeColor="text1"/>
                <w:sz w:val="21"/>
                <w:szCs w:val="21"/>
                <w:lang w:val="en-US" w:eastAsia="zh-CN"/>
              </w:rPr>
              <w:t>为地下开采，占地面积相对较少，</w:t>
            </w:r>
            <w:r>
              <w:rPr>
                <w:rFonts w:hint="default" w:ascii="Times New Roman" w:hAnsi="Times New Roman" w:eastAsia="宋体" w:cs="Times New Roman"/>
                <w:color w:val="000000" w:themeColor="text1"/>
                <w:sz w:val="21"/>
                <w:szCs w:val="21"/>
              </w:rPr>
              <w:t>占地主要为</w:t>
            </w:r>
            <w:r>
              <w:rPr>
                <w:rFonts w:hint="eastAsia" w:ascii="Times New Roman" w:hAnsi="Times New Roman" w:eastAsia="宋体" w:cs="Times New Roman"/>
                <w:color w:val="000000" w:themeColor="text1"/>
                <w:sz w:val="21"/>
                <w:szCs w:val="21"/>
                <w:lang w:val="en-US" w:eastAsia="zh-CN"/>
              </w:rPr>
              <w:t>旱地</w:t>
            </w:r>
            <w:r>
              <w:rPr>
                <w:rFonts w:hint="default" w:ascii="Times New Roman" w:hAnsi="Times New Roman" w:eastAsia="宋体" w:cs="Times New Roman"/>
                <w:color w:val="000000" w:themeColor="text1"/>
                <w:sz w:val="21"/>
                <w:szCs w:val="21"/>
              </w:rPr>
              <w:t>和林地。</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eastAsia="zh-CN"/>
              </w:rPr>
              <w:t>《陕西省绿色矿山建设管理办法（试行）》陕自然资规</w:t>
            </w:r>
            <w:r>
              <w:rPr>
                <w:rFonts w:hint="eastAsia" w:ascii="黑体" w:hAnsi="黑体" w:eastAsia="黑体" w:cs="黑体"/>
                <w:color w:val="FF0000"/>
                <w:sz w:val="21"/>
                <w:szCs w:val="21"/>
                <w:lang w:eastAsia="zh-CN"/>
              </w:rPr>
              <w:t>〔</w:t>
            </w:r>
            <w:r>
              <w:rPr>
                <w:rFonts w:hint="eastAsia" w:ascii="Times New Roman" w:hAnsi="Times New Roman" w:eastAsia="宋体" w:cs="Times New Roman"/>
                <w:color w:val="FF0000"/>
                <w:sz w:val="21"/>
                <w:szCs w:val="21"/>
                <w:lang w:val="en-US" w:eastAsia="zh-CN"/>
              </w:rPr>
              <w:t>2019</w:t>
            </w:r>
            <w:r>
              <w:rPr>
                <w:rFonts w:hint="eastAsia" w:ascii="黑体" w:hAnsi="黑体" w:eastAsia="黑体" w:cs="黑体"/>
                <w:color w:val="FF0000"/>
                <w:sz w:val="21"/>
                <w:szCs w:val="21"/>
                <w:lang w:val="en-US" w:eastAsia="zh-CN"/>
              </w:rPr>
              <w:t>〕</w:t>
            </w:r>
            <w:r>
              <w:rPr>
                <w:rFonts w:hint="eastAsia" w:ascii="Times New Roman" w:hAnsi="Times New Roman" w:eastAsia="宋体" w:cs="Times New Roman"/>
                <w:color w:val="FF0000"/>
                <w:sz w:val="21"/>
                <w:szCs w:val="21"/>
                <w:lang w:val="en-US" w:eastAsia="zh-CN"/>
              </w:rPr>
              <w:t>1号</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本省行政区域范围内，从事矿产资源开采的在建、生产矿山的采矿权人应当按本办法建设绿色矿山。</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eastAsia="zh-CN"/>
              </w:rPr>
              <w:t>本项目为扩建的矿产资源开采项目，应当按照本办法建设绿色矿山。</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B05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eastAsia="zh-CN"/>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建设绿色矿山应编制绿色矿山建设实施方案。新建矿山应在取得采矿许可证之日起六个月内完成实施方案编制工作。本办法施行前取得采矿许可证的生产矿山，应自本办法施行之日起一年内完成实施方案编制工作。</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eastAsia="zh-CN"/>
              </w:rPr>
              <w:t>本项目</w:t>
            </w:r>
            <w:r>
              <w:rPr>
                <w:rFonts w:hint="eastAsia" w:ascii="Times New Roman" w:hAnsi="Times New Roman" w:eastAsia="宋体" w:cs="Times New Roman"/>
                <w:color w:val="FF0000"/>
                <w:sz w:val="21"/>
                <w:szCs w:val="21"/>
                <w:lang w:val="en-US" w:eastAsia="zh-CN"/>
              </w:rPr>
              <w:t>应按照要求尽快编制绿色矿山建设实施方案</w:t>
            </w:r>
            <w:r>
              <w:rPr>
                <w:rFonts w:hint="eastAsia" w:ascii="Times New Roman" w:hAnsi="Times New Roman" w:eastAsia="宋体" w:cs="Times New Roman"/>
                <w:color w:val="FF0000"/>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《陕西省人民政府关于印发省矿产资源开发保发展治粗放保安全治隐患保生态治污染行动计划（2016-2020年）的通知》</w:t>
            </w: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生态环境影响大幅降低。自然保护区、森林公园、沙化土地封禁区、水源保护区、居民集中生活区和重要交通干线、河流湖泊直观可视范围内矿山逐步依法退出。矿山生态环境恢复治理率达到80%；尾矿、废渣利用率达60%以上，矿山废水、废气、粉尘排放全面达标，矿山人为重金属污染基本根治。</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2"/>
                <w:sz w:val="21"/>
                <w:szCs w:val="21"/>
              </w:rPr>
              <w:t>本项目不位于</w:t>
            </w:r>
            <w:r>
              <w:rPr>
                <w:rFonts w:hint="default" w:ascii="Times New Roman" w:hAnsi="Times New Roman" w:eastAsia="宋体" w:cs="Times New Roman"/>
                <w:color w:val="000000" w:themeColor="text1"/>
                <w:sz w:val="21"/>
                <w:szCs w:val="21"/>
              </w:rPr>
              <w:t>自然保护区、森林公园、沙化土地封禁区、水源保护区、居民集中生活区和重要交通干线、河流湖泊直观可视范围内，本项目将严格按照要求对废水、废渣等合理利用，减少生态环境破坏</w:t>
            </w:r>
            <w:r>
              <w:rPr>
                <w:rFonts w:hint="eastAsia" w:ascii="Times New Roman" w:hAnsi="Times New Roman" w:eastAsia="宋体" w:cs="Times New Roman"/>
                <w:color w:val="000000" w:themeColor="text1"/>
                <w:sz w:val="21"/>
                <w:szCs w:val="21"/>
                <w:lang w:eastAsia="zh-CN"/>
              </w:rPr>
              <w:t>。</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发挥特色资源优势，加快建设陕北高端能源化工基地，陕南金属非金属绿色采掘、加工基地，关中矿业经济研发创新基地，形成特色鲜明、优势互补的矿产开发格局（省发展改革委、省国土资源厅、省科技厅负责）。加大金属、非金属加工配套项目建设力度，延伸产业链条，力争省内深加工率不低于80%</w:t>
            </w:r>
            <w:r>
              <w:rPr>
                <w:rFonts w:hint="default" w:ascii="Times New Roman" w:hAnsi="Times New Roman" w:eastAsia="宋体" w:cs="Times New Roman"/>
                <w:color w:val="000000" w:themeColor="text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本项目属于化学矿开采，为地下开采，通过对废水、废气、固废等采取相应的治理措施，符合绿色采掘的要求，本项目只进行采掘，没有加工环节。</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9" w:hRule="atLeast"/>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p>
        </w:tc>
        <w:tc>
          <w:tcPr>
            <w:tcW w:w="33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严禁在国家自然保护区、森林公园、沙化土地封禁区、地质公园、重要湿地、水源保护地等重要生态区域一定范围内新设探矿权和采矿权，对已有的矿业权，区分不同情况，依法限期退出或调整</w:t>
            </w:r>
            <w:r>
              <w:rPr>
                <w:rFonts w:hint="default" w:ascii="Times New Roman" w:hAnsi="Times New Roman" w:eastAsia="宋体" w:cs="Times New Roman"/>
                <w:color w:val="000000" w:themeColor="text1"/>
                <w:lang w:eastAsia="zh-CN"/>
              </w:rPr>
              <w:t>。</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rPr>
              <w:t>本项目不涉及以上重要生态敏感区</w:t>
            </w:r>
            <w:r>
              <w:rPr>
                <w:rFonts w:hint="default"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 xml:space="preserve"> </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rPr>
              <w:t>《陕西省矿产资源开发</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保生态治污染</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行动方案（2016-2020年）》</w:t>
            </w:r>
          </w:p>
        </w:tc>
        <w:tc>
          <w:tcPr>
            <w:tcW w:w="3391" w:type="dxa"/>
            <w:tcBorders>
              <w:tl2br w:val="nil"/>
              <w:tr2bl w:val="nil"/>
            </w:tcBorders>
            <w:vAlign w:val="center"/>
          </w:tcPr>
          <w:p>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outlineLvl w:val="9"/>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kern w:val="2"/>
                <w:sz w:val="21"/>
                <w:szCs w:val="24"/>
                <w:lang w:val="en-US" w:eastAsia="zh-CN" w:bidi="ar-SA"/>
              </w:rPr>
              <w:t>针对矿山开采、破碎、生产、堆放及装卸等过程中产生的粉尘污染，严格落实扬尘污染治理措施。对扬尘点安装喷淋装置，对成品堆放区实行封闭管理并采取抑尘措施，设置不低于堆放物高度的密闭围栏，并按规范建设防风抑尘网，安装喷淋抑尘设施，完善物料堆场抑尘措施</w:t>
            </w:r>
            <w:r>
              <w:rPr>
                <w:rFonts w:hint="eastAsia" w:ascii="Times New Roman" w:hAnsi="Times New Roman" w:cs="Times New Roman"/>
                <w:color w:val="FF0000"/>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建立重金属重点区域、汉丹江流域重金属防控预警应急监测体系，强化环境风险评估和应急管理，大力整治不规范排渣、弃石行为。</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2"/>
                <w:sz w:val="21"/>
                <w:szCs w:val="21"/>
              </w:rPr>
              <w:t>本项目</w:t>
            </w:r>
            <w:r>
              <w:rPr>
                <w:rFonts w:hint="eastAsia" w:ascii="Times New Roman" w:hAnsi="Times New Roman" w:eastAsia="宋体" w:cs="Times New Roman"/>
                <w:color w:val="000000" w:themeColor="text1"/>
                <w:kern w:val="2"/>
                <w:sz w:val="21"/>
                <w:szCs w:val="21"/>
                <w:lang w:val="en-US" w:eastAsia="zh-CN"/>
              </w:rPr>
              <w:t>矿石在硐口临时堆放，环评要求建设单位在矿石堆场建设堆棚，可有效减少粉尘排放量以及雨水的淋滤，在装卸过程中进行洒水降尘</w:t>
            </w:r>
            <w:r>
              <w:rPr>
                <w:rFonts w:hint="default" w:ascii="Times New Roman" w:hAnsi="Times New Roman" w:eastAsia="宋体" w:cs="Times New Roman"/>
                <w:color w:val="000000" w:themeColor="text1"/>
                <w:kern w:val="2"/>
                <w:sz w:val="21"/>
                <w:szCs w:val="21"/>
              </w:rPr>
              <w:t>。</w:t>
            </w:r>
            <w:r>
              <w:rPr>
                <w:rFonts w:hint="eastAsia" w:ascii="Times New Roman" w:hAnsi="Times New Roman" w:eastAsia="宋体" w:cs="Times New Roman"/>
                <w:color w:val="000000" w:themeColor="text1"/>
                <w:kern w:val="2"/>
                <w:sz w:val="21"/>
                <w:szCs w:val="21"/>
                <w:lang w:val="en-US" w:eastAsia="zh-CN"/>
              </w:rPr>
              <w:t>本次扩建</w:t>
            </w:r>
            <w:r>
              <w:rPr>
                <w:rFonts w:hint="default" w:ascii="Times New Roman" w:hAnsi="Times New Roman" w:eastAsia="宋体" w:cs="Times New Roman"/>
                <w:color w:val="000000" w:themeColor="text1"/>
                <w:kern w:val="2"/>
                <w:sz w:val="21"/>
                <w:szCs w:val="21"/>
              </w:rPr>
              <w:t>项目采矿废石</w:t>
            </w:r>
            <w:r>
              <w:rPr>
                <w:rFonts w:hint="eastAsia" w:ascii="Times New Roman" w:hAnsi="Times New Roman" w:eastAsia="宋体" w:cs="Times New Roman"/>
                <w:color w:val="000000" w:themeColor="text1"/>
                <w:kern w:val="2"/>
                <w:sz w:val="21"/>
                <w:szCs w:val="21"/>
                <w:lang w:val="en-US" w:eastAsia="zh-CN"/>
              </w:rPr>
              <w:t>全部用于矿区基建和场区内修建道路，其余全部在井下充填，项目无弃石行为。</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tcBorders>
              <w:tl2br w:val="nil"/>
              <w:tr2bl w:val="nil"/>
            </w:tcBorders>
            <w:vAlign w:val="center"/>
          </w:tcPr>
          <w:p>
            <w:pPr>
              <w:overflowPunct/>
              <w:topLinePunct/>
              <w:adjustRightInd w:val="0"/>
              <w:snapToGrid w:val="0"/>
              <w:spacing w:line="240" w:lineRule="atLeast"/>
              <w:ind w:firstLine="0" w:firstLineChars="0"/>
              <w:rPr>
                <w:rFonts w:hint="default" w:asciiTheme="minorHAnsi" w:hAnsiTheme="minorHAnsi" w:eastAsiaTheme="minorEastAsia" w:cstheme="minorBidi"/>
                <w:snapToGrid w:val="0"/>
                <w:color w:val="FF0000"/>
                <w:kern w:val="2"/>
                <w:sz w:val="21"/>
                <w:szCs w:val="21"/>
                <w:lang w:val="en-US" w:eastAsia="zh-CN" w:bidi="ar-SA"/>
              </w:rPr>
            </w:pPr>
            <w:r>
              <w:rPr>
                <w:rStyle w:val="126"/>
                <w:rFonts w:hint="eastAsia" w:ascii="Times New Roman" w:hAnsi="Times New Roman" w:eastAsia="宋体" w:cs="Times New Roman"/>
                <w:snapToGrid w:val="0"/>
                <w:color w:val="FF0000"/>
                <w:spacing w:val="0"/>
                <w:sz w:val="21"/>
                <w:szCs w:val="21"/>
                <w:lang w:eastAsia="zh-CN"/>
              </w:rPr>
              <w:t>《</w:t>
            </w:r>
            <w:r>
              <w:rPr>
                <w:rStyle w:val="126"/>
                <w:rFonts w:ascii="Times New Roman" w:hAnsi="Times New Roman" w:eastAsia="宋体" w:cs="Times New Roman"/>
                <w:snapToGrid w:val="0"/>
                <w:color w:val="FF0000"/>
                <w:spacing w:val="0"/>
                <w:sz w:val="21"/>
                <w:szCs w:val="21"/>
              </w:rPr>
              <w:t>陕西省</w:t>
            </w:r>
            <w:r>
              <w:rPr>
                <w:rStyle w:val="126"/>
                <w:rFonts w:hint="eastAsia" w:ascii="Times New Roman" w:hAnsi="Times New Roman" w:eastAsia="宋体" w:cs="Times New Roman"/>
                <w:snapToGrid w:val="0"/>
                <w:color w:val="FF0000"/>
                <w:spacing w:val="0"/>
                <w:sz w:val="21"/>
                <w:szCs w:val="21"/>
                <w:lang w:eastAsia="zh-CN"/>
              </w:rPr>
              <w:t>“</w:t>
            </w:r>
            <w:r>
              <w:rPr>
                <w:rStyle w:val="126"/>
                <w:rFonts w:ascii="Times New Roman" w:hAnsi="Times New Roman" w:eastAsia="宋体" w:cs="Times New Roman"/>
                <w:snapToGrid w:val="0"/>
                <w:color w:val="FF0000"/>
                <w:spacing w:val="0"/>
                <w:sz w:val="21"/>
                <w:szCs w:val="21"/>
              </w:rPr>
              <w:t>十四五</w:t>
            </w:r>
            <w:r>
              <w:rPr>
                <w:rStyle w:val="126"/>
                <w:rFonts w:hint="eastAsia" w:ascii="Times New Roman" w:hAnsi="Times New Roman" w:eastAsia="宋体" w:cs="Times New Roman"/>
                <w:snapToGrid w:val="0"/>
                <w:color w:val="FF0000"/>
                <w:spacing w:val="0"/>
                <w:sz w:val="21"/>
                <w:szCs w:val="21"/>
                <w:lang w:eastAsia="zh-CN"/>
              </w:rPr>
              <w:t>”</w:t>
            </w:r>
            <w:r>
              <w:rPr>
                <w:rStyle w:val="126"/>
                <w:rFonts w:ascii="Times New Roman" w:hAnsi="Times New Roman" w:eastAsia="宋体" w:cs="Times New Roman"/>
                <w:snapToGrid w:val="0"/>
                <w:color w:val="FF0000"/>
                <w:spacing w:val="0"/>
                <w:sz w:val="21"/>
                <w:szCs w:val="21"/>
              </w:rPr>
              <w:t>环境保护规划</w:t>
            </w:r>
            <w:r>
              <w:rPr>
                <w:rStyle w:val="126"/>
                <w:rFonts w:hint="eastAsia" w:ascii="Times New Roman" w:hAnsi="Times New Roman" w:eastAsia="宋体" w:cs="Times New Roman"/>
                <w:snapToGrid w:val="0"/>
                <w:color w:val="FF0000"/>
                <w:spacing w:val="0"/>
                <w:sz w:val="21"/>
                <w:szCs w:val="21"/>
                <w:lang w:eastAsia="zh-CN"/>
              </w:rPr>
              <w:t>》</w:t>
            </w:r>
          </w:p>
        </w:tc>
        <w:tc>
          <w:tcPr>
            <w:tcW w:w="3391" w:type="dxa"/>
            <w:tcBorders>
              <w:tl2br w:val="nil"/>
              <w:tr2bl w:val="nil"/>
            </w:tcBorders>
            <w:vAlign w:val="center"/>
          </w:tcPr>
          <w:p>
            <w:pPr>
              <w:overflowPunct/>
              <w:topLinePunct/>
              <w:adjustRightInd w:val="0"/>
              <w:snapToGrid w:val="0"/>
              <w:spacing w:line="240" w:lineRule="atLeast"/>
              <w:ind w:firstLine="0" w:firstLineChars="0"/>
              <w:rPr>
                <w:rFonts w:hint="default" w:asciiTheme="minorHAnsi" w:hAnsiTheme="minorHAnsi" w:eastAsiaTheme="minorEastAsia" w:cstheme="minorBidi"/>
                <w:snapToGrid w:val="0"/>
                <w:color w:val="FF0000"/>
                <w:kern w:val="2"/>
                <w:sz w:val="21"/>
                <w:szCs w:val="21"/>
                <w:lang w:val="en-US" w:eastAsia="zh-CN" w:bidi="ar-SA"/>
              </w:rPr>
            </w:pPr>
            <w:r>
              <w:rPr>
                <w:rStyle w:val="126"/>
                <w:rFonts w:ascii="Times New Roman" w:hAnsi="Times New Roman" w:eastAsia="宋体" w:cs="Times New Roman"/>
                <w:snapToGrid w:val="0"/>
                <w:color w:val="FF0000"/>
                <w:spacing w:val="0"/>
                <w:sz w:val="21"/>
                <w:szCs w:val="21"/>
              </w:rPr>
              <w:t>推进绿色矿山建设。全面调查评价历史遗留矿山生态破坏与污染状况，督促矿山企业依法依规编制矿山地质环境保护与土地复垦方案，制定落实露天矿山生态修复计划。重点实施矿区地质环境治理、地形地貌重塑、植被重建等生态修复和土壤、水体污染治理工程，按照</w:t>
            </w:r>
            <w:r>
              <w:rPr>
                <w:rStyle w:val="126"/>
                <w:rFonts w:hint="eastAsia" w:ascii="Times New Roman" w:hAnsi="Times New Roman" w:eastAsia="宋体" w:cs="Times New Roman"/>
                <w:snapToGrid w:val="0"/>
                <w:color w:val="FF0000"/>
                <w:spacing w:val="0"/>
                <w:sz w:val="21"/>
                <w:szCs w:val="21"/>
                <w:lang w:eastAsia="zh-CN"/>
              </w:rPr>
              <w:t>“</w:t>
            </w:r>
            <w:r>
              <w:rPr>
                <w:rStyle w:val="126"/>
                <w:rFonts w:ascii="Times New Roman" w:hAnsi="Times New Roman" w:eastAsia="宋体" w:cs="Times New Roman"/>
                <w:snapToGrid w:val="0"/>
                <w:color w:val="FF0000"/>
                <w:spacing w:val="0"/>
                <w:sz w:val="21"/>
                <w:szCs w:val="21"/>
              </w:rPr>
              <w:t>谁破坏谁修复、谁修复谁受益</w:t>
            </w:r>
            <w:r>
              <w:rPr>
                <w:rStyle w:val="126"/>
                <w:rFonts w:hint="eastAsia" w:ascii="Times New Roman" w:hAnsi="Times New Roman" w:eastAsia="宋体" w:cs="Times New Roman"/>
                <w:snapToGrid w:val="0"/>
                <w:color w:val="FF0000"/>
                <w:spacing w:val="0"/>
                <w:sz w:val="21"/>
                <w:szCs w:val="21"/>
                <w:lang w:eastAsia="zh-CN"/>
              </w:rPr>
              <w:t>”</w:t>
            </w:r>
            <w:r>
              <w:rPr>
                <w:rStyle w:val="126"/>
                <w:rFonts w:ascii="Times New Roman" w:hAnsi="Times New Roman" w:eastAsia="宋体" w:cs="Times New Roman"/>
                <w:snapToGrid w:val="0"/>
                <w:color w:val="FF0000"/>
                <w:spacing w:val="0"/>
                <w:sz w:val="21"/>
                <w:szCs w:val="21"/>
              </w:rPr>
              <w:t>的原则，盘活矿区自然资源，探索利用市场化方式推进矿山生态修复，开展矿区污染治理和生态景观修复试点示范。落实绿色矿山标准和评价制度。</w:t>
            </w:r>
          </w:p>
        </w:tc>
        <w:tc>
          <w:tcPr>
            <w:tcW w:w="3199" w:type="dxa"/>
            <w:tcBorders>
              <w:tl2br w:val="nil"/>
              <w:tr2bl w:val="nil"/>
            </w:tcBorders>
            <w:vAlign w:val="center"/>
          </w:tcPr>
          <w:p>
            <w:pPr>
              <w:overflowPunct/>
              <w:topLinePunct/>
              <w:adjustRightInd w:val="0"/>
              <w:snapToGrid w:val="0"/>
              <w:spacing w:line="240" w:lineRule="atLeast"/>
              <w:ind w:firstLine="0" w:firstLineChars="0"/>
              <w:rPr>
                <w:rFonts w:hint="default" w:asciiTheme="minorHAnsi" w:hAnsiTheme="minorHAnsi" w:eastAsiaTheme="minorEastAsia" w:cstheme="minorBidi"/>
                <w:snapToGrid w:val="0"/>
                <w:color w:val="FF0000"/>
                <w:kern w:val="2"/>
                <w:sz w:val="21"/>
                <w:szCs w:val="21"/>
                <w:lang w:val="en-US" w:eastAsia="zh-CN" w:bidi="ar-SA"/>
              </w:rPr>
            </w:pPr>
            <w:r>
              <w:rPr>
                <w:rStyle w:val="126"/>
                <w:rFonts w:ascii="Times New Roman" w:hAnsi="Times New Roman" w:eastAsia="宋体" w:cs="Times New Roman"/>
                <w:snapToGrid w:val="0"/>
                <w:color w:val="FF0000"/>
                <w:spacing w:val="0"/>
                <w:sz w:val="21"/>
                <w:szCs w:val="21"/>
              </w:rPr>
              <w:t>建设单位已编制矿山地质环境保护与土地复垦方案，本次评价要求建设单位严格按照绿色矿山标准进行项目的建设。</w:t>
            </w:r>
          </w:p>
        </w:tc>
        <w:tc>
          <w:tcPr>
            <w:tcW w:w="479" w:type="dxa"/>
            <w:tcBorders>
              <w:tl2br w:val="nil"/>
              <w:tr2bl w:val="nil"/>
            </w:tcBorders>
            <w:vAlign w:val="center"/>
          </w:tcPr>
          <w:p>
            <w:pPr>
              <w:overflowPunct/>
              <w:topLinePunct/>
              <w:adjustRightInd w:val="0"/>
              <w:snapToGrid w:val="0"/>
              <w:spacing w:line="240" w:lineRule="atLeast"/>
              <w:ind w:firstLine="0" w:firstLineChars="0"/>
              <w:rPr>
                <w:rFonts w:hint="default" w:asciiTheme="minorHAnsi" w:hAnsiTheme="minorHAnsi" w:eastAsiaTheme="minorEastAsia" w:cstheme="minorBidi"/>
                <w:snapToGrid w:val="0"/>
                <w:color w:val="FF0000"/>
                <w:kern w:val="2"/>
                <w:sz w:val="21"/>
                <w:szCs w:val="21"/>
                <w:lang w:val="en-US" w:eastAsia="zh-CN" w:bidi="ar-SA"/>
              </w:rPr>
            </w:pPr>
            <w:r>
              <w:rPr>
                <w:rStyle w:val="126"/>
                <w:rFonts w:ascii="Times New Roman" w:hAnsi="Times New Roman" w:eastAsia="宋体" w:cs="Times New Roman"/>
                <w:snapToGrid w:val="0"/>
                <w:color w:val="FF0000"/>
                <w:spacing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《关于</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十四五</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》大宗固体废弃物综合利用的</w:t>
            </w:r>
            <w:r>
              <w:rPr>
                <w:rFonts w:hint="eastAsia" w:ascii="Times New Roman" w:hAnsi="Times New Roman" w:eastAsia="宋体" w:cs="Times New Roman"/>
                <w:color w:val="000000" w:themeColor="text1"/>
                <w:sz w:val="21"/>
                <w:szCs w:val="21"/>
                <w:lang w:val="en-US" w:eastAsia="zh-CN"/>
              </w:rPr>
              <w:t>指导</w:t>
            </w:r>
            <w:r>
              <w:rPr>
                <w:rFonts w:hint="default" w:ascii="Times New Roman" w:hAnsi="Times New Roman" w:eastAsia="宋体" w:cs="Times New Roman"/>
                <w:color w:val="000000" w:themeColor="text1"/>
                <w:sz w:val="21"/>
                <w:szCs w:val="21"/>
                <w:lang w:val="en-US" w:eastAsia="zh-CN"/>
              </w:rPr>
              <w:t>意见（发改环资</w:t>
            </w:r>
            <w:r>
              <w:rPr>
                <w:rFonts w:ascii="Arial" w:hAnsi="Arial" w:eastAsia="宋体" w:cs="Arial"/>
                <w:i w:val="0"/>
                <w:caps w:val="0"/>
                <w:color w:val="000000" w:themeColor="text1"/>
                <w:spacing w:val="0"/>
                <w:sz w:val="21"/>
                <w:szCs w:val="21"/>
                <w:shd w:val="clear" w:fill="FFFFFF"/>
              </w:rPr>
              <w:t>〔</w:t>
            </w:r>
            <w:r>
              <w:rPr>
                <w:rFonts w:hint="eastAsia" w:ascii="Times New Roman" w:hAnsi="Times New Roman" w:eastAsia="宋体" w:cs="Times New Roman"/>
                <w:color w:val="000000" w:themeColor="text1"/>
                <w:sz w:val="21"/>
                <w:szCs w:val="21"/>
                <w:lang w:val="en-US" w:eastAsia="zh-CN"/>
              </w:rPr>
              <w:t>2021</w:t>
            </w:r>
            <w:r>
              <w:rPr>
                <w:rFonts w:ascii="Arial" w:hAnsi="Arial" w:eastAsia="宋体" w:cs="Arial"/>
                <w:i w:val="0"/>
                <w:caps w:val="0"/>
                <w:color w:val="000000" w:themeColor="text1"/>
                <w:spacing w:val="0"/>
                <w:sz w:val="21"/>
                <w:szCs w:val="21"/>
                <w:shd w:val="clear" w:fill="FFFFFF"/>
              </w:rPr>
              <w:t>〕</w:t>
            </w:r>
            <w:r>
              <w:rPr>
                <w:rFonts w:hint="default" w:ascii="Times New Roman" w:hAnsi="Times New Roman" w:eastAsia="宋体" w:cs="Times New Roman"/>
                <w:color w:val="000000" w:themeColor="text1"/>
                <w:sz w:val="21"/>
                <w:szCs w:val="21"/>
                <w:lang w:val="en-US" w:eastAsia="zh-CN"/>
              </w:rPr>
              <w:t>381号）</w:t>
            </w: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lang w:val="en-US" w:eastAsia="zh-CN"/>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采尾矿。</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kern w:val="2"/>
                <w:sz w:val="21"/>
                <w:szCs w:val="21"/>
                <w:lang w:val="en-US" w:eastAsia="zh-CN"/>
              </w:rPr>
              <w:t>本次扩建项目</w:t>
            </w:r>
            <w:r>
              <w:rPr>
                <w:rFonts w:hint="default" w:ascii="Times New Roman" w:hAnsi="Times New Roman" w:eastAsia="宋体" w:cs="Times New Roman"/>
                <w:color w:val="000000" w:themeColor="text1"/>
                <w:kern w:val="2"/>
                <w:sz w:val="21"/>
                <w:szCs w:val="21"/>
              </w:rPr>
              <w:t>采矿废石</w:t>
            </w:r>
            <w:r>
              <w:rPr>
                <w:rFonts w:hint="eastAsia" w:ascii="Times New Roman" w:hAnsi="Times New Roman" w:eastAsia="宋体" w:cs="Times New Roman"/>
                <w:color w:val="000000" w:themeColor="text1"/>
                <w:kern w:val="2"/>
                <w:sz w:val="21"/>
                <w:szCs w:val="21"/>
                <w:lang w:val="en-US" w:eastAsia="zh-CN"/>
              </w:rPr>
              <w:t>全部用于矿区基建和场区内修建道路，其余全部在井下充填。</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rPr>
              <w:t>《化工行业绿色矿山建设规范》（DZ/T 0313-2018）</w:t>
            </w: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本标准适用于化工行业（硫铁矿、磷矿、蛇纹矿、棚矿、岩矿、井盐、湖盐、芒硝、钾盐、雄黄、毒砂、重晶石、白云岩和萤石等）新建、改扩建和生产矿山的绿色矿山建设。</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本项目属于其中的重晶石行业，本项目为改扩建。</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矿区按生产区、办公区、生活区和生态区等功能分区，各功能分区应符合GB50187的规定，生产、生活和生态等功能区应有相应的管理制度和管理机构，运行有序，管理规范。</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本项目的办公区、生活区建设在K1矿体PD760附近，办公区位于一楼，宿舍位于二楼。办公区和生活区有有相应的管理规范，生产区张贴有生产建设规范与管理制度等。</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矿区应采用喷雾、洒水、湿式凿岩、加设除尘和通风装置等措施处理开采、选矿（或加工）和运输等过程产生的粉尘，工作场所物理因素和化学因素限值的控制应符合GBZ2.1-2.1的规定。</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本项目拟采取喷雾、洒水、湿式凿岩、喷淋，井下安装通风设备等方式减少粉尘排放。</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矿区生产生活形成的废弃物应设有专门堆存场地，妥善处置率达到100%，符合安全生产、环境保护和监督管理等规定。</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现有工程形成的废石场正在进行修复治理中。扩建项目K1矿体产生的废石全部用于填充井下巷道；K2建设初期产生的废石堆存于硐口的临时堆棚，堆棚下部做防渗处理，废石用于基建和井下充填，处理率为100%。</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矿区生产废水、生活污水妥善处置效率达到100%，排放应符合GB8978的规定。</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本项目生产废水和生活废水全部回用，不外排。</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矿区凿岩、破碎和空压等设备，应采取消声、减振和隔振等措施，环境噪声排放应符合GB12348的规定。</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本项目井下凿岩，对环境的影响不大；空压机采用空压机房，风机采用消声器等措施，可做到噪声达标排放。</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矿区绿化应与周边自然环境和景观相协调，绿化植物搭配合理，矿区绿化覆盖率应达到100%。</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矿区在出工业场地外，全部进行了绿化，尤其是对废石场的绿化，采用当地物种，废石场覆土复绿后，绿化覆盖率可达到100%。</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FF0000"/>
                <w:sz w:val="21"/>
                <w:szCs w:val="21"/>
              </w:rPr>
            </w:pPr>
          </w:p>
        </w:tc>
        <w:tc>
          <w:tcPr>
            <w:tcW w:w="339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应按照矿山地质环境保护与土地复垦方案进行环境治理和土地复垦。</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本项目已编制</w:t>
            </w:r>
            <w:r>
              <w:rPr>
                <w:rFonts w:hint="eastAsia" w:ascii="Times New Roman" w:hAnsi="Times New Roman" w:eastAsia="宋体" w:cs="Times New Roman"/>
                <w:color w:val="FF0000"/>
                <w:sz w:val="21"/>
                <w:szCs w:val="21"/>
                <w:lang w:val="en-US" w:eastAsia="zh-CN"/>
              </w:rPr>
              <w:t>矿山地质环境保护与土地复垦方案，应按照方案进行治理和复垦。</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《陕西省人民政府办公厅关于印发蓝天碧水净土保卫战2022年工作方案的通知》</w:t>
            </w: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i w:val="0"/>
                <w:caps w:val="0"/>
                <w:color w:val="FF0000"/>
                <w:spacing w:val="0"/>
                <w:sz w:val="21"/>
                <w:szCs w:val="21"/>
                <w:shd w:val="clear" w:fill="FFFFFF"/>
              </w:rPr>
              <w:t>持续打好柴油货车污染治理攻坚战。推进非道路移动机械清洁发展，强化重点工矿企业移动源应急管控。</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本项目非道路移动机较少，要求对所有的机械车辆统一管理，淘汰老旧设备，加强维修，确保其达标排放。</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i w:val="0"/>
                <w:caps w:val="0"/>
                <w:color w:val="FF0000"/>
                <w:spacing w:val="0"/>
                <w:sz w:val="21"/>
                <w:szCs w:val="21"/>
                <w:shd w:val="clear" w:fill="FFFFFF"/>
              </w:rPr>
            </w:pPr>
            <w:r>
              <w:rPr>
                <w:rFonts w:hint="eastAsia" w:ascii="Times New Roman" w:hAnsi="Times New Roman" w:eastAsia="宋体" w:cs="Times New Roman"/>
                <w:i w:val="0"/>
                <w:caps w:val="0"/>
                <w:color w:val="FF0000"/>
                <w:spacing w:val="0"/>
                <w:sz w:val="21"/>
                <w:szCs w:val="21"/>
                <w:shd w:val="clear" w:fill="FFFFFF"/>
              </w:rPr>
              <w:t>推进非道路移动机械污染防治。强化非道路移动机械排放控制区管控，不符合第三阶段和在用机械排放标准三类限值的机械限制在控制区内使用。</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w:t>
            </w:r>
            <w:r>
              <w:rPr>
                <w:rFonts w:hint="eastAsia" w:ascii="Times New Roman" w:hAnsi="Times New Roman" w:eastAsia="宋体" w:cs="Times New Roman"/>
                <w:i w:val="0"/>
                <w:caps w:val="0"/>
                <w:color w:val="FF0000"/>
                <w:spacing w:val="0"/>
                <w:sz w:val="21"/>
                <w:szCs w:val="21"/>
                <w:shd w:val="clear" w:fill="FFFFFF"/>
              </w:rPr>
              <w:t>非道路移动机械</w:t>
            </w:r>
            <w:r>
              <w:rPr>
                <w:rFonts w:hint="eastAsia" w:ascii="Times New Roman" w:hAnsi="Times New Roman" w:eastAsia="宋体" w:cs="Times New Roman"/>
                <w:i w:val="0"/>
                <w:caps w:val="0"/>
                <w:color w:val="FF0000"/>
                <w:spacing w:val="0"/>
                <w:sz w:val="21"/>
                <w:szCs w:val="21"/>
                <w:shd w:val="clear" w:fill="FFFFFF"/>
                <w:lang w:eastAsia="zh-CN"/>
              </w:rPr>
              <w:t>符合相关要求。</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i w:val="0"/>
                <w:caps w:val="0"/>
                <w:color w:val="FF0000"/>
                <w:spacing w:val="0"/>
                <w:sz w:val="21"/>
                <w:szCs w:val="21"/>
                <w:shd w:val="clear" w:fill="FFFFFF"/>
              </w:rPr>
            </w:pPr>
            <w:r>
              <w:rPr>
                <w:rFonts w:hint="eastAsia" w:ascii="Times New Roman" w:hAnsi="Times New Roman" w:eastAsia="宋体" w:cs="Times New Roman"/>
                <w:i w:val="0"/>
                <w:caps w:val="0"/>
                <w:color w:val="FF0000"/>
                <w:spacing w:val="0"/>
                <w:sz w:val="21"/>
                <w:szCs w:val="21"/>
                <w:shd w:val="clear" w:fill="FFFFFF"/>
              </w:rPr>
              <w:t>加强物料堆场扬尘管控。针对铸造、铁合金、焦化、水泥、砖瓦、石灰、耐火材料、有色金属冶炼等行业企业，严格控制物料储存、输送及生产工艺过程无组织排放，粉粒类物料堆放场以及大型煤炭和矿石物料堆场，基本完成抑尘设施建设和物料输送系统封闭改造。严禁露天装卸作业和物料干法作业。</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本项目的矿石物料堆场采用堆棚和喷淋。</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i w:val="0"/>
                <w:caps w:val="0"/>
                <w:color w:val="FF0000"/>
                <w:spacing w:val="0"/>
                <w:sz w:val="21"/>
                <w:szCs w:val="21"/>
                <w:shd w:val="clear" w:fill="FFFFFF"/>
              </w:rPr>
            </w:pPr>
            <w:r>
              <w:rPr>
                <w:rFonts w:hint="eastAsia" w:ascii="宋体" w:hAnsi="宋体" w:eastAsia="宋体" w:cs="宋体"/>
                <w:i w:val="0"/>
                <w:caps w:val="0"/>
                <w:color w:val="FF0000"/>
                <w:spacing w:val="0"/>
                <w:sz w:val="21"/>
                <w:szCs w:val="21"/>
                <w:shd w:val="clear" w:fill="FFFFFF"/>
              </w:rPr>
              <w:t>严格建设项目土壤环境影响评价制度。对涉及有毒有害物质可能造成土壤污染的新改扩建项目，依法进行环境影响评价，提出并落实防腐蚀、防渗漏等土壤污染防治具体措施。</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本项目矿石为</w:t>
            </w:r>
            <w:r>
              <w:rPr>
                <w:rFonts w:hint="default" w:ascii="Times New Roman" w:hAnsi="Times New Roman" w:eastAsia="宋体" w:cs="Times New Roman"/>
                <w:color w:val="FF0000"/>
                <w:sz w:val="21"/>
                <w:szCs w:val="21"/>
                <w:lang w:val="en-US" w:eastAsia="zh-CN"/>
              </w:rPr>
              <w:fldChar w:fldCharType="begin"/>
            </w:r>
            <w:r>
              <w:rPr>
                <w:rFonts w:hint="default" w:ascii="Times New Roman" w:hAnsi="Times New Roman" w:eastAsia="宋体" w:cs="Times New Roman"/>
                <w:color w:val="FF0000"/>
                <w:sz w:val="21"/>
                <w:szCs w:val="21"/>
                <w:lang w:val="en-US" w:eastAsia="zh-CN"/>
              </w:rPr>
              <w:instrText xml:space="preserve"> = 1 \* ROMAN \* MERGEFORMAT </w:instrText>
            </w:r>
            <w:r>
              <w:rPr>
                <w:rFonts w:hint="default" w:ascii="Times New Roman" w:hAnsi="Times New Roman" w:eastAsia="宋体" w:cs="Times New Roman"/>
                <w:color w:val="FF0000"/>
                <w:sz w:val="21"/>
                <w:szCs w:val="21"/>
                <w:lang w:val="en-US" w:eastAsia="zh-CN"/>
              </w:rPr>
              <w:fldChar w:fldCharType="separate"/>
            </w:r>
            <w:r>
              <w:rPr>
                <w:rFonts w:hint="default" w:ascii="Times New Roman" w:hAnsi="Times New Roman" w:eastAsia="宋体" w:cs="Times New Roman"/>
                <w:color w:val="FF0000"/>
              </w:rPr>
              <w:t>I</w:t>
            </w:r>
            <w:r>
              <w:rPr>
                <w:rFonts w:hint="default" w:ascii="Times New Roman" w:hAnsi="Times New Roman" w:eastAsia="宋体" w:cs="Times New Roman"/>
                <w:color w:val="FF0000"/>
                <w:sz w:val="21"/>
                <w:szCs w:val="21"/>
                <w:lang w:val="en-US" w:eastAsia="zh-CN"/>
              </w:rPr>
              <w:fldChar w:fldCharType="end"/>
            </w:r>
            <w:r>
              <w:rPr>
                <w:rFonts w:hint="default" w:ascii="Times New Roman" w:hAnsi="Times New Roman" w:eastAsia="宋体" w:cs="Times New Roman"/>
                <w:color w:val="FF0000"/>
                <w:sz w:val="21"/>
                <w:szCs w:val="21"/>
                <w:lang w:val="en-US" w:eastAsia="zh-CN"/>
              </w:rPr>
              <w:t>类固体废物，</w:t>
            </w:r>
            <w:r>
              <w:rPr>
                <w:rFonts w:hint="eastAsia" w:ascii="Times New Roman" w:hAnsi="Times New Roman" w:eastAsia="宋体" w:cs="Times New Roman"/>
                <w:color w:val="FF0000"/>
                <w:sz w:val="21"/>
                <w:szCs w:val="21"/>
                <w:lang w:val="en-US" w:eastAsia="zh-CN"/>
              </w:rPr>
              <w:t>对环境的影响较小，本项目应按照本报告提出的各项措施做好防渗防腐工作。</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关于落实《水污染防治行动计划》和《陕西省水污染防治工作方案》实施差别化环境准入的指导意见（</w:t>
            </w:r>
            <w:r>
              <w:rPr>
                <w:rFonts w:hint="eastAsia" w:ascii="Times New Roman" w:hAnsi="Times New Roman" w:eastAsia="宋体" w:cs="Times New Roman"/>
                <w:color w:val="000000" w:themeColor="text1"/>
                <w:sz w:val="21"/>
                <w:szCs w:val="21"/>
                <w:lang w:val="en-US" w:eastAsia="zh-CN"/>
              </w:rPr>
              <w:t>陕</w:t>
            </w:r>
            <w:r>
              <w:rPr>
                <w:rFonts w:hint="default" w:ascii="Times New Roman" w:hAnsi="Times New Roman" w:eastAsia="宋体" w:cs="Times New Roman"/>
                <w:color w:val="000000" w:themeColor="text1"/>
                <w:sz w:val="21"/>
                <w:szCs w:val="21"/>
                <w:lang w:val="en-US" w:eastAsia="zh-CN"/>
              </w:rPr>
              <w:t>环</w:t>
            </w:r>
            <w:r>
              <w:rPr>
                <w:rFonts w:hint="eastAsia" w:ascii="Times New Roman" w:hAnsi="Times New Roman" w:eastAsia="宋体" w:cs="Times New Roman"/>
                <w:color w:val="000000" w:themeColor="text1"/>
                <w:sz w:val="21"/>
                <w:szCs w:val="21"/>
                <w:lang w:val="en-US" w:eastAsia="zh-CN"/>
              </w:rPr>
              <w:t>发</w:t>
            </w:r>
            <w:r>
              <w:rPr>
                <w:rFonts w:ascii="Arial" w:hAnsi="Arial" w:eastAsia="宋体" w:cs="Arial"/>
                <w:i w:val="0"/>
                <w:caps w:val="0"/>
                <w:color w:val="000000" w:themeColor="text1"/>
                <w:spacing w:val="0"/>
                <w:sz w:val="21"/>
                <w:szCs w:val="21"/>
                <w:shd w:val="clear" w:fill="FFFFFF"/>
              </w:rPr>
              <w:t>〔</w:t>
            </w:r>
            <w:r>
              <w:rPr>
                <w:rFonts w:hint="eastAsia" w:ascii="Times New Roman" w:hAnsi="Times New Roman" w:eastAsia="宋体" w:cs="Times New Roman"/>
                <w:color w:val="000000" w:themeColor="text1"/>
                <w:sz w:val="21"/>
                <w:szCs w:val="21"/>
                <w:lang w:val="en-US" w:eastAsia="zh-CN"/>
              </w:rPr>
              <w:t>2017</w:t>
            </w:r>
            <w:r>
              <w:rPr>
                <w:rFonts w:ascii="Arial" w:hAnsi="Arial" w:eastAsia="宋体" w:cs="Arial"/>
                <w:i w:val="0"/>
                <w:caps w:val="0"/>
                <w:color w:val="000000" w:themeColor="text1"/>
                <w:spacing w:val="0"/>
                <w:sz w:val="21"/>
                <w:szCs w:val="21"/>
                <w:shd w:val="clear" w:fill="FFFFFF"/>
              </w:rPr>
              <w:t>〕</w:t>
            </w:r>
            <w:r>
              <w:rPr>
                <w:rFonts w:hint="eastAsia" w:ascii="Times New Roman" w:hAnsi="Times New Roman" w:eastAsia="宋体" w:cs="Times New Roman"/>
                <w:color w:val="000000" w:themeColor="text1"/>
                <w:sz w:val="21"/>
                <w:szCs w:val="21"/>
                <w:lang w:val="en-US" w:eastAsia="zh-CN"/>
              </w:rPr>
              <w:t>27</w:t>
            </w:r>
            <w:r>
              <w:rPr>
                <w:rFonts w:hint="default" w:ascii="Times New Roman" w:hAnsi="Times New Roman" w:eastAsia="宋体" w:cs="Times New Roman"/>
                <w:color w:val="000000" w:themeColor="text1"/>
                <w:sz w:val="21"/>
                <w:szCs w:val="21"/>
                <w:lang w:val="en-US" w:eastAsia="zh-CN"/>
              </w:rPr>
              <w:t>号）</w:t>
            </w: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kern w:val="2"/>
                <w:sz w:val="21"/>
                <w:szCs w:val="24"/>
                <w:lang w:val="en-US" w:eastAsia="zh-CN" w:bidi="ar-SA"/>
              </w:rPr>
              <w:t>陕南长江流域。落实“保”字，确保南水北调中线水源安全。汉江、丹江、嘉陵江流域重点发展绿色产业和循环经济项目，限制化学制浆造纸、化工、皂素、果汁加工、印染、电镀、重金属采选等水污染物排放强度大的建设项目。II类地表水域禁止新建除环保基础设施之外的排放水污染物的工业项目，或新建的工业建设项目必须禁止排放水污染物。</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本项目废水全部回用，不外排。</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安康市人民政府办公室《关于印发蓝天碧水净土保卫战2022年工作方案的通知》</w:t>
            </w: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强化非道路移动机械排放控制区管控，不符合第三阶段和在用机械排放标准三类限值机械严禁在控制区内使用；2022年12月1日起，所有生产、进口和销售的560KW及以下的非道路移动机械及其装用的柴油机执行非道路移动柴油机械第四阶段排放标准。</w:t>
            </w:r>
          </w:p>
        </w:tc>
        <w:tc>
          <w:tcPr>
            <w:tcW w:w="3199"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本项目</w:t>
            </w:r>
            <w:r>
              <w:rPr>
                <w:rFonts w:hint="eastAsia" w:ascii="Times New Roman" w:hAnsi="Times New Roman" w:eastAsia="宋体" w:cs="Times New Roman"/>
                <w:color w:val="FF0000"/>
                <w:kern w:val="2"/>
                <w:sz w:val="21"/>
                <w:szCs w:val="21"/>
                <w:lang w:val="en-US" w:eastAsia="zh-CN" w:bidi="ar-SA"/>
              </w:rPr>
              <w:t>非道路移动机械及其装用的柴油机执行非道路移动柴油机械第四阶段排放标准。</w:t>
            </w:r>
          </w:p>
        </w:tc>
        <w:tc>
          <w:tcPr>
            <w:tcW w:w="479"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9"/>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仿宋_GB2312"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严格落实施工工地扬尘管控责任，建立施工工地动态管理清单，在工地公示具体防治措施及负责人信息，防治扬尘污染费用纳入工程造价</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严格落实工地</w:t>
            </w:r>
            <w:r>
              <w:rPr>
                <w:rFonts w:hint="eastAsia" w:ascii="Times New Roman" w:hAnsi="Times New Roman" w:eastAsia="宋体" w:cs="Times New Roman"/>
                <w:color w:val="FF0000"/>
                <w:sz w:val="21"/>
                <w:szCs w:val="21"/>
                <w:lang w:val="zh-CN" w:eastAsia="zh-CN"/>
              </w:rPr>
              <w:t>“</w:t>
            </w:r>
            <w:r>
              <w:rPr>
                <w:rFonts w:hint="default" w:ascii="Times New Roman" w:hAnsi="Times New Roman" w:eastAsia="宋体" w:cs="Times New Roman"/>
                <w:color w:val="FF0000"/>
                <w:sz w:val="21"/>
                <w:szCs w:val="21"/>
                <w:lang w:val="zh-CN" w:eastAsia="zh-CN"/>
              </w:rPr>
              <w:t>六个</w:t>
            </w:r>
            <w:r>
              <w:rPr>
                <w:rFonts w:hint="default" w:ascii="Times New Roman" w:hAnsi="Times New Roman" w:eastAsia="宋体" w:cs="Times New Roman"/>
                <w:color w:val="FF0000"/>
                <w:sz w:val="21"/>
                <w:szCs w:val="21"/>
              </w:rPr>
              <w:t>百分之百</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，将建筑施工扬尘防治落实情况纳入企业信用评价。</w:t>
            </w:r>
            <w:r>
              <w:rPr>
                <w:rFonts w:hint="default" w:ascii="Times New Roman" w:hAnsi="Times New Roman" w:eastAsia="宋体" w:cs="Times New Roman"/>
                <w:color w:val="FF0000"/>
                <w:sz w:val="21"/>
                <w:szCs w:val="21"/>
                <w:lang w:eastAsia="zh-CN"/>
              </w:rPr>
              <w:t>加强施工扬尘监管执法，对问题严重的施工单位依法依规实施联合惩戒。</w:t>
            </w:r>
            <w:r>
              <w:rPr>
                <w:rFonts w:hint="default" w:ascii="Times New Roman" w:hAnsi="Times New Roman" w:eastAsia="宋体" w:cs="Times New Roman"/>
                <w:color w:val="FF0000"/>
                <w:sz w:val="21"/>
                <w:szCs w:val="21"/>
              </w:rPr>
              <w:t>严禁露天装卸作业和物料干法作业</w:t>
            </w:r>
            <w:r>
              <w:rPr>
                <w:rFonts w:hint="default" w:ascii="Times New Roman" w:hAnsi="Times New Roman" w:eastAsia="宋体" w:cs="Times New Roman"/>
                <w:color w:val="FF0000"/>
                <w:sz w:val="21"/>
                <w:szCs w:val="21"/>
                <w:lang w:eastAsia="zh-CN"/>
              </w:rPr>
              <w:t>。</w:t>
            </w:r>
          </w:p>
        </w:tc>
        <w:tc>
          <w:tcPr>
            <w:tcW w:w="3199"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本项目在建设运行过程中严格按照本方案的要求建设堆场扬尘管控措施。</w:t>
            </w:r>
            <w:r>
              <w:rPr>
                <w:rFonts w:hint="eastAsia" w:ascii="Times New Roman" w:hAnsi="Times New Roman" w:cs="Times New Roman"/>
                <w:color w:val="FF0000"/>
                <w:kern w:val="2"/>
                <w:sz w:val="21"/>
                <w:szCs w:val="21"/>
                <w:lang w:val="en-US" w:eastAsia="zh-CN" w:bidi="ar-SA"/>
              </w:rPr>
              <w:t>工业场地建设临时堆场用于贮存废石和矿石。</w:t>
            </w:r>
          </w:p>
        </w:tc>
        <w:tc>
          <w:tcPr>
            <w:tcW w:w="479"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9"/>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继续</w:t>
            </w:r>
            <w:r>
              <w:rPr>
                <w:rFonts w:hint="default" w:ascii="Times New Roman" w:hAnsi="Times New Roman" w:eastAsia="宋体" w:cs="Times New Roman"/>
                <w:bCs/>
                <w:color w:val="FF0000"/>
                <w:sz w:val="21"/>
                <w:szCs w:val="21"/>
              </w:rPr>
              <w:t>在汉滨区、旬阳市执行重点污染物特别排放限值。依法依规将重点重金属排放企业纳入大气、水重点排污单位名录，督促纳入大气重点排污单位名录的涉镉等重金属排放企业开展颗粒物等指标的在线自动检测。</w:t>
            </w:r>
            <w:bookmarkStart w:id="30" w:name="_Hlk78149640"/>
            <w:r>
              <w:rPr>
                <w:rFonts w:hint="default" w:ascii="Times New Roman" w:hAnsi="Times New Roman" w:eastAsia="宋体" w:cs="Times New Roman"/>
                <w:color w:val="FF0000"/>
                <w:sz w:val="21"/>
                <w:szCs w:val="21"/>
              </w:rPr>
              <w:t>督促旬阳市5家涉镉重点污染源整治企业完成问题整治，开展涉镉等重金属行业企业排查整治“回头看”</w:t>
            </w:r>
            <w:bookmarkEnd w:id="30"/>
            <w:r>
              <w:rPr>
                <w:rFonts w:hint="default" w:ascii="Times New Roman" w:hAnsi="Times New Roman" w:eastAsia="宋体" w:cs="Times New Roman"/>
                <w:color w:val="FF0000"/>
                <w:sz w:val="21"/>
                <w:szCs w:val="21"/>
              </w:rPr>
              <w:t>，动态更新污染源整治清单。</w:t>
            </w:r>
          </w:p>
        </w:tc>
        <w:tc>
          <w:tcPr>
            <w:tcW w:w="3199"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本项目为重晶石、毒重石开采项目，不涉及重金属镉等，旬阳县恒欣矿业有限公司涉镉等重金属重点污染源整治现场核查（二次）意见详见附件14。</w:t>
            </w:r>
          </w:p>
        </w:tc>
        <w:tc>
          <w:tcPr>
            <w:tcW w:w="479"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9"/>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安康市人民政府办公室关于印发《安康市“十四五”生态环境保护规划》的通知</w:t>
            </w: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z w:val="21"/>
                <w:szCs w:val="21"/>
                <w:shd w:val="clear" w:fill="FFFFFF"/>
              </w:rPr>
            </w:pPr>
            <w:r>
              <w:rPr>
                <w:rFonts w:hint="eastAsia" w:ascii="Times New Roman" w:hAnsi="Times New Roman" w:eastAsia="宋体" w:cs="Times New Roman"/>
                <w:color w:val="000000" w:themeColor="text1"/>
                <w:kern w:val="2"/>
                <w:sz w:val="21"/>
                <w:szCs w:val="21"/>
                <w:lang w:val="en-US" w:eastAsia="zh-CN" w:bidi="ar-SA"/>
              </w:rPr>
              <w:t>大力推进绿色矿山建设。全面调查评价历史遗留矿山生态破坏与污染状况，统筹地质灾害预防监测，加快推进生态治理工程。严格落实矿山企业地质环境、生态环境治理恢复、创建绿色矿山主体责任，坚持先急后缓、先易后难，一矿一策、因地制宜，加大白河硫铁矿、旬阳铅锌汞矿以及蒿坪河流域等重点污染区域排查整治和生态修复。</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本项目不属于旬阳县铅锌汞矿等重点污染区域。本项目严格按照矿山各项生态环境保护要求进行治理，逐步实现绿色矿山。</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val="en-US" w:eastAsia="zh-CN"/>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禁止在汉江干流及一级支流岸线一公里范围内新建、扩建化工园区和化工项目。禁止在汉江岸线一公里范围内新建、改建、扩建尾矿库（以提升安全、生态环境保护水平为目的的改建除外）。</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本项目不属于汉江干流及以及支流岸线一公里范围，且本项目无尾矿库。</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val="en-US" w:eastAsia="zh-CN"/>
              </w:rPr>
            </w:pP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持续推进重点区域重金属减排。聚焦铅、汞、镉等重金属污 染物，开展硫铁矿区、铅锌矿区、煤矿区、汞矿区、工业废渣堆 存场等污染治理。禁止新建、扩建原生汞矿开采项目。完善涉重 金属重点企业清单，以结构调整、升级改造和深度治理为主要手 段，推动实施一批重金属减排工程，持续减少重金属污染物排放。</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本项目不属于新建、扩建原生汞矿开采项目。</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bookmarkStart w:id="31" w:name="_Toc10633"/>
            <w:bookmarkStart w:id="32" w:name="_Toc30657"/>
            <w:bookmarkStart w:id="33" w:name="_Toc27860"/>
            <w:bookmarkStart w:id="34" w:name="_Toc16794"/>
            <w:bookmarkStart w:id="35" w:name="_Toc15955_WPSOffice_Level2"/>
            <w:r>
              <w:rPr>
                <w:rFonts w:hint="eastAsia" w:ascii="Times New Roman" w:hAnsi="Times New Roman" w:eastAsia="宋体" w:cs="Times New Roman"/>
                <w:color w:val="FF0000"/>
                <w:sz w:val="21"/>
                <w:szCs w:val="21"/>
                <w:lang w:val="en-US" w:eastAsia="zh-CN"/>
              </w:rPr>
              <w:t>《安康市汉江流域水质保护条例》</w:t>
            </w:r>
          </w:p>
        </w:tc>
        <w:tc>
          <w:tcPr>
            <w:tcW w:w="3391" w:type="dxa"/>
            <w:tcBorders>
              <w:tl2br w:val="nil"/>
              <w:tr2bl w:val="nil"/>
            </w:tcBorders>
            <w:vAlign w:val="center"/>
          </w:tcPr>
          <w:p>
            <w:pPr>
              <w:keepNext w:val="0"/>
              <w:keepLines w:val="0"/>
              <w:widowControl/>
              <w:suppressLineNumbers w:val="0"/>
              <w:shd w:val="clear" w:fill="FFFFFF"/>
              <w:spacing w:before="240" w:beforeAutospacing="0" w:after="0" w:afterAutospacing="0"/>
              <w:ind w:right="0"/>
              <w:jc w:val="left"/>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禁止在汉江干流岸线一公里范围内新建、扩建化工项目；禁止在汉江干流、重要支流岸线一公里范围内新建、改建、扩建尾矿库；禁止在汉江流域新建高排放氮、磷污染物的工业项目。 </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本项目不在汉江干流岸线一公里范围内；本项目不在汉江干流、重要支流岸线一公里范围内，不属于尾矿库项目；本项目废水全部回用，不外排。</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lang w:val="en-US" w:eastAsia="zh-CN"/>
              </w:rPr>
            </w:pPr>
          </w:p>
        </w:tc>
        <w:tc>
          <w:tcPr>
            <w:tcW w:w="3391" w:type="dxa"/>
            <w:tcBorders>
              <w:tl2br w:val="nil"/>
              <w:tr2bl w:val="nil"/>
            </w:tcBorders>
            <w:vAlign w:val="center"/>
          </w:tcPr>
          <w:p>
            <w:pPr>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0" w:afterAutospacing="0"/>
              <w:ind w:right="0"/>
              <w:jc w:val="left"/>
              <w:textAlignment w:val="auto"/>
              <w:rPr>
                <w:rFonts w:hint="eastAsia"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0"/>
                <w:sz w:val="21"/>
                <w:szCs w:val="21"/>
                <w:shd w:val="clear" w:fill="FFFFFF"/>
                <w:lang w:val="en-US" w:eastAsia="zh-CN" w:bidi="ar"/>
              </w:rPr>
              <w:t>进</w:t>
            </w:r>
            <w:r>
              <w:rPr>
                <w:rFonts w:hint="eastAsia" w:ascii="Times New Roman" w:hAnsi="Times New Roman" w:eastAsia="宋体" w:cs="Times New Roman"/>
                <w:color w:val="FF0000"/>
                <w:kern w:val="2"/>
                <w:sz w:val="21"/>
                <w:szCs w:val="21"/>
                <w:lang w:val="en-US" w:eastAsia="zh-CN" w:bidi="ar-SA"/>
              </w:rPr>
              <w:t>行勘探、采矿、选矿、冶炼等活动应当采取水污染防治措施。矿山企业单位应当按照绿色矿山标准进行建设、开采，采用先进工艺和措施，并进行水质监测，防止水污染。</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本项目为采矿项目，废水全部回用，不外排。</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《陕西省汉江丹江流域水污染防治条例》</w:t>
            </w:r>
          </w:p>
        </w:tc>
        <w:tc>
          <w:tcPr>
            <w:tcW w:w="3391" w:type="dxa"/>
            <w:tcBorders>
              <w:tl2br w:val="nil"/>
              <w:tr2bl w:val="nil"/>
            </w:tcBorders>
            <w:vAlign w:val="center"/>
          </w:tcPr>
          <w:p>
            <w:pPr>
              <w:pStyle w:val="2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宋体" w:hAnsi="宋体" w:eastAsia="宋体" w:cs="宋体"/>
                <w:color w:val="FF0000"/>
                <w:kern w:val="0"/>
                <w:sz w:val="21"/>
                <w:szCs w:val="21"/>
                <w:shd w:val="clear" w:fill="FFFFFF"/>
                <w:lang w:val="en-US" w:eastAsia="zh-CN" w:bidi="ar"/>
              </w:rPr>
            </w:pPr>
            <w:r>
              <w:rPr>
                <w:rFonts w:hint="eastAsia" w:ascii="Times New Roman" w:hAnsi="Times New Roman" w:eastAsia="宋体" w:cs="Times New Roman"/>
                <w:color w:val="FF0000"/>
                <w:kern w:val="2"/>
                <w:sz w:val="21"/>
                <w:szCs w:val="21"/>
                <w:lang w:val="en-US" w:eastAsia="zh-CN" w:bidi="ar-SA"/>
              </w:rPr>
              <w:t>禁止向水体排放油类、酸液、碱液、剧毒废液。禁止将含有汞、镉、砷、铬、铅、氰化物、黄磷等的可溶性剧毒废渣向水体排放、倾倒或者直接埋入地下。</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本项目废水不外排，危险废物暂存于危险废物暂存间，交由有资质单位处置。</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《陕西省蓝天碧水净土战2022年工作方案》</w:t>
            </w:r>
          </w:p>
        </w:tc>
        <w:tc>
          <w:tcPr>
            <w:tcW w:w="3391" w:type="dxa"/>
            <w:tcBorders>
              <w:tl2br w:val="nil"/>
              <w:tr2bl w:val="nil"/>
            </w:tcBorders>
            <w:vAlign w:val="center"/>
          </w:tcPr>
          <w:p>
            <w:pPr>
              <w:keepNext w:val="0"/>
              <w:keepLines w:val="0"/>
              <w:widowControl/>
              <w:suppressLineNumbers w:val="0"/>
              <w:pBdr>
                <w:top w:val="none" w:color="auto" w:sz="0" w:space="0"/>
                <w:bottom w:val="none" w:color="auto" w:sz="0" w:space="0"/>
              </w:pBdr>
              <w:spacing w:before="0" w:beforeAutospacing="0" w:after="0" w:afterAutospacing="0"/>
              <w:ind w:left="0" w:right="0"/>
              <w:jc w:val="left"/>
              <w:rPr>
                <w:rFonts w:hint="eastAsia"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推进扬尘综合整治专项行动。推进建筑施工扬尘精细化管控、强化道路扬尘管控、加强物料堆场扬尘管控。</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本项目施工扬尘采取物料覆盖、道路清扫、洒水抑尘等措施减少扬尘产生与排放。</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FF0000"/>
                <w:kern w:val="2"/>
                <w:sz w:val="21"/>
                <w:szCs w:val="21"/>
                <w:lang w:val="en-US" w:eastAsia="zh-CN" w:bidi="ar-SA"/>
              </w:rPr>
            </w:pPr>
          </w:p>
        </w:tc>
        <w:tc>
          <w:tcPr>
            <w:tcW w:w="3391" w:type="dxa"/>
            <w:tcBorders>
              <w:tl2br w:val="nil"/>
              <w:tr2bl w:val="nil"/>
            </w:tcBorders>
            <w:vAlign w:val="center"/>
          </w:tcPr>
          <w:p>
            <w:pPr>
              <w:keepNext w:val="0"/>
              <w:keepLines w:val="0"/>
              <w:widowControl/>
              <w:suppressLineNumbers w:val="0"/>
              <w:pBdr>
                <w:top w:val="none" w:color="auto" w:sz="0" w:space="0"/>
                <w:bottom w:val="none" w:color="auto" w:sz="0" w:space="0"/>
              </w:pBdr>
              <w:spacing w:before="0" w:beforeAutospacing="0" w:after="0" w:afterAutospacing="0"/>
              <w:ind w:left="0" w:right="0"/>
              <w:jc w:val="left"/>
              <w:rPr>
                <w:rFonts w:hint="eastAsia"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深入打好长江流域保护修复攻坚战。系统推进陕南涉金属矿产整治、补齐污水处理管网建设短板、持续提升水环境风险防范水平。</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本项目位于安康市旬阳市，为非金属矿开采项目，本项目生活废水与生产废水产生量较少，全部综合利用，不外排。</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FF0000"/>
                <w:kern w:val="2"/>
                <w:sz w:val="21"/>
                <w:szCs w:val="21"/>
                <w:lang w:val="en-US" w:eastAsia="zh-CN" w:bidi="ar-SA"/>
              </w:rPr>
            </w:pPr>
          </w:p>
        </w:tc>
        <w:tc>
          <w:tcPr>
            <w:tcW w:w="3391" w:type="dxa"/>
            <w:tcBorders>
              <w:tl2br w:val="nil"/>
              <w:tr2bl w:val="nil"/>
            </w:tcBorders>
            <w:vAlign w:val="center"/>
          </w:tcPr>
          <w:p>
            <w:pPr>
              <w:keepNext w:val="0"/>
              <w:keepLines w:val="0"/>
              <w:widowControl/>
              <w:suppressLineNumbers w:val="0"/>
              <w:pBdr>
                <w:top w:val="none" w:color="auto" w:sz="0" w:space="0"/>
                <w:bottom w:val="none" w:color="auto" w:sz="0" w:space="0"/>
              </w:pBdr>
              <w:spacing w:before="0" w:beforeAutospacing="0" w:after="0" w:afterAutospacing="0"/>
              <w:ind w:left="0" w:right="0"/>
              <w:jc w:val="left"/>
              <w:rPr>
                <w:rFonts w:hint="eastAsia"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防范工矿企业新增土壤污染。严格建设项目土壤环境影响评价制度、强化重点监管单位监管、推动实施绿色化改造。</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本项目开采过程中严格落实环境影响评价文件提出的土壤污染防控措施，防止土壤污染。</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符合</w:t>
            </w:r>
          </w:p>
        </w:tc>
      </w:tr>
    </w:tbl>
    <w:p>
      <w:pPr>
        <w:pStyle w:val="5"/>
        <w:rPr>
          <w:color w:val="000000" w:themeColor="text1"/>
        </w:rPr>
      </w:pPr>
      <w:r>
        <w:rPr>
          <w:rFonts w:hint="eastAsia"/>
          <w:color w:val="000000" w:themeColor="text1"/>
        </w:rPr>
        <w:t>关注的主要环境问题及环境影响</w:t>
      </w:r>
      <w:bookmarkEnd w:id="31"/>
      <w:bookmarkEnd w:id="32"/>
      <w:bookmarkEnd w:id="33"/>
      <w:bookmarkEnd w:id="34"/>
      <w:bookmarkEnd w:id="35"/>
    </w:p>
    <w:p>
      <w:pPr>
        <w:keepNext/>
        <w:keepLines/>
        <w:adjustRightInd w:val="0"/>
        <w:snapToGrid w:val="0"/>
        <w:spacing w:line="360" w:lineRule="auto"/>
        <w:ind w:firstLine="480" w:firstLineChars="200"/>
        <w:jc w:val="left"/>
        <w:rPr>
          <w:color w:val="000000" w:themeColor="text1"/>
          <w:sz w:val="24"/>
        </w:rPr>
      </w:pPr>
      <w:r>
        <w:rPr>
          <w:rFonts w:hint="eastAsia"/>
          <w:color w:val="000000" w:themeColor="text1"/>
          <w:sz w:val="24"/>
        </w:rPr>
        <w:t>本项目关注的主要问题为施工期建设对生态环境的破坏和运营期产生的污染影响以及环境风险。</w:t>
      </w:r>
    </w:p>
    <w:p>
      <w:pPr>
        <w:numPr>
          <w:ilvl w:val="0"/>
          <w:numId w:val="2"/>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K2矿体的工业场地、运输道路等工程占地的占地面积、植被类型、施工方式等；K2矿体施工对生态环境的影响；</w:t>
      </w:r>
    </w:p>
    <w:p>
      <w:pPr>
        <w:numPr>
          <w:ilvl w:val="0"/>
          <w:numId w:val="2"/>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调查现有工程的环境保护措施，调查现有工程的污染状况以及存在的问题，提出“以新带老”整改措施；</w:t>
      </w:r>
    </w:p>
    <w:p>
      <w:pPr>
        <w:numPr>
          <w:ilvl w:val="0"/>
          <w:numId w:val="2"/>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运营期废水、废气、噪声等产生情况，控制措施以及排放情况</w:t>
      </w: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采空区的地质灾害问题，环境风险；</w:t>
      </w:r>
    </w:p>
    <w:p>
      <w:pPr>
        <w:numPr>
          <w:ilvl w:val="0"/>
          <w:numId w:val="2"/>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退役期各场地生态恢复。</w:t>
      </w:r>
    </w:p>
    <w:p>
      <w:pPr>
        <w:pStyle w:val="5"/>
        <w:rPr>
          <w:color w:val="000000" w:themeColor="text1"/>
        </w:rPr>
      </w:pPr>
      <w:bookmarkStart w:id="36" w:name="_Toc21441_WPSOffice_Level2"/>
      <w:bookmarkStart w:id="37" w:name="_Toc28582"/>
      <w:bookmarkStart w:id="38" w:name="_Toc11436"/>
      <w:bookmarkStart w:id="39" w:name="_Toc11913"/>
      <w:bookmarkStart w:id="40" w:name="_Toc24944"/>
      <w:r>
        <w:rPr>
          <w:rFonts w:hint="eastAsia"/>
          <w:color w:val="000000" w:themeColor="text1"/>
        </w:rPr>
        <w:t>主要结论</w:t>
      </w:r>
      <w:bookmarkEnd w:id="36"/>
      <w:bookmarkEnd w:id="37"/>
      <w:bookmarkEnd w:id="38"/>
      <w:bookmarkEnd w:id="39"/>
      <w:bookmarkEnd w:id="40"/>
    </w:p>
    <w:p>
      <w:pPr>
        <w:adjustRightInd w:val="0"/>
        <w:snapToGrid w:val="0"/>
        <w:spacing w:line="360" w:lineRule="auto"/>
        <w:ind w:firstLine="480" w:firstLineChars="200"/>
        <w:jc w:val="left"/>
        <w:rPr>
          <w:rFonts w:hint="eastAsia"/>
          <w:color w:val="000000" w:themeColor="text1"/>
          <w:sz w:val="24"/>
          <w:szCs w:val="24"/>
          <w:lang w:eastAsia="zh-CN"/>
        </w:rPr>
      </w:pPr>
      <w:r>
        <w:rPr>
          <w:rFonts w:ascii="Times New Roman" w:hAnsi="Times New Roman" w:eastAsia="宋体" w:cs="Times New Roman"/>
          <w:color w:val="000000" w:themeColor="text1"/>
          <w:sz w:val="24"/>
          <w:szCs w:val="24"/>
        </w:rPr>
        <w:t>本项目符合国家</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地方</w:t>
      </w:r>
      <w:r>
        <w:rPr>
          <w:rFonts w:ascii="Times New Roman" w:hAnsi="Times New Roman" w:eastAsia="宋体" w:cs="Times New Roman"/>
          <w:color w:val="000000" w:themeColor="text1"/>
          <w:sz w:val="24"/>
          <w:szCs w:val="24"/>
        </w:rPr>
        <w:t>产业政策</w:t>
      </w:r>
      <w:r>
        <w:rPr>
          <w:rFonts w:hint="eastAsia" w:ascii="Times New Roman" w:hAnsi="Times New Roman" w:eastAsia="宋体" w:cs="Times New Roman"/>
          <w:color w:val="000000" w:themeColor="text1"/>
          <w:sz w:val="24"/>
          <w:szCs w:val="24"/>
          <w:lang w:val="en-US" w:eastAsia="zh-CN"/>
        </w:rPr>
        <w:t>和</w:t>
      </w:r>
      <w:r>
        <w:rPr>
          <w:rFonts w:ascii="Times New Roman" w:hAnsi="Times New Roman" w:eastAsia="宋体" w:cs="Times New Roman"/>
          <w:color w:val="000000" w:themeColor="text1"/>
          <w:sz w:val="24"/>
          <w:szCs w:val="24"/>
        </w:rPr>
        <w:t>相关规</w:t>
      </w:r>
      <w:r>
        <w:rPr>
          <w:rFonts w:hint="eastAsia" w:ascii="Times New Roman" w:hAnsi="Times New Roman" w:eastAsia="宋体" w:cs="Times New Roman"/>
          <w:color w:val="000000" w:themeColor="text1"/>
          <w:sz w:val="24"/>
          <w:szCs w:val="24"/>
        </w:rPr>
        <w:t>范</w:t>
      </w:r>
      <w:r>
        <w:rPr>
          <w:rFonts w:hint="eastAsia" w:ascii="Times New Roman" w:hAnsi="Times New Roman" w:eastAsia="宋体" w:cs="Times New Roman"/>
          <w:color w:val="000000" w:themeColor="text1"/>
          <w:sz w:val="24"/>
          <w:szCs w:val="24"/>
          <w:lang w:val="en-US" w:eastAsia="zh-CN"/>
        </w:rPr>
        <w:t>以及相关环境管理要求</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本项目的产能、开采方式、各项污染防治措施和生态保护措施符合行业污染防治技术要求。</w:t>
      </w:r>
      <w:r>
        <w:rPr>
          <w:color w:val="000000" w:themeColor="text1"/>
          <w:sz w:val="24"/>
          <w:szCs w:val="24"/>
        </w:rPr>
        <w:t>通过对项目产生的污染源强对环境的影响进行</w:t>
      </w:r>
      <w:r>
        <w:rPr>
          <w:rFonts w:hint="eastAsia"/>
          <w:color w:val="000000" w:themeColor="text1"/>
          <w:sz w:val="24"/>
          <w:szCs w:val="24"/>
          <w:lang w:val="en-US" w:eastAsia="zh-CN"/>
        </w:rPr>
        <w:t>分析、</w:t>
      </w:r>
      <w:r>
        <w:rPr>
          <w:color w:val="000000" w:themeColor="text1"/>
          <w:sz w:val="24"/>
          <w:szCs w:val="24"/>
        </w:rPr>
        <w:t>预测、</w:t>
      </w:r>
      <w:r>
        <w:rPr>
          <w:rFonts w:hint="eastAsia"/>
          <w:color w:val="000000" w:themeColor="text1"/>
          <w:sz w:val="24"/>
          <w:szCs w:val="24"/>
          <w:lang w:val="en-US" w:eastAsia="zh-CN"/>
        </w:rPr>
        <w:t>评估</w:t>
      </w:r>
      <w:r>
        <w:rPr>
          <w:color w:val="000000" w:themeColor="text1"/>
          <w:sz w:val="24"/>
          <w:szCs w:val="24"/>
        </w:rPr>
        <w:t>，结果表明项目建设对环境有一定影响，项目建设带来的</w:t>
      </w:r>
      <w:r>
        <w:rPr>
          <w:rFonts w:hint="eastAsia"/>
          <w:color w:val="000000" w:themeColor="text1"/>
          <w:sz w:val="24"/>
          <w:szCs w:val="24"/>
        </w:rPr>
        <w:t>“</w:t>
      </w:r>
      <w:r>
        <w:rPr>
          <w:color w:val="000000" w:themeColor="text1"/>
          <w:sz w:val="24"/>
          <w:szCs w:val="24"/>
        </w:rPr>
        <w:t>三废</w:t>
      </w:r>
      <w:r>
        <w:rPr>
          <w:rFonts w:hint="eastAsia"/>
          <w:color w:val="000000" w:themeColor="text1"/>
          <w:sz w:val="24"/>
          <w:szCs w:val="24"/>
        </w:rPr>
        <w:t>”</w:t>
      </w:r>
      <w:r>
        <w:rPr>
          <w:color w:val="000000" w:themeColor="text1"/>
          <w:sz w:val="24"/>
          <w:szCs w:val="24"/>
        </w:rPr>
        <w:t>及噪声排放对评价区环境会造成</w:t>
      </w:r>
      <w:r>
        <w:rPr>
          <w:rFonts w:hint="eastAsia"/>
          <w:color w:val="000000" w:themeColor="text1"/>
          <w:sz w:val="24"/>
          <w:szCs w:val="24"/>
          <w:lang w:val="en-US" w:eastAsia="zh-CN"/>
        </w:rPr>
        <w:t>一定的</w:t>
      </w:r>
      <w:r>
        <w:rPr>
          <w:color w:val="000000" w:themeColor="text1"/>
          <w:sz w:val="24"/>
          <w:szCs w:val="24"/>
        </w:rPr>
        <w:t>不利影响，但污染物排放对区域环境影响较小，不影响区域环境功能。本报告书从环境保护的角度，提出了有效、合理，技术可行并易于实施的措施，最大可能减免和防治项目带来的不利影响，使各污染物排放不会对周围环境质量产生</w:t>
      </w:r>
      <w:r>
        <w:rPr>
          <w:rFonts w:hint="eastAsia"/>
          <w:color w:val="000000" w:themeColor="text1"/>
          <w:sz w:val="24"/>
          <w:szCs w:val="24"/>
        </w:rPr>
        <w:t>大的</w:t>
      </w:r>
      <w:r>
        <w:rPr>
          <w:color w:val="000000" w:themeColor="text1"/>
          <w:sz w:val="24"/>
          <w:szCs w:val="24"/>
        </w:rPr>
        <w:t>不良影响。并且项目未触及生态保护红线、环境质量底线、资源利用上限、不在环境准入负面清单内。因此，切实落实本报告书提出的各项环境保护措施及建议，从环境保护的角度分析，本项目可行</w:t>
      </w:r>
      <w:r>
        <w:rPr>
          <w:rFonts w:hint="eastAsia"/>
          <w:color w:val="000000" w:themeColor="text1"/>
          <w:sz w:val="24"/>
          <w:szCs w:val="24"/>
          <w:lang w:eastAsia="zh-CN"/>
        </w:rPr>
        <w:t>。</w:t>
      </w:r>
    </w:p>
    <w:p>
      <w:pPr>
        <w:pStyle w:val="4"/>
        <w:numPr>
          <w:ilvl w:val="1"/>
          <w:numId w:val="0"/>
        </w:numPr>
        <w:ind w:leftChars="0"/>
        <w:rPr>
          <w:rFonts w:hint="eastAsia"/>
          <w:color w:val="000000" w:themeColor="text1"/>
          <w:sz w:val="24"/>
          <w:szCs w:val="24"/>
          <w:lang w:eastAsia="zh-CN"/>
        </w:rPr>
      </w:pPr>
    </w:p>
    <w:p>
      <w:pPr>
        <w:rPr>
          <w:rFonts w:hint="eastAsia"/>
          <w:color w:val="000000" w:themeColor="text1"/>
          <w:sz w:val="24"/>
          <w:szCs w:val="24"/>
          <w:lang w:eastAsia="zh-CN"/>
        </w:rPr>
      </w:pPr>
    </w:p>
    <w:p>
      <w:pPr>
        <w:pStyle w:val="4"/>
        <w:numPr>
          <w:ilvl w:val="1"/>
          <w:numId w:val="0"/>
        </w:numPr>
        <w:ind w:leftChars="0"/>
        <w:rPr>
          <w:rFonts w:hint="eastAsia"/>
          <w:color w:val="000000" w:themeColor="text1"/>
          <w:sz w:val="24"/>
          <w:szCs w:val="24"/>
          <w:lang w:eastAsia="zh-CN"/>
        </w:rPr>
      </w:pPr>
    </w:p>
    <w:p>
      <w:pPr>
        <w:rPr>
          <w:rFonts w:hint="eastAsia"/>
          <w:color w:val="000000" w:themeColor="text1"/>
          <w:sz w:val="24"/>
          <w:szCs w:val="24"/>
          <w:lang w:eastAsia="zh-CN"/>
        </w:rPr>
      </w:pPr>
    </w:p>
    <w:p>
      <w:pPr>
        <w:pStyle w:val="4"/>
        <w:numPr>
          <w:ilvl w:val="1"/>
          <w:numId w:val="0"/>
        </w:numPr>
        <w:ind w:leftChars="0"/>
        <w:rPr>
          <w:rFonts w:hint="eastAsia"/>
          <w:lang w:eastAsia="zh-CN"/>
        </w:rPr>
      </w:pPr>
    </w:p>
    <w:p>
      <w:pPr>
        <w:rPr>
          <w:rFonts w:hint="eastAsia"/>
          <w:color w:val="000000" w:themeColor="text1"/>
          <w:sz w:val="24"/>
          <w:szCs w:val="24"/>
          <w:lang w:eastAsia="zh-CN"/>
        </w:rPr>
      </w:pPr>
    </w:p>
    <w:p>
      <w:pPr>
        <w:pStyle w:val="4"/>
        <w:numPr>
          <w:ilvl w:val="1"/>
          <w:numId w:val="0"/>
        </w:numPr>
        <w:ind w:leftChars="0"/>
        <w:rPr>
          <w:rFonts w:hint="eastAsia"/>
          <w:lang w:eastAsia="zh-CN"/>
        </w:rPr>
      </w:pPr>
    </w:p>
    <w:p>
      <w:pPr>
        <w:rPr>
          <w:rFonts w:hint="eastAsia"/>
          <w:color w:val="000000" w:themeColor="text1"/>
          <w:sz w:val="24"/>
          <w:szCs w:val="24"/>
          <w:lang w:eastAsia="zh-CN"/>
        </w:rPr>
      </w:pPr>
    </w:p>
    <w:p>
      <w:pPr>
        <w:rPr>
          <w:rFonts w:hint="eastAsia"/>
          <w:color w:val="000000" w:themeColor="text1"/>
          <w:sz w:val="24"/>
          <w:szCs w:val="24"/>
          <w:lang w:eastAsia="zh-CN"/>
        </w:rPr>
      </w:pPr>
    </w:p>
    <w:p>
      <w:pPr>
        <w:pStyle w:val="3"/>
        <w:keepNext/>
        <w:keepLines/>
        <w:pageBreakBefore w:val="0"/>
        <w:widowControl w:val="0"/>
        <w:kinsoku/>
        <w:wordWrap/>
        <w:overflowPunct/>
        <w:topLinePunct w:val="0"/>
        <w:autoSpaceDE/>
        <w:autoSpaceDN/>
        <w:bidi w:val="0"/>
        <w:adjustRightInd/>
        <w:snapToGrid/>
        <w:spacing w:before="0"/>
        <w:ind w:left="431" w:hanging="431"/>
        <w:textAlignment w:val="auto"/>
        <w:outlineLvl w:val="0"/>
        <w:rPr>
          <w:rFonts w:hint="default"/>
          <w:color w:val="000000" w:themeColor="text1"/>
        </w:rPr>
      </w:pPr>
      <w:bookmarkStart w:id="41" w:name="_Toc22870"/>
      <w:bookmarkStart w:id="42" w:name="_Toc13003"/>
      <w:bookmarkStart w:id="43" w:name="_Toc4663_WPSOffice_Level1"/>
      <w:bookmarkStart w:id="44" w:name="_Toc7958"/>
      <w:bookmarkStart w:id="45" w:name="_Toc13115"/>
      <w:r>
        <w:rPr>
          <w:rFonts w:hint="default"/>
          <w:color w:val="000000" w:themeColor="text1"/>
        </w:rPr>
        <w:t>总则</w:t>
      </w:r>
      <w:bookmarkEnd w:id="41"/>
      <w:bookmarkEnd w:id="42"/>
      <w:bookmarkEnd w:id="43"/>
      <w:bookmarkEnd w:id="44"/>
      <w:bookmarkEnd w:id="45"/>
    </w:p>
    <w:p>
      <w:pPr>
        <w:pStyle w:val="4"/>
        <w:rPr>
          <w:color w:val="000000" w:themeColor="text1"/>
        </w:rPr>
      </w:pPr>
      <w:r>
        <w:rPr>
          <w:color w:val="000000" w:themeColor="text1"/>
        </w:rPr>
        <w:t xml:space="preserve"> </w:t>
      </w:r>
      <w:bookmarkStart w:id="46" w:name="_Toc6753"/>
      <w:bookmarkStart w:id="47" w:name="_Toc20341"/>
      <w:bookmarkStart w:id="48" w:name="_Toc7262"/>
      <w:bookmarkStart w:id="49" w:name="_Toc27819"/>
      <w:bookmarkStart w:id="50" w:name="_Toc16369_WPSOffice_Level2"/>
      <w:r>
        <w:rPr>
          <w:color w:val="000000" w:themeColor="text1"/>
        </w:rPr>
        <w:t>编制依据</w:t>
      </w:r>
      <w:bookmarkEnd w:id="46"/>
      <w:bookmarkEnd w:id="47"/>
      <w:bookmarkEnd w:id="48"/>
      <w:bookmarkEnd w:id="49"/>
      <w:bookmarkEnd w:id="50"/>
    </w:p>
    <w:p>
      <w:pPr>
        <w:pStyle w:val="5"/>
        <w:rPr>
          <w:color w:val="000000" w:themeColor="text1"/>
        </w:rPr>
      </w:pPr>
      <w:r>
        <w:rPr>
          <w:color w:val="000000" w:themeColor="text1"/>
        </w:rPr>
        <w:t xml:space="preserve"> </w:t>
      </w:r>
      <w:bookmarkStart w:id="51" w:name="_Toc6349"/>
      <w:bookmarkStart w:id="52" w:name="_Toc15955_WPSOffice_Level3"/>
      <w:bookmarkStart w:id="53" w:name="_Toc17086"/>
      <w:bookmarkStart w:id="54" w:name="_Toc19335"/>
      <w:bookmarkStart w:id="55" w:name="_Toc1629"/>
      <w:r>
        <w:rPr>
          <w:color w:val="000000" w:themeColor="text1"/>
        </w:rPr>
        <w:t>法律法规</w:t>
      </w:r>
      <w:bookmarkEnd w:id="51"/>
      <w:bookmarkEnd w:id="52"/>
      <w:bookmarkEnd w:id="53"/>
      <w:bookmarkEnd w:id="54"/>
      <w:bookmarkEnd w:id="55"/>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《中华人民共和国环境保护法》（2015年1月）；</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《中华人民共和国环境影响评价法》（2018年12月修订）；</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《中华人民共和国水土保持法》</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2011年3月</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《中华人民共和国水污染防治法》（2017年6月修订）；</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《中华人民共和国大气污染防治法》（2018年10月）；</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《中华人民共和国噪声污染防治法》（20</w:t>
      </w:r>
      <w:r>
        <w:rPr>
          <w:rFonts w:hint="eastAsia" w:ascii="Times New Roman" w:hAnsi="Times New Roman" w:eastAsia="宋体" w:cs="Times New Roman"/>
          <w:color w:val="000000" w:themeColor="text1"/>
          <w:sz w:val="24"/>
          <w:lang w:val="en-US" w:eastAsia="zh-CN"/>
        </w:rPr>
        <w:t>21</w:t>
      </w:r>
      <w:r>
        <w:rPr>
          <w:rFonts w:ascii="Times New Roman" w:hAnsi="Times New Roman" w:eastAsia="宋体" w:cs="Times New Roman"/>
          <w:color w:val="000000" w:themeColor="text1"/>
          <w:sz w:val="24"/>
        </w:rPr>
        <w:t>年12月</w:t>
      </w:r>
      <w:r>
        <w:rPr>
          <w:rFonts w:hint="eastAsia" w:ascii="Times New Roman" w:hAnsi="Times New Roman" w:eastAsia="宋体" w:cs="Times New Roman"/>
          <w:color w:val="000000" w:themeColor="text1"/>
          <w:sz w:val="24"/>
          <w:lang w:val="en-US" w:eastAsia="zh-CN"/>
        </w:rPr>
        <w:t>24日修订，2022年6月5日起施行</w:t>
      </w:r>
      <w:r>
        <w:rPr>
          <w:rFonts w:ascii="Times New Roman" w:hAnsi="Times New Roman" w:eastAsia="宋体" w:cs="Times New Roman"/>
          <w:color w:val="000000" w:themeColor="text1"/>
          <w:sz w:val="24"/>
        </w:rPr>
        <w:t>）；</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《中华人民共和国固体废物污染环境防治法》（2020年4月29日修订）；</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《中华人民共和国土壤污染防治法》（2019年1月）；</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《中华人民共和国土地管理法》（2020年1月）；</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《中华人民共和国野生动物保护法》（2018年10月）；</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《中华人民共和国陆生野生动物保护实施条例》（2016年2月） ；</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《中华人民共和国水法》（2016年7月</w:t>
      </w:r>
      <w:r>
        <w:rPr>
          <w:rFonts w:hint="eastAsia" w:ascii="Times New Roman" w:hAnsi="Times New Roman" w:eastAsia="宋体" w:cs="Times New Roman"/>
          <w:color w:val="000000" w:themeColor="text1"/>
          <w:sz w:val="24"/>
          <w:lang w:val="en-US" w:eastAsia="zh-CN"/>
        </w:rPr>
        <w:t>修订</w:t>
      </w:r>
      <w:r>
        <w:rPr>
          <w:rFonts w:ascii="Times New Roman" w:hAnsi="Times New Roman" w:eastAsia="宋体" w:cs="Times New Roman"/>
          <w:color w:val="000000" w:themeColor="text1"/>
          <w:sz w:val="24"/>
        </w:rPr>
        <w:t>）；</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《危险化学品安全管理条例》（2013年12月</w:t>
      </w:r>
      <w:r>
        <w:rPr>
          <w:rFonts w:hint="eastAsia" w:ascii="Times New Roman" w:hAnsi="Times New Roman" w:eastAsia="宋体" w:cs="Times New Roman"/>
          <w:color w:val="000000" w:themeColor="text1"/>
          <w:sz w:val="24"/>
          <w:lang w:val="en-US" w:eastAsia="zh-CN"/>
        </w:rPr>
        <w:t>修正</w:t>
      </w:r>
      <w:r>
        <w:rPr>
          <w:rFonts w:ascii="Times New Roman" w:hAnsi="Times New Roman" w:eastAsia="宋体" w:cs="Times New Roman"/>
          <w:color w:val="000000" w:themeColor="text1"/>
          <w:sz w:val="24"/>
        </w:rPr>
        <w:t>）；</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《土壤污染防治行动计划》（国发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2016</w:t>
      </w:r>
      <w:r>
        <w:rPr>
          <w:rFonts w:ascii="Arial" w:hAnsi="Arial" w:eastAsia="宋体" w:cs="Arial"/>
          <w:i w:val="0"/>
          <w:caps w:val="0"/>
          <w:color w:val="000000" w:themeColor="text1"/>
          <w:spacing w:val="0"/>
          <w:sz w:val="24"/>
          <w:szCs w:val="24"/>
          <w:shd w:val="clear" w:fill="FFFFFF"/>
        </w:rPr>
        <w:t>〕</w:t>
      </w:r>
      <w:r>
        <w:rPr>
          <w:rFonts w:ascii="Times New Roman" w:hAnsi="Times New Roman" w:eastAsia="宋体" w:cs="Times New Roman"/>
          <w:color w:val="000000" w:themeColor="text1"/>
          <w:sz w:val="24"/>
        </w:rPr>
        <w:t>31号）；</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《建设项目环境保护管理条例》（2017年10月）；</w:t>
      </w:r>
    </w:p>
    <w:p>
      <w:pPr>
        <w:numPr>
          <w:ilvl w:val="0"/>
          <w:numId w:val="3"/>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《土地复垦条例》（2011年2月）</w:t>
      </w:r>
      <w:r>
        <w:rPr>
          <w:rFonts w:hint="eastAsia" w:ascii="Times New Roman" w:hAnsi="Times New Roman" w:eastAsia="宋体" w:cs="Times New Roman"/>
          <w:color w:val="000000" w:themeColor="text1"/>
          <w:sz w:val="24"/>
          <w:lang w:eastAsia="zh-CN"/>
        </w:rPr>
        <w:t>；</w:t>
      </w:r>
    </w:p>
    <w:p>
      <w:pPr>
        <w:numPr>
          <w:ilvl w:val="0"/>
          <w:numId w:val="3"/>
        </w:num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rPr>
        <w:t>《地质灾害防治条例》，国务院令第394号，2004.3.1施行</w:t>
      </w:r>
      <w:r>
        <w:rPr>
          <w:rFonts w:hint="eastAsia" w:ascii="Times New Roman" w:hAnsi="Times New Roman" w:eastAsia="宋体" w:cs="Times New Roman"/>
          <w:color w:val="000000" w:themeColor="text1"/>
          <w:sz w:val="24"/>
          <w:lang w:eastAsia="zh-CN"/>
        </w:rPr>
        <w:t>；</w:t>
      </w:r>
    </w:p>
    <w:p>
      <w:pPr>
        <w:numPr>
          <w:ilvl w:val="0"/>
          <w:numId w:val="3"/>
        </w:num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lang w:eastAsia="zh-CN"/>
        </w:rPr>
        <w:t>《中华人民共和国矿产资源法》（</w:t>
      </w:r>
      <w:r>
        <w:rPr>
          <w:rFonts w:hint="eastAsia" w:ascii="Times New Roman" w:hAnsi="Times New Roman" w:eastAsia="宋体" w:cs="Times New Roman"/>
          <w:color w:val="000000" w:themeColor="text1"/>
          <w:sz w:val="24"/>
          <w:lang w:val="en-US" w:eastAsia="zh-CN"/>
        </w:rPr>
        <w:t>2019年4月29日修订</w:t>
      </w:r>
      <w:r>
        <w:rPr>
          <w:rFonts w:hint="eastAsia" w:ascii="Times New Roman" w:hAnsi="Times New Roman" w:eastAsia="宋体" w:cs="Times New Roman"/>
          <w:color w:val="000000" w:themeColor="text1"/>
          <w:sz w:val="24"/>
          <w:lang w:eastAsia="zh-CN"/>
        </w:rPr>
        <w:t>）。</w:t>
      </w:r>
    </w:p>
    <w:p>
      <w:pPr>
        <w:pStyle w:val="5"/>
        <w:rPr>
          <w:color w:val="000000" w:themeColor="text1"/>
        </w:rPr>
      </w:pPr>
      <w:r>
        <w:rPr>
          <w:color w:val="000000" w:themeColor="text1"/>
        </w:rPr>
        <w:t xml:space="preserve"> </w:t>
      </w:r>
      <w:bookmarkStart w:id="56" w:name="_Toc21441_WPSOffice_Level3"/>
      <w:bookmarkStart w:id="57" w:name="_Toc13826"/>
      <w:bookmarkStart w:id="58" w:name="_Toc16864"/>
      <w:bookmarkStart w:id="59" w:name="_Toc30913"/>
      <w:bookmarkStart w:id="60" w:name="_Toc15391"/>
      <w:r>
        <w:rPr>
          <w:color w:val="000000" w:themeColor="text1"/>
        </w:rPr>
        <w:t>规章和规范性文件</w:t>
      </w:r>
      <w:bookmarkEnd w:id="56"/>
      <w:bookmarkEnd w:id="57"/>
      <w:bookmarkEnd w:id="58"/>
      <w:bookmarkEnd w:id="59"/>
      <w:bookmarkEnd w:id="60"/>
    </w:p>
    <w:p>
      <w:pPr>
        <w:numPr>
          <w:ilvl w:val="0"/>
          <w:numId w:val="4"/>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《建设项目环境影响评价分类管理名录》</w:t>
      </w:r>
      <w:r>
        <w:rPr>
          <w:rFonts w:hint="eastAsia" w:ascii="Times New Roman" w:hAnsi="Times New Roman" w:eastAsia="宋体" w:cs="Times New Roman"/>
          <w:color w:val="000000" w:themeColor="text1"/>
          <w:sz w:val="24"/>
        </w:rPr>
        <w:t>（2021年版）</w:t>
      </w:r>
      <w:r>
        <w:rPr>
          <w:rFonts w:ascii="Times New Roman" w:hAnsi="Times New Roman" w:eastAsia="宋体" w:cs="Times New Roman"/>
          <w:color w:val="000000" w:themeColor="text1"/>
          <w:sz w:val="24"/>
        </w:rPr>
        <w:t>；</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2</w:t>
      </w:r>
      <w:r>
        <w:rPr>
          <w:rFonts w:ascii="Times New Roman" w:hAnsi="Times New Roman" w:eastAsia="宋体" w:cs="Times New Roman"/>
          <w:color w:val="000000" w:themeColor="text1"/>
          <w:sz w:val="24"/>
        </w:rPr>
        <w:t>）《大气污染防治行动计划》（国发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2013</w:t>
      </w:r>
      <w:r>
        <w:rPr>
          <w:rFonts w:ascii="Arial" w:hAnsi="Arial" w:eastAsia="宋体" w:cs="Arial"/>
          <w:i w:val="0"/>
          <w:caps w:val="0"/>
          <w:color w:val="000000" w:themeColor="text1"/>
          <w:spacing w:val="0"/>
          <w:sz w:val="24"/>
          <w:szCs w:val="24"/>
          <w:shd w:val="clear" w:fill="FFFFFF"/>
        </w:rPr>
        <w:t>〕</w:t>
      </w:r>
      <w:r>
        <w:rPr>
          <w:rFonts w:ascii="Times New Roman" w:hAnsi="Times New Roman" w:eastAsia="宋体" w:cs="Times New Roman"/>
          <w:color w:val="000000" w:themeColor="text1"/>
          <w:sz w:val="24"/>
        </w:rPr>
        <w:t>37号）；</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3</w:t>
      </w:r>
      <w:r>
        <w:rPr>
          <w:rFonts w:ascii="Times New Roman" w:hAnsi="Times New Roman" w:eastAsia="宋体" w:cs="Times New Roman"/>
          <w:color w:val="000000" w:themeColor="text1"/>
          <w:sz w:val="24"/>
        </w:rPr>
        <w:t>）《水污染防治行动计划》（国发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2015</w:t>
      </w:r>
      <w:r>
        <w:rPr>
          <w:rFonts w:ascii="Arial" w:hAnsi="Arial" w:eastAsia="宋体" w:cs="Arial"/>
          <w:i w:val="0"/>
          <w:caps w:val="0"/>
          <w:color w:val="000000" w:themeColor="text1"/>
          <w:spacing w:val="0"/>
          <w:sz w:val="24"/>
          <w:szCs w:val="24"/>
          <w:shd w:val="clear" w:fill="FFFFFF"/>
        </w:rPr>
        <w:t>〕</w:t>
      </w:r>
      <w:r>
        <w:rPr>
          <w:rFonts w:ascii="Times New Roman" w:hAnsi="Times New Roman" w:eastAsia="宋体" w:cs="Times New Roman"/>
          <w:color w:val="000000" w:themeColor="text1"/>
          <w:sz w:val="24"/>
        </w:rPr>
        <w:t>17号）；</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4</w:t>
      </w:r>
      <w:r>
        <w:rPr>
          <w:rFonts w:ascii="Times New Roman" w:hAnsi="Times New Roman" w:eastAsia="宋体" w:cs="Times New Roman"/>
          <w:color w:val="000000" w:themeColor="text1"/>
          <w:sz w:val="24"/>
        </w:rPr>
        <w:t>）《土壤污染防治行动计划》（国发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2016</w:t>
      </w:r>
      <w:r>
        <w:rPr>
          <w:rFonts w:ascii="Arial" w:hAnsi="Arial" w:eastAsia="宋体" w:cs="Arial"/>
          <w:i w:val="0"/>
          <w:caps w:val="0"/>
          <w:color w:val="000000" w:themeColor="text1"/>
          <w:spacing w:val="0"/>
          <w:sz w:val="24"/>
          <w:szCs w:val="24"/>
          <w:shd w:val="clear" w:fill="FFFFFF"/>
        </w:rPr>
        <w:t>〕</w:t>
      </w:r>
      <w:r>
        <w:rPr>
          <w:rFonts w:ascii="Times New Roman" w:hAnsi="Times New Roman" w:eastAsia="宋体" w:cs="Times New Roman"/>
          <w:color w:val="000000" w:themeColor="text1"/>
          <w:sz w:val="24"/>
        </w:rPr>
        <w:t>31号）；</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）《环境影响评价公众参与办法》（生态环境部令  第4号）；</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6</w:t>
      </w:r>
      <w:r>
        <w:rPr>
          <w:rFonts w:ascii="Times New Roman" w:hAnsi="Times New Roman" w:eastAsia="宋体" w:cs="Times New Roman"/>
          <w:color w:val="000000" w:themeColor="text1"/>
          <w:sz w:val="24"/>
        </w:rPr>
        <w:t>）《关于发布&lt;环境影响评价公众参与办法&gt;配套文件的公告》（生态环境部公告2018年第48号）；</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7</w:t>
      </w:r>
      <w:r>
        <w:rPr>
          <w:rFonts w:ascii="Times New Roman" w:hAnsi="Times New Roman" w:eastAsia="宋体" w:cs="Times New Roman"/>
          <w:color w:val="000000" w:themeColor="text1"/>
          <w:sz w:val="24"/>
        </w:rPr>
        <w:t>）《产业结构调整指导目录（2019年本）》（国家发改委第29号令）；</w:t>
      </w:r>
    </w:p>
    <w:p>
      <w:pPr>
        <w:pStyle w:val="8"/>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8</w:t>
      </w:r>
      <w:r>
        <w:rPr>
          <w:rFonts w:hint="default" w:ascii="Times New Roman" w:hAnsi="Times New Roman" w:eastAsia="宋体" w:cs="Times New Roman"/>
          <w:b w:val="0"/>
          <w:bCs/>
          <w:color w:val="000000" w:themeColor="text1"/>
          <w:sz w:val="24"/>
          <w:szCs w:val="24"/>
          <w:lang w:eastAsia="zh-CN"/>
        </w:rPr>
        <w:t>）</w:t>
      </w:r>
      <w:r>
        <w:rPr>
          <w:rFonts w:hint="default" w:ascii="Times New Roman" w:hAnsi="Times New Roman" w:eastAsia="宋体" w:cs="Times New Roman"/>
          <w:b w:val="0"/>
          <w:bCs/>
          <w:color w:val="000000" w:themeColor="text1"/>
          <w:sz w:val="24"/>
          <w:szCs w:val="24"/>
        </w:rPr>
        <w:t>《矿山生态环境保护与污染防治技术政策》（环发</w:t>
      </w:r>
      <w:r>
        <w:rPr>
          <w:rFonts w:ascii="Arial" w:hAnsi="Arial" w:eastAsia="宋体" w:cs="Arial"/>
          <w:b w:val="0"/>
          <w:bCs/>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sz w:val="24"/>
          <w:szCs w:val="24"/>
          <w:lang w:val="en-US" w:eastAsia="zh-CN"/>
        </w:rPr>
        <w:t>2005</w:t>
      </w:r>
      <w:r>
        <w:rPr>
          <w:rFonts w:ascii="Arial" w:hAnsi="Arial" w:eastAsia="宋体" w:cs="Arial"/>
          <w:b w:val="0"/>
          <w:bCs/>
          <w:i w:val="0"/>
          <w:caps w:val="0"/>
          <w:color w:val="000000" w:themeColor="text1"/>
          <w:spacing w:val="0"/>
          <w:sz w:val="24"/>
          <w:szCs w:val="24"/>
          <w:shd w:val="clear" w:fill="FFFFFF"/>
        </w:rPr>
        <w:t>〕</w:t>
      </w:r>
      <w:r>
        <w:rPr>
          <w:rFonts w:hint="default" w:ascii="Times New Roman" w:hAnsi="Times New Roman" w:eastAsia="宋体" w:cs="Times New Roman"/>
          <w:b w:val="0"/>
          <w:bCs/>
          <w:color w:val="000000" w:themeColor="text1"/>
          <w:sz w:val="24"/>
          <w:szCs w:val="24"/>
        </w:rPr>
        <w:t>109号），2005.9.7；</w:t>
      </w:r>
    </w:p>
    <w:p>
      <w:pPr>
        <w:pStyle w:val="8"/>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w:t>
      </w:r>
      <w:r>
        <w:rPr>
          <w:rFonts w:hint="eastAsia" w:ascii="Times New Roman" w:hAnsi="Times New Roman" w:eastAsia="宋体" w:cs="Times New Roman"/>
          <w:b w:val="0"/>
          <w:bCs/>
          <w:color w:val="000000" w:themeColor="text1"/>
          <w:sz w:val="24"/>
          <w:szCs w:val="24"/>
          <w:lang w:val="en-US" w:eastAsia="zh-CN"/>
        </w:rPr>
        <w:t>9</w:t>
      </w:r>
      <w:r>
        <w:rPr>
          <w:rFonts w:hint="default" w:ascii="Times New Roman" w:hAnsi="Times New Roman" w:eastAsia="宋体" w:cs="Times New Roman"/>
          <w:b w:val="0"/>
          <w:bCs/>
          <w:color w:val="000000" w:themeColor="text1"/>
          <w:sz w:val="24"/>
          <w:szCs w:val="24"/>
        </w:rPr>
        <w:t>）国土资源部《矿山地质环境保护规定》，2019.7.16修订；</w:t>
      </w:r>
    </w:p>
    <w:p>
      <w:pPr>
        <w:pStyle w:val="8"/>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w:t>
      </w:r>
      <w:r>
        <w:rPr>
          <w:rFonts w:hint="eastAsia" w:ascii="Times New Roman" w:hAnsi="Times New Roman" w:eastAsia="宋体" w:cs="Times New Roman"/>
          <w:b w:val="0"/>
          <w:bCs/>
          <w:color w:val="000000" w:themeColor="text1"/>
          <w:sz w:val="24"/>
          <w:szCs w:val="24"/>
          <w:lang w:val="en-US" w:eastAsia="zh-CN"/>
        </w:rPr>
        <w:t>10</w:t>
      </w:r>
      <w:r>
        <w:rPr>
          <w:rFonts w:hint="default" w:ascii="Times New Roman" w:hAnsi="Times New Roman" w:eastAsia="宋体" w:cs="Times New Roman"/>
          <w:b w:val="0"/>
          <w:bCs/>
          <w:color w:val="000000" w:themeColor="text1"/>
          <w:sz w:val="24"/>
          <w:szCs w:val="24"/>
        </w:rPr>
        <w:t>）《国务院关于印发打赢蓝天保卫战三年行动计划的通知》，国发</w:t>
      </w:r>
      <w:r>
        <w:rPr>
          <w:rFonts w:ascii="Arial" w:hAnsi="Arial" w:eastAsia="宋体" w:cs="Arial"/>
          <w:b w:val="0"/>
          <w:bCs/>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sz w:val="24"/>
          <w:szCs w:val="24"/>
          <w:lang w:val="en-US" w:eastAsia="zh-CN"/>
        </w:rPr>
        <w:t>2018</w:t>
      </w:r>
      <w:r>
        <w:rPr>
          <w:rFonts w:ascii="Arial" w:hAnsi="Arial" w:eastAsia="宋体" w:cs="Arial"/>
          <w:b w:val="0"/>
          <w:bCs/>
          <w:i w:val="0"/>
          <w:caps w:val="0"/>
          <w:color w:val="000000" w:themeColor="text1"/>
          <w:spacing w:val="0"/>
          <w:sz w:val="24"/>
          <w:szCs w:val="24"/>
          <w:shd w:val="clear" w:fill="FFFFFF"/>
        </w:rPr>
        <w:t>〕</w:t>
      </w:r>
      <w:r>
        <w:rPr>
          <w:rFonts w:hint="default" w:ascii="Times New Roman" w:hAnsi="Times New Roman" w:eastAsia="宋体" w:cs="Times New Roman"/>
          <w:b w:val="0"/>
          <w:bCs/>
          <w:color w:val="000000" w:themeColor="text1"/>
          <w:sz w:val="24"/>
          <w:szCs w:val="24"/>
        </w:rPr>
        <w:t>22号，2018.6.7；</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color w:val="000000" w:themeColor="text1"/>
          <w:sz w:val="24"/>
          <w:szCs w:val="24"/>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11</w:t>
      </w:r>
      <w:r>
        <w:rPr>
          <w:rFonts w:hint="eastAsia" w:ascii="Times New Roman" w:hAnsi="Times New Roman" w:eastAsia="宋体" w:cs="Times New Roman"/>
          <w:b w:val="0"/>
          <w:bCs/>
          <w:color w:val="000000" w:themeColor="text1"/>
          <w:sz w:val="24"/>
          <w:szCs w:val="24"/>
          <w:lang w:eastAsia="zh-CN"/>
        </w:rPr>
        <w:t>）</w:t>
      </w:r>
      <w:r>
        <w:rPr>
          <w:rFonts w:hint="default" w:ascii="Times New Roman" w:hAnsi="Times New Roman" w:eastAsia="宋体" w:cs="Times New Roman"/>
          <w:b w:val="0"/>
          <w:bCs/>
          <w:color w:val="000000" w:themeColor="text1"/>
          <w:sz w:val="24"/>
          <w:szCs w:val="24"/>
        </w:rPr>
        <w:t>部关于进一步加强土地整理复垦开发《国务院关于全面整顿和规范矿产资源开发秩序的通知》；</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color w:val="000000" w:themeColor="text1"/>
          <w:sz w:val="24"/>
          <w:szCs w:val="24"/>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12</w:t>
      </w:r>
      <w:r>
        <w:rPr>
          <w:rFonts w:hint="eastAsia" w:ascii="Times New Roman" w:hAnsi="Times New Roman" w:eastAsia="宋体" w:cs="Times New Roman"/>
          <w:b w:val="0"/>
          <w:bCs/>
          <w:color w:val="000000" w:themeColor="text1"/>
          <w:sz w:val="24"/>
          <w:szCs w:val="24"/>
          <w:lang w:eastAsia="zh-CN"/>
        </w:rPr>
        <w:t>）</w:t>
      </w:r>
      <w:r>
        <w:rPr>
          <w:rFonts w:hint="default" w:ascii="Times New Roman" w:hAnsi="Times New Roman" w:eastAsia="宋体" w:cs="Times New Roman"/>
          <w:b w:val="0"/>
          <w:bCs/>
          <w:color w:val="000000" w:themeColor="text1"/>
          <w:sz w:val="24"/>
          <w:szCs w:val="24"/>
        </w:rPr>
        <w:t>《矿山生态环境保护与污染防治技术政策》环发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2005</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b w:val="0"/>
          <w:bCs/>
          <w:color w:val="000000" w:themeColor="text1"/>
          <w:sz w:val="24"/>
          <w:szCs w:val="24"/>
        </w:rPr>
        <w:t>109号；</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color w:val="000000" w:themeColor="text1"/>
          <w:sz w:val="24"/>
          <w:szCs w:val="24"/>
          <w:lang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13</w:t>
      </w:r>
      <w:r>
        <w:rPr>
          <w:rFonts w:hint="eastAsia" w:ascii="Times New Roman" w:hAnsi="Times New Roman" w:eastAsia="宋体" w:cs="Times New Roman"/>
          <w:b w:val="0"/>
          <w:bCs/>
          <w:color w:val="000000" w:themeColor="text1"/>
          <w:sz w:val="24"/>
          <w:szCs w:val="24"/>
          <w:lang w:eastAsia="zh-CN"/>
        </w:rPr>
        <w:t>）</w:t>
      </w:r>
      <w:r>
        <w:rPr>
          <w:rFonts w:hint="default" w:ascii="Times New Roman" w:hAnsi="Times New Roman" w:eastAsia="宋体" w:cs="Times New Roman"/>
          <w:b w:val="0"/>
          <w:bCs/>
          <w:color w:val="000000" w:themeColor="text1"/>
          <w:sz w:val="24"/>
          <w:szCs w:val="24"/>
        </w:rPr>
        <w:t>《矿山生态环境保护与恢复治理技术规范》（试行）（HJ651-2013）</w:t>
      </w:r>
      <w:r>
        <w:rPr>
          <w:rFonts w:hint="eastAsia" w:ascii="Times New Roman" w:hAnsi="Times New Roman" w:eastAsia="宋体" w:cs="Times New Roman"/>
          <w:b w:val="0"/>
          <w:bCs/>
          <w:color w:val="000000" w:themeColor="text1"/>
          <w:sz w:val="24"/>
          <w:szCs w:val="24"/>
          <w:lang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14</w:t>
      </w:r>
      <w:r>
        <w:rPr>
          <w:rFonts w:hint="eastAsia" w:ascii="Times New Roman" w:hAnsi="Times New Roman" w:eastAsia="宋体" w:cs="Times New Roman"/>
          <w:b w:val="0"/>
          <w:bCs/>
          <w:color w:val="000000" w:themeColor="text1"/>
          <w:sz w:val="24"/>
          <w:szCs w:val="24"/>
          <w:lang w:eastAsia="zh-CN"/>
        </w:rPr>
        <w:t>）</w:t>
      </w:r>
      <w:r>
        <w:rPr>
          <w:rFonts w:hint="default" w:ascii="Times New Roman" w:hAnsi="Times New Roman" w:eastAsia="宋体" w:cs="Times New Roman"/>
          <w:b w:val="0"/>
          <w:bCs/>
          <w:color w:val="000000" w:themeColor="text1"/>
          <w:sz w:val="24"/>
          <w:szCs w:val="24"/>
          <w:lang w:eastAsia="zh-CN"/>
        </w:rPr>
        <w:t>《排污许可管理条例》（</w:t>
      </w:r>
      <w:r>
        <w:rPr>
          <w:rFonts w:hint="default" w:ascii="Times New Roman" w:hAnsi="Times New Roman" w:eastAsia="宋体" w:cs="Times New Roman"/>
          <w:b w:val="0"/>
          <w:bCs/>
          <w:color w:val="000000" w:themeColor="text1"/>
          <w:sz w:val="24"/>
          <w:szCs w:val="24"/>
          <w:lang w:val="en-US" w:eastAsia="zh-CN"/>
        </w:rPr>
        <w:t>2021.1.29</w:t>
      </w:r>
      <w:r>
        <w:rPr>
          <w:rFonts w:hint="default"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 xml:space="preserve"> </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val="en-US" w:eastAsia="zh-CN"/>
        </w:rPr>
        <w:t>（15）《关于加强生产建设项目土地复垦管理工作的通知》（国土资发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2006</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sz w:val="24"/>
          <w:szCs w:val="24"/>
          <w:lang w:val="en-US" w:eastAsia="zh-CN"/>
        </w:rPr>
        <w:t>225号，2006.9）；</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val="en-US" w:eastAsia="zh-CN"/>
        </w:rPr>
        <w:t>（16）《土地复垦条例实施办法》（国土资源部，2019.7）；</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val="en-US" w:eastAsia="zh-CN"/>
        </w:rPr>
        <w:t>（17）《国家危险废物名录（2021年版）》（2021.1）；</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b w:val="0"/>
          <w:bCs/>
          <w:color w:val="000000" w:themeColor="text1"/>
          <w:sz w:val="24"/>
          <w:szCs w:val="24"/>
          <w:lang w:val="en-US" w:eastAsia="zh-CN"/>
        </w:rPr>
        <w:t>（18）《关于“十四五”大宗固体废弃物综合利用的指导意见》（发改环资</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2021</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sz w:val="24"/>
          <w:szCs w:val="24"/>
          <w:lang w:val="en-US" w:eastAsia="zh-CN"/>
        </w:rPr>
        <w:t>381号）。</w:t>
      </w:r>
    </w:p>
    <w:p>
      <w:pPr>
        <w:pStyle w:val="5"/>
        <w:rPr>
          <w:color w:val="000000" w:themeColor="text1"/>
        </w:rPr>
      </w:pPr>
      <w:r>
        <w:rPr>
          <w:color w:val="000000" w:themeColor="text1"/>
        </w:rPr>
        <w:t xml:space="preserve"> </w:t>
      </w:r>
      <w:bookmarkStart w:id="61" w:name="_Toc29565"/>
      <w:bookmarkStart w:id="62" w:name="_Toc16369_WPSOffice_Level3"/>
      <w:bookmarkStart w:id="63" w:name="_Toc2335"/>
      <w:bookmarkStart w:id="64" w:name="_Toc14835"/>
      <w:bookmarkStart w:id="65" w:name="_Toc10155"/>
      <w:r>
        <w:rPr>
          <w:color w:val="000000" w:themeColor="text1"/>
        </w:rPr>
        <w:t>地方行政规章及规范性文件</w:t>
      </w:r>
      <w:bookmarkEnd w:id="61"/>
      <w:bookmarkEnd w:id="62"/>
      <w:bookmarkEnd w:id="63"/>
      <w:bookmarkEnd w:id="64"/>
      <w:bookmarkEnd w:id="65"/>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《陕西省大气污染防治条例》（2019年7月31日）；</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《陕西省节约能源条例》（2014年9月24日）；</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《陕西省固体废物污染环境防治条例》（2019年7月31日）；</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《陕西省地下水条例》（2016年4月1日）；</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《陕西省铁腕治霾蓝天保卫战三年行动方案（2018-2020年）》（陕政发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2018</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color w:val="000000" w:themeColor="text1"/>
          <w:sz w:val="24"/>
          <w:szCs w:val="24"/>
        </w:rPr>
        <w:t>29号）；</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《陕西省生态功能区划》（陕政办发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2004</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color w:val="000000" w:themeColor="text1"/>
          <w:sz w:val="24"/>
          <w:szCs w:val="24"/>
        </w:rPr>
        <w:t>115号）；</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《陕西省水功能区划》（陕政发发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2004</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color w:val="000000" w:themeColor="text1"/>
          <w:sz w:val="24"/>
          <w:szCs w:val="24"/>
        </w:rPr>
        <w:t>100号）；</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《陕西省水污染防治工作方案的通知》（陕政发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2015</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color w:val="000000" w:themeColor="text1"/>
          <w:sz w:val="24"/>
          <w:szCs w:val="24"/>
        </w:rPr>
        <w:t>60号）；</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《进一步加强风险防范严格环境影响评价管理的通知》（陕环函</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2012</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color w:val="000000" w:themeColor="text1"/>
          <w:sz w:val="24"/>
          <w:szCs w:val="24"/>
        </w:rPr>
        <w:t>764号）；</w:t>
      </w:r>
    </w:p>
    <w:p>
      <w:pPr>
        <w:numPr>
          <w:ilvl w:val="0"/>
          <w:numId w:val="5"/>
        </w:num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《陕西省国家重点生态功能区产业准入负面清单（试行）》的通知（陕发改规划</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2018</w:t>
      </w:r>
      <w:r>
        <w:rPr>
          <w:rFonts w:ascii="Arial" w:hAnsi="Arial" w:eastAsia="宋体" w:cs="Arial"/>
          <w:i w:val="0"/>
          <w:caps w:val="0"/>
          <w:color w:val="000000" w:themeColor="text1"/>
          <w:spacing w:val="0"/>
          <w:sz w:val="24"/>
          <w:szCs w:val="24"/>
          <w:shd w:val="clear" w:fill="FFFFFF"/>
        </w:rPr>
        <w:t>〕</w:t>
      </w:r>
      <w:r>
        <w:rPr>
          <w:rFonts w:hint="default" w:ascii="Times New Roman" w:hAnsi="Times New Roman" w:eastAsia="宋体" w:cs="Times New Roman"/>
          <w:color w:val="000000" w:themeColor="text1"/>
          <w:sz w:val="24"/>
          <w:szCs w:val="24"/>
        </w:rPr>
        <w:t>213号）；</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《陕西汉江丹江流域水污染防治条例》（</w:t>
      </w:r>
      <w:r>
        <w:rPr>
          <w:rFonts w:hint="default" w:ascii="Times New Roman" w:hAnsi="Times New Roman" w:eastAsia="宋体" w:cs="Times New Roman"/>
          <w:color w:val="000000" w:themeColor="text1"/>
          <w:sz w:val="24"/>
          <w:szCs w:val="24"/>
          <w:lang w:val="en-US" w:eastAsia="zh-CN"/>
        </w:rPr>
        <w:t>2020年修正</w:t>
      </w:r>
      <w:r>
        <w:rPr>
          <w:rFonts w:hint="default" w:ascii="Times New Roman" w:hAnsi="Times New Roman" w:eastAsia="宋体" w:cs="Times New Roman"/>
          <w:color w:val="000000" w:themeColor="text1"/>
          <w:sz w:val="24"/>
          <w:szCs w:val="24"/>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《陕西省矿产资源总体规划（2016</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rPr>
        <w:t>2020年）》，2017.9.29；</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《陕西省人民政府关于印发省矿产资源开发保发展治粗放保安全治隐患保生态治污染行动计划（2016-2020年）的通知》；             </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Cs/>
          <w:color w:val="000000" w:themeColor="text1"/>
          <w:sz w:val="24"/>
          <w:szCs w:val="24"/>
        </w:rPr>
        <w:t>《陕西省矿产资源开发</w:t>
      </w:r>
      <w:r>
        <w:rPr>
          <w:rFonts w:hint="eastAsia" w:ascii="Times New Roman" w:hAnsi="Times New Roman" w:eastAsia="宋体" w:cs="Times New Roman"/>
          <w:bCs/>
          <w:color w:val="000000" w:themeColor="text1"/>
          <w:sz w:val="24"/>
          <w:szCs w:val="24"/>
          <w:lang w:eastAsia="zh-CN"/>
        </w:rPr>
        <w:t>“</w:t>
      </w:r>
      <w:r>
        <w:rPr>
          <w:rFonts w:hint="default" w:ascii="Times New Roman" w:hAnsi="Times New Roman" w:eastAsia="宋体" w:cs="Times New Roman"/>
          <w:bCs/>
          <w:color w:val="000000" w:themeColor="text1"/>
          <w:sz w:val="24"/>
          <w:szCs w:val="24"/>
        </w:rPr>
        <w:t>保生态治污染</w:t>
      </w:r>
      <w:r>
        <w:rPr>
          <w:rFonts w:hint="eastAsia" w:ascii="Times New Roman" w:hAnsi="Times New Roman" w:eastAsia="宋体" w:cs="Times New Roman"/>
          <w:bCs/>
          <w:color w:val="000000" w:themeColor="text1"/>
          <w:sz w:val="24"/>
          <w:szCs w:val="24"/>
          <w:lang w:eastAsia="zh-CN"/>
        </w:rPr>
        <w:t>”</w:t>
      </w:r>
      <w:r>
        <w:rPr>
          <w:rFonts w:hint="default" w:ascii="Times New Roman" w:hAnsi="Times New Roman" w:eastAsia="宋体" w:cs="Times New Roman"/>
          <w:bCs/>
          <w:color w:val="000000" w:themeColor="text1"/>
          <w:sz w:val="24"/>
          <w:szCs w:val="24"/>
        </w:rPr>
        <w:t>行动方案（2016-2020年）》；</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《陕西省矿产资源开发保发展、治粗放，保安全、治隐患，保生态、治污染行动计划》；</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bCs/>
          <w:color w:val="000000" w:themeColor="text1"/>
          <w:sz w:val="24"/>
          <w:szCs w:val="24"/>
          <w:lang w:eastAsia="zh-CN"/>
        </w:rPr>
      </w:pPr>
      <w:r>
        <w:rPr>
          <w:rFonts w:hint="eastAsia" w:ascii="Times New Roman" w:hAnsi="Times New Roman" w:eastAsia="宋体" w:cs="Times New Roman"/>
          <w:bCs/>
          <w:color w:val="000000" w:themeColor="text1"/>
          <w:sz w:val="24"/>
          <w:szCs w:val="24"/>
          <w:lang w:eastAsia="zh-CN"/>
        </w:rPr>
        <w:t>《</w:t>
      </w:r>
      <w:r>
        <w:rPr>
          <w:rFonts w:hint="eastAsia" w:ascii="Times New Roman" w:hAnsi="Times New Roman" w:eastAsia="宋体" w:cs="Times New Roman"/>
          <w:bCs/>
          <w:color w:val="000000" w:themeColor="text1"/>
          <w:sz w:val="24"/>
          <w:szCs w:val="24"/>
          <w:lang w:val="en-US" w:eastAsia="zh-CN"/>
        </w:rPr>
        <w:t>关于落实&lt;水污染防治行动计划&gt;和&lt;陕西省水污染防治工作方案&gt;实施差别化环境准入的指导意见</w:t>
      </w:r>
      <w:r>
        <w:rPr>
          <w:rFonts w:hint="eastAsia" w:ascii="Times New Roman" w:hAnsi="Times New Roman" w:eastAsia="宋体" w:cs="Times New Roman"/>
          <w:bCs/>
          <w:color w:val="000000" w:themeColor="text1"/>
          <w:sz w:val="24"/>
          <w:szCs w:val="24"/>
          <w:lang w:eastAsia="zh-CN"/>
        </w:rPr>
        <w:t>》（</w:t>
      </w:r>
      <w:r>
        <w:rPr>
          <w:rFonts w:hint="eastAsia" w:ascii="Times New Roman" w:hAnsi="Times New Roman" w:eastAsia="宋体" w:cs="Times New Roman"/>
          <w:bCs/>
          <w:color w:val="000000" w:themeColor="text1"/>
          <w:sz w:val="24"/>
          <w:szCs w:val="24"/>
          <w:lang w:val="en-US" w:eastAsia="zh-CN"/>
        </w:rPr>
        <w:t>陕环发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2017</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Cs/>
          <w:color w:val="000000" w:themeColor="text1"/>
          <w:sz w:val="24"/>
          <w:szCs w:val="24"/>
          <w:lang w:val="en-US" w:eastAsia="zh-CN"/>
        </w:rPr>
        <w:t>27号</w:t>
      </w:r>
      <w:r>
        <w:rPr>
          <w:rFonts w:hint="eastAsia" w:ascii="Times New Roman" w:hAnsi="Times New Roman" w:eastAsia="宋体" w:cs="Times New Roman"/>
          <w:bCs/>
          <w:color w:val="000000" w:themeColor="text1"/>
          <w:sz w:val="24"/>
          <w:szCs w:val="24"/>
          <w:lang w:eastAsia="zh-CN"/>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Cs/>
          <w:color w:val="000000" w:themeColor="text1"/>
          <w:sz w:val="24"/>
          <w:szCs w:val="24"/>
          <w:lang w:eastAsia="zh-CN"/>
        </w:rPr>
      </w:pPr>
      <w:r>
        <w:rPr>
          <w:rFonts w:hint="eastAsia" w:ascii="Times New Roman" w:hAnsi="Times New Roman" w:eastAsia="宋体" w:cs="Times New Roman"/>
          <w:bCs/>
          <w:color w:val="000000" w:themeColor="text1"/>
          <w:sz w:val="24"/>
          <w:szCs w:val="24"/>
          <w:lang w:eastAsia="zh-CN"/>
        </w:rPr>
        <w:t>《</w:t>
      </w:r>
      <w:r>
        <w:rPr>
          <w:rFonts w:hint="eastAsia" w:ascii="Times New Roman" w:hAnsi="Times New Roman" w:eastAsia="宋体" w:cs="Times New Roman"/>
          <w:bCs/>
          <w:color w:val="000000" w:themeColor="text1"/>
          <w:sz w:val="24"/>
          <w:szCs w:val="24"/>
          <w:lang w:val="en-US" w:eastAsia="zh-CN"/>
        </w:rPr>
        <w:t>陕西省人民政府关于加快实施“三线一单”生态环境分区管控的意见</w:t>
      </w:r>
      <w:r>
        <w:rPr>
          <w:rFonts w:hint="eastAsia" w:ascii="Times New Roman" w:hAnsi="Times New Roman" w:eastAsia="宋体" w:cs="Times New Roman"/>
          <w:bCs/>
          <w:color w:val="000000" w:themeColor="text1"/>
          <w:sz w:val="24"/>
          <w:szCs w:val="24"/>
          <w:lang w:eastAsia="zh-CN"/>
        </w:rPr>
        <w:t>》（</w:t>
      </w:r>
      <w:r>
        <w:rPr>
          <w:rFonts w:hint="eastAsia" w:ascii="Times New Roman" w:hAnsi="Times New Roman" w:eastAsia="宋体" w:cs="Times New Roman"/>
          <w:bCs/>
          <w:color w:val="000000" w:themeColor="text1"/>
          <w:sz w:val="24"/>
          <w:szCs w:val="24"/>
          <w:lang w:val="en-US" w:eastAsia="zh-CN"/>
        </w:rPr>
        <w:t>陕政发</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2020</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Cs/>
          <w:color w:val="000000" w:themeColor="text1"/>
          <w:sz w:val="24"/>
          <w:szCs w:val="24"/>
          <w:lang w:val="en-US" w:eastAsia="zh-CN"/>
        </w:rPr>
        <w:t>11号</w:t>
      </w:r>
      <w:r>
        <w:rPr>
          <w:rFonts w:hint="eastAsia" w:ascii="Times New Roman" w:hAnsi="Times New Roman" w:eastAsia="宋体" w:cs="Times New Roman"/>
          <w:bCs/>
          <w:color w:val="000000" w:themeColor="text1"/>
          <w:sz w:val="24"/>
          <w:szCs w:val="24"/>
          <w:lang w:eastAsia="zh-CN"/>
        </w:rPr>
        <w:t>）；</w:t>
      </w:r>
    </w:p>
    <w:p>
      <w:pPr>
        <w:pStyle w:val="5"/>
        <w:pageBreakBefore w:val="0"/>
        <w:widowControl w:val="0"/>
        <w:numPr>
          <w:ilvl w:val="0"/>
          <w:numId w:val="5"/>
        </w:numPr>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eastAsia" w:ascii="Times New Roman" w:hAnsi="Times New Roman" w:eastAsia="宋体" w:cs="Times New Roman"/>
          <w:b w:val="0"/>
          <w:bCs/>
          <w:color w:val="000000" w:themeColor="text1"/>
          <w:kern w:val="2"/>
          <w:sz w:val="24"/>
          <w:szCs w:val="24"/>
          <w:lang w:val="en-US" w:eastAsia="zh-CN" w:bidi="ar-SA"/>
        </w:rPr>
      </w:pPr>
      <w:bookmarkStart w:id="66" w:name="_Toc6094"/>
      <w:r>
        <w:rPr>
          <w:rFonts w:hint="eastAsia" w:ascii="Times New Roman" w:hAnsi="Times New Roman" w:eastAsia="宋体" w:cs="Times New Roman"/>
          <w:b w:val="0"/>
          <w:bCs/>
          <w:color w:val="000000" w:themeColor="text1"/>
          <w:kern w:val="2"/>
          <w:sz w:val="24"/>
          <w:szCs w:val="24"/>
          <w:lang w:val="en-US" w:eastAsia="zh-CN" w:bidi="ar-SA"/>
        </w:rPr>
        <w:t>《陕西省固体废物污染防治专项整治行动方案》的通知（陕环发</w:t>
      </w:r>
      <w:r>
        <w:rPr>
          <w:rFonts w:ascii="Arial" w:hAnsi="Arial" w:eastAsia="宋体" w:cs="Arial"/>
          <w:b w:val="0"/>
          <w:bCs w:val="0"/>
          <w:i w:val="0"/>
          <w:caps w:val="0"/>
          <w:color w:val="000000" w:themeColor="text1"/>
          <w:spacing w:val="0"/>
          <w:sz w:val="24"/>
          <w:szCs w:val="24"/>
          <w:shd w:val="clear" w:fill="FFFFFF"/>
        </w:rPr>
        <w:t>〔</w:t>
      </w:r>
      <w:r>
        <w:rPr>
          <w:rFonts w:hint="eastAsia" w:ascii="Times New Roman" w:hAnsi="Times New Roman" w:eastAsia="宋体" w:cs="Times New Roman"/>
          <w:b w:val="0"/>
          <w:bCs w:val="0"/>
          <w:color w:val="000000" w:themeColor="text1"/>
          <w:sz w:val="24"/>
          <w:szCs w:val="24"/>
          <w:lang w:val="en-US" w:eastAsia="zh-CN"/>
        </w:rPr>
        <w:t>2018</w:t>
      </w:r>
      <w:r>
        <w:rPr>
          <w:rFonts w:ascii="Arial" w:hAnsi="Arial" w:eastAsia="宋体" w:cs="Arial"/>
          <w:b w:val="0"/>
          <w:bCs w:val="0"/>
          <w:i w:val="0"/>
          <w:caps w:val="0"/>
          <w:color w:val="000000" w:themeColor="text1"/>
          <w:spacing w:val="0"/>
          <w:sz w:val="24"/>
          <w:szCs w:val="24"/>
          <w:shd w:val="clear" w:fill="FFFFFF"/>
        </w:rPr>
        <w:t>〕</w:t>
      </w:r>
      <w:r>
        <w:rPr>
          <w:rFonts w:hint="eastAsia" w:ascii="Times New Roman" w:hAnsi="Times New Roman" w:eastAsia="宋体" w:cs="Times New Roman"/>
          <w:b w:val="0"/>
          <w:bCs w:val="0"/>
          <w:color w:val="000000" w:themeColor="text1"/>
          <w:kern w:val="2"/>
          <w:sz w:val="24"/>
          <w:szCs w:val="24"/>
          <w:lang w:val="en-US" w:eastAsia="zh-CN" w:bidi="ar-SA"/>
        </w:rPr>
        <w:t>2</w:t>
      </w:r>
      <w:r>
        <w:rPr>
          <w:rFonts w:hint="eastAsia" w:ascii="Times New Roman" w:hAnsi="Times New Roman" w:eastAsia="宋体" w:cs="Times New Roman"/>
          <w:b w:val="0"/>
          <w:bCs/>
          <w:color w:val="000000" w:themeColor="text1"/>
          <w:kern w:val="2"/>
          <w:sz w:val="24"/>
          <w:szCs w:val="24"/>
          <w:lang w:val="en-US" w:eastAsia="zh-CN" w:bidi="ar-SA"/>
        </w:rPr>
        <w:t>9号）；</w:t>
      </w:r>
      <w:bookmarkEnd w:id="66"/>
    </w:p>
    <w:p>
      <w:pPr>
        <w:pStyle w:val="5"/>
        <w:pageBreakBefore w:val="0"/>
        <w:widowControl w:val="0"/>
        <w:numPr>
          <w:ilvl w:val="0"/>
          <w:numId w:val="5"/>
        </w:numPr>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eastAsia" w:ascii="Times New Roman" w:hAnsi="Times New Roman" w:eastAsia="宋体" w:cs="Times New Roman"/>
          <w:b w:val="0"/>
          <w:bCs/>
          <w:color w:val="FF0000"/>
          <w:kern w:val="2"/>
          <w:sz w:val="24"/>
          <w:szCs w:val="24"/>
          <w:lang w:val="en-US" w:eastAsia="zh-CN" w:bidi="ar-SA"/>
        </w:rPr>
      </w:pPr>
      <w:bookmarkStart w:id="67" w:name="_Toc11963"/>
      <w:r>
        <w:rPr>
          <w:rFonts w:hint="eastAsia" w:ascii="Times New Roman" w:hAnsi="Times New Roman" w:eastAsia="宋体" w:cs="Times New Roman"/>
          <w:b w:val="0"/>
          <w:bCs/>
          <w:color w:val="FF0000"/>
          <w:kern w:val="2"/>
          <w:sz w:val="24"/>
          <w:szCs w:val="24"/>
          <w:lang w:val="en-US" w:eastAsia="zh-CN" w:bidi="ar-SA"/>
        </w:rPr>
        <w:t>《陕西省生态环境厅审批环境影响评价文件的建设项目目录（2021年本）》；</w:t>
      </w:r>
    </w:p>
    <w:p>
      <w:pPr>
        <w:pStyle w:val="5"/>
        <w:pageBreakBefore w:val="0"/>
        <w:widowControl w:val="0"/>
        <w:numPr>
          <w:ilvl w:val="0"/>
          <w:numId w:val="5"/>
        </w:numPr>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eastAsia" w:ascii="Times New Roman" w:hAnsi="Times New Roman" w:eastAsia="宋体" w:cs="Times New Roman"/>
          <w:b w:val="0"/>
          <w:bCs/>
          <w:color w:val="000000" w:themeColor="text1"/>
          <w:kern w:val="2"/>
          <w:sz w:val="24"/>
          <w:szCs w:val="24"/>
          <w:lang w:val="en-US" w:eastAsia="zh-CN" w:bidi="ar-SA"/>
        </w:rPr>
      </w:pPr>
      <w:r>
        <w:rPr>
          <w:rFonts w:hint="eastAsia" w:ascii="Times New Roman" w:hAnsi="Times New Roman" w:eastAsia="宋体" w:cs="Times New Roman"/>
          <w:b w:val="0"/>
          <w:bCs/>
          <w:color w:val="000000" w:themeColor="text1"/>
          <w:kern w:val="2"/>
          <w:sz w:val="24"/>
          <w:szCs w:val="24"/>
          <w:lang w:val="en-US" w:eastAsia="zh-CN" w:bidi="ar-SA"/>
        </w:rPr>
        <w:t>《安康市矿产资源总体规划》（2016-2020）；</w:t>
      </w:r>
      <w:bookmarkEnd w:id="67"/>
    </w:p>
    <w:p>
      <w:pPr>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color w:val="000000" w:themeColor="text1"/>
          <w:kern w:val="2"/>
          <w:sz w:val="24"/>
          <w:szCs w:val="24"/>
          <w:lang w:val="en-US" w:eastAsia="zh-CN" w:bidi="ar-SA"/>
        </w:rPr>
      </w:pPr>
      <w:r>
        <w:rPr>
          <w:rFonts w:hint="eastAsia" w:ascii="Times New Roman" w:hAnsi="Times New Roman" w:eastAsia="宋体" w:cs="Times New Roman"/>
          <w:b w:val="0"/>
          <w:bCs/>
          <w:color w:val="000000" w:themeColor="text1"/>
          <w:kern w:val="2"/>
          <w:sz w:val="24"/>
          <w:szCs w:val="24"/>
          <w:lang w:val="en-US" w:eastAsia="zh-CN" w:bidi="ar-SA"/>
        </w:rPr>
        <w:t>《安康市主体功能区规划》；</w:t>
      </w:r>
    </w:p>
    <w:p>
      <w:pPr>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《安康市人民政府关于印发四大保卫战2022年工作方案的通知》（安规</w:t>
      </w:r>
      <w:r>
        <w:rPr>
          <w:rFonts w:ascii="Arial" w:hAnsi="Arial" w:eastAsia="宋体" w:cs="Arial"/>
          <w:i w:val="0"/>
          <w:caps w:val="0"/>
          <w:color w:val="FF0000"/>
          <w:spacing w:val="0"/>
          <w:sz w:val="24"/>
          <w:szCs w:val="24"/>
          <w:shd w:val="clear" w:fill="FFFFFF"/>
        </w:rPr>
        <w:t>〔</w:t>
      </w:r>
      <w:r>
        <w:rPr>
          <w:rFonts w:hint="eastAsia" w:ascii="Times New Roman" w:hAnsi="Times New Roman" w:eastAsia="宋体" w:cs="Times New Roman"/>
          <w:color w:val="FF0000"/>
          <w:sz w:val="24"/>
          <w:szCs w:val="24"/>
          <w:lang w:val="en-US" w:eastAsia="zh-CN"/>
        </w:rPr>
        <w:t>2022</w:t>
      </w:r>
      <w:r>
        <w:rPr>
          <w:rFonts w:ascii="Arial" w:hAnsi="Arial" w:eastAsia="宋体" w:cs="Arial"/>
          <w:i w:val="0"/>
          <w:caps w:val="0"/>
          <w:color w:val="FF0000"/>
          <w:spacing w:val="0"/>
          <w:sz w:val="24"/>
          <w:szCs w:val="24"/>
          <w:shd w:val="clear" w:fill="FFFFFF"/>
        </w:rPr>
        <w:t>〕</w:t>
      </w:r>
      <w:r>
        <w:rPr>
          <w:rFonts w:hint="eastAsia" w:ascii="Times New Roman" w:hAnsi="Times New Roman" w:eastAsia="宋体" w:cs="Times New Roman"/>
          <w:b w:val="0"/>
          <w:bCs/>
          <w:color w:val="FF0000"/>
          <w:kern w:val="2"/>
          <w:sz w:val="24"/>
          <w:szCs w:val="24"/>
          <w:lang w:val="en-US" w:eastAsia="zh-CN" w:bidi="ar-SA"/>
        </w:rPr>
        <w:t>007号）；</w:t>
      </w:r>
    </w:p>
    <w:p>
      <w:pPr>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color w:val="000000" w:themeColor="text1"/>
          <w:kern w:val="2"/>
          <w:sz w:val="24"/>
          <w:szCs w:val="24"/>
          <w:lang w:val="en-US" w:eastAsia="zh-CN" w:bidi="ar-SA"/>
        </w:rPr>
      </w:pPr>
      <w:r>
        <w:rPr>
          <w:rFonts w:hint="eastAsia" w:ascii="Times New Roman" w:hAnsi="Times New Roman" w:eastAsia="宋体" w:cs="Times New Roman"/>
          <w:b w:val="0"/>
          <w:bCs/>
          <w:color w:val="000000" w:themeColor="text1"/>
          <w:kern w:val="2"/>
          <w:sz w:val="24"/>
          <w:szCs w:val="24"/>
          <w:lang w:val="en-US" w:eastAsia="zh-CN" w:bidi="ar-SA"/>
        </w:rPr>
        <w:t>《安康市国家主体功能区建设试点示范方案》（发改规划</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2015</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kern w:val="2"/>
          <w:sz w:val="24"/>
          <w:szCs w:val="24"/>
          <w:lang w:val="en-US" w:eastAsia="zh-CN" w:bidi="ar-SA"/>
        </w:rPr>
        <w:t>449号；</w:t>
      </w:r>
    </w:p>
    <w:p>
      <w:pPr>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color w:val="000000" w:themeColor="text1"/>
          <w:kern w:val="2"/>
          <w:sz w:val="24"/>
          <w:szCs w:val="24"/>
          <w:lang w:val="en-US" w:eastAsia="zh-CN" w:bidi="ar-SA"/>
        </w:rPr>
      </w:pPr>
      <w:r>
        <w:rPr>
          <w:rFonts w:hint="eastAsia" w:ascii="Times New Roman" w:hAnsi="Times New Roman" w:eastAsia="宋体" w:cs="Times New Roman"/>
          <w:b w:val="0"/>
          <w:bCs/>
          <w:color w:val="000000" w:themeColor="text1"/>
          <w:kern w:val="2"/>
          <w:sz w:val="24"/>
          <w:szCs w:val="24"/>
          <w:lang w:val="en-US" w:eastAsia="zh-CN" w:bidi="ar-SA"/>
        </w:rPr>
        <w:t>《旬阳县城镇体系规划》（2010-2030）；</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color w:val="000000" w:themeColor="text1"/>
          <w:kern w:val="2"/>
          <w:sz w:val="24"/>
          <w:szCs w:val="24"/>
          <w:lang w:val="en-US" w:eastAsia="zh-CN" w:bidi="ar-SA"/>
        </w:rPr>
      </w:pPr>
      <w:r>
        <w:rPr>
          <w:rFonts w:hint="eastAsia" w:ascii="Times New Roman" w:hAnsi="Times New Roman" w:eastAsia="宋体" w:cs="Times New Roman"/>
          <w:b w:val="0"/>
          <w:bCs/>
          <w:color w:val="000000" w:themeColor="text1"/>
          <w:kern w:val="2"/>
          <w:sz w:val="24"/>
          <w:szCs w:val="24"/>
          <w:lang w:val="en-US" w:eastAsia="zh-CN" w:bidi="ar-SA"/>
        </w:rPr>
        <w:t>（26）《旬阳县矿产资源总体规划》（2016-2020年）；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b w:val="0"/>
          <w:bCs/>
          <w:color w:val="000000" w:themeColor="text1"/>
          <w:kern w:val="2"/>
          <w:sz w:val="24"/>
          <w:szCs w:val="24"/>
          <w:lang w:val="en-US" w:eastAsia="zh-CN" w:bidi="ar-SA"/>
        </w:rPr>
      </w:pPr>
      <w:r>
        <w:rPr>
          <w:rFonts w:hint="eastAsia" w:ascii="Times New Roman" w:hAnsi="Times New Roman" w:eastAsia="宋体" w:cs="Times New Roman"/>
          <w:b w:val="0"/>
          <w:bCs/>
          <w:color w:val="000000" w:themeColor="text1"/>
          <w:kern w:val="2"/>
          <w:sz w:val="24"/>
          <w:szCs w:val="24"/>
          <w:lang w:val="en-US" w:eastAsia="zh-CN" w:bidi="ar-SA"/>
        </w:rPr>
        <w:t>（27）《旬阳县土地利用总体规划》（2006-2020年）。</w:t>
      </w:r>
    </w:p>
    <w:p>
      <w:pPr>
        <w:pStyle w:val="5"/>
        <w:rPr>
          <w:color w:val="000000" w:themeColor="text1"/>
        </w:rPr>
      </w:pPr>
      <w:r>
        <w:rPr>
          <w:color w:val="000000" w:themeColor="text1"/>
        </w:rPr>
        <w:t xml:space="preserve"> </w:t>
      </w:r>
      <w:bookmarkStart w:id="68" w:name="_Toc16034_WPSOffice_Level3"/>
      <w:bookmarkStart w:id="69" w:name="_Toc20449"/>
      <w:bookmarkStart w:id="70" w:name="_Toc28356"/>
      <w:bookmarkStart w:id="71" w:name="_Toc13034"/>
      <w:bookmarkStart w:id="72" w:name="_Toc19588"/>
      <w:r>
        <w:rPr>
          <w:color w:val="000000" w:themeColor="text1"/>
        </w:rPr>
        <w:t>技术规范</w:t>
      </w:r>
      <w:bookmarkEnd w:id="68"/>
      <w:bookmarkEnd w:id="69"/>
      <w:bookmarkEnd w:id="70"/>
      <w:bookmarkEnd w:id="71"/>
      <w:bookmarkEnd w:id="72"/>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《建设项目环境影响评价技术导则 总纲》（HJ2.1-2016）；</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《环境影响评价技术导则 地表水环境》（HJ2.3-2018）；</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《环境影响评价技术导则 大气环境》（HJ2.2-2018）；</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《环境影响评价技术导则 生态环境》（HJ19-20</w:t>
      </w:r>
      <w:r>
        <w:rPr>
          <w:rFonts w:hint="eastAsia" w:ascii="Times New Roman" w:hAnsi="Times New Roman" w:eastAsia="宋体" w:cs="Times New Roman"/>
          <w:color w:val="000000" w:themeColor="text1"/>
          <w:sz w:val="24"/>
          <w:lang w:val="en-US" w:eastAsia="zh-CN"/>
        </w:rPr>
        <w:t>22</w:t>
      </w:r>
      <w:r>
        <w:rPr>
          <w:rFonts w:ascii="Times New Roman" w:hAnsi="Times New Roman" w:eastAsia="宋体" w:cs="Times New Roman"/>
          <w:color w:val="000000" w:themeColor="text1"/>
          <w:sz w:val="24"/>
        </w:rPr>
        <w:t>）；</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《环境影响评价技术导则 声环境》（HJ2.4-20</w:t>
      </w:r>
      <w:r>
        <w:rPr>
          <w:rFonts w:hint="eastAsia" w:ascii="Times New Roman" w:hAnsi="Times New Roman" w:eastAsia="宋体" w:cs="Times New Roman"/>
          <w:color w:val="000000" w:themeColor="text1"/>
          <w:sz w:val="24"/>
          <w:lang w:val="en-US" w:eastAsia="zh-CN"/>
        </w:rPr>
        <w:t>21</w:t>
      </w:r>
      <w:r>
        <w:rPr>
          <w:rFonts w:ascii="Times New Roman" w:hAnsi="Times New Roman" w:eastAsia="宋体" w:cs="Times New Roman"/>
          <w:color w:val="000000" w:themeColor="text1"/>
          <w:sz w:val="24"/>
        </w:rPr>
        <w:t>）；</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《环境影响评价技术导则 地下水环境》（HJ610-2016）；</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《环境影响评价技术导则 土壤环境（试行）》（HJ964-2018）；</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《建设项目环境风险评价技术导则》（HJ169-2018）；</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《开发建设项目水土保持技术规范》（GB50433-2008）；</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《开发建设项目水土流失防治标准》（GB50434-2008）；</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《声环境功能区划分技术规范》（GB/T 15190-2014）；</w:t>
      </w:r>
    </w:p>
    <w:p>
      <w:pPr>
        <w:numPr>
          <w:ilvl w:val="0"/>
          <w:numId w:val="6"/>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《危险化学品重大危险源辨识》（GB18218-2018）；</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eastAsia="zh-CN"/>
        </w:rPr>
        <w:t>（</w:t>
      </w:r>
      <w:r>
        <w:rPr>
          <w:rFonts w:hint="eastAsia" w:ascii="Times New Roman" w:hAnsi="Times New Roman" w:eastAsia="宋体" w:cs="Times New Roman"/>
          <w:color w:val="000000" w:themeColor="text1"/>
          <w:sz w:val="24"/>
          <w:lang w:val="en-US" w:eastAsia="zh-CN"/>
        </w:rPr>
        <w:t>13</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其他与本项目有关的技术规范。</w:t>
      </w:r>
    </w:p>
    <w:p>
      <w:pPr>
        <w:pStyle w:val="5"/>
        <w:keepNext w:val="0"/>
        <w:keepLines w:val="0"/>
        <w:pageBreakBefore w:val="0"/>
        <w:widowControl w:val="0"/>
        <w:kinsoku/>
        <w:wordWrap/>
        <w:overflowPunct/>
        <w:topLinePunct w:val="0"/>
        <w:autoSpaceDE/>
        <w:autoSpaceDN/>
        <w:bidi w:val="0"/>
        <w:adjustRightInd/>
        <w:snapToGrid/>
        <w:spacing w:line="413" w:lineRule="auto"/>
        <w:textAlignment w:val="auto"/>
        <w:outlineLvl w:val="2"/>
        <w:rPr>
          <w:color w:val="000000" w:themeColor="text1"/>
        </w:rPr>
      </w:pPr>
      <w:bookmarkStart w:id="73" w:name="_Toc3731"/>
      <w:bookmarkStart w:id="74" w:name="_Toc9944"/>
      <w:bookmarkStart w:id="75" w:name="_Toc26217"/>
      <w:bookmarkStart w:id="76" w:name="_Toc24254_WPSOffice_Level3"/>
      <w:bookmarkStart w:id="77" w:name="_Toc22251"/>
      <w:r>
        <w:rPr>
          <w:color w:val="000000" w:themeColor="text1"/>
        </w:rPr>
        <w:t>建设单位提供的相关资料</w:t>
      </w:r>
      <w:bookmarkEnd w:id="73"/>
      <w:bookmarkEnd w:id="74"/>
      <w:bookmarkEnd w:id="75"/>
      <w:bookmarkEnd w:id="76"/>
      <w:bookmarkEnd w:id="77"/>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（1）旬阳县恒欣矿业有限公司关于《旬阳县赤岩镇水磨河口构皮沟毒重石（重晶石及伴生毒重石）矿扩建项目》环评委托书；</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rPr>
      </w:pPr>
      <w:r>
        <w:rPr>
          <w:rFonts w:hint="default" w:ascii="Times New Roman" w:hAnsi="Times New Roman" w:eastAsia="宋体" w:cs="Times New Roman"/>
          <w:b w:val="0"/>
          <w:bCs/>
          <w:color w:val="000000" w:themeColor="text1"/>
          <w:sz w:val="24"/>
          <w:szCs w:val="24"/>
        </w:rPr>
        <w:t>（2）</w:t>
      </w:r>
      <w:r>
        <w:rPr>
          <w:rFonts w:hint="eastAsia" w:ascii="Times New Roman" w:hAnsi="Times New Roman" w:eastAsia="宋体" w:cs="Times New Roman"/>
          <w:b w:val="0"/>
          <w:bCs/>
          <w:color w:val="000000" w:themeColor="text1"/>
          <w:sz w:val="24"/>
          <w:szCs w:val="24"/>
          <w:lang w:val="en-US" w:eastAsia="zh-CN"/>
        </w:rPr>
        <w:t>旬阳发展和改革局关于《旬阳县赤岩镇水磨河口构皮沟毒重石（重晶石及伴生毒重石）矿扩建项目》备案确认书；</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eastAsia"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3</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安康市国土资源局关于本项目的《采矿许可证》；</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eastAsia"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val="en-US" w:eastAsia="zh-CN"/>
        </w:rPr>
        <w:t>（4）旬阳县恒欣矿业有限公司营业执照；</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val="en-US" w:eastAsia="zh-CN"/>
        </w:rPr>
        <w:t>（5）旬阳县环境保护局关于《旬阳县赤岩镇水磨河口构皮沟毒重石矿开采项目环境影响报告表的批复》（旬环保函</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2008</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sz w:val="24"/>
          <w:szCs w:val="24"/>
          <w:lang w:val="en-US" w:eastAsia="zh-CN"/>
        </w:rPr>
        <w:t>66号）；</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6</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安康市国土资源局文件《陕西省旬阳县赤岩镇毒重石矿（整合区）资源储量核实报告》矿产资源储量评审备案证明（安国土资储备</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color w:val="000000" w:themeColor="text1"/>
          <w:sz w:val="24"/>
          <w:szCs w:val="24"/>
          <w:lang w:val="en-US" w:eastAsia="zh-CN"/>
        </w:rPr>
        <w:t>2012</w:t>
      </w:r>
      <w:r>
        <w:rPr>
          <w:rFonts w:ascii="Arial" w:hAnsi="Arial" w:eastAsia="宋体" w:cs="Arial"/>
          <w:i w:val="0"/>
          <w:caps w:val="0"/>
          <w:color w:val="000000" w:themeColor="text1"/>
          <w:spacing w:val="0"/>
          <w:sz w:val="24"/>
          <w:szCs w:val="24"/>
          <w:shd w:val="clear" w:fill="FFFFFF"/>
        </w:rPr>
        <w:t>〕</w:t>
      </w:r>
      <w:r>
        <w:rPr>
          <w:rFonts w:hint="eastAsia" w:ascii="Times New Roman" w:hAnsi="Times New Roman" w:eastAsia="宋体" w:cs="Times New Roman"/>
          <w:b w:val="0"/>
          <w:bCs/>
          <w:color w:val="000000" w:themeColor="text1"/>
          <w:sz w:val="24"/>
          <w:szCs w:val="24"/>
          <w:lang w:val="en-US" w:eastAsia="zh-CN"/>
        </w:rPr>
        <w:t>21号）；</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color w:val="000000" w:themeColor="text1"/>
          <w:sz w:val="24"/>
          <w:szCs w:val="24"/>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7</w:t>
      </w:r>
      <w:r>
        <w:rPr>
          <w:rFonts w:hint="eastAsia" w:ascii="Times New Roman" w:hAnsi="Times New Roman" w:eastAsia="宋体" w:cs="Times New Roman"/>
          <w:b w:val="0"/>
          <w:bCs/>
          <w:color w:val="000000" w:themeColor="text1"/>
          <w:sz w:val="24"/>
          <w:szCs w:val="24"/>
          <w:lang w:eastAsia="zh-CN"/>
        </w:rPr>
        <w:t>）</w:t>
      </w:r>
      <w:r>
        <w:rPr>
          <w:rFonts w:hint="default" w:ascii="Times New Roman" w:hAnsi="Times New Roman" w:eastAsia="宋体" w:cs="Times New Roman"/>
          <w:b w:val="0"/>
          <w:bCs/>
          <w:color w:val="000000" w:themeColor="text1"/>
          <w:sz w:val="24"/>
          <w:szCs w:val="24"/>
        </w:rPr>
        <w:t>陕西中金地质矿产科技有限公司《陕西省旬阳县赤岩镇水磨河口构皮沟毒重石矿矿产资源开发利用方案》</w:t>
      </w:r>
      <w:r>
        <w:rPr>
          <w:rFonts w:hint="eastAsia" w:ascii="Times New Roman" w:hAnsi="Times New Roman" w:eastAsia="宋体" w:cs="Times New Roman"/>
          <w:b w:val="0"/>
          <w:bCs/>
          <w:color w:val="000000" w:themeColor="text1"/>
          <w:sz w:val="24"/>
          <w:szCs w:val="24"/>
          <w:lang w:val="en-US" w:eastAsia="zh-CN"/>
        </w:rPr>
        <w:t>及审查意见</w:t>
      </w:r>
      <w:r>
        <w:rPr>
          <w:rFonts w:hint="default" w:ascii="Times New Roman" w:hAnsi="Times New Roman" w:eastAsia="宋体" w:cs="Times New Roman"/>
          <w:b w:val="0"/>
          <w:bCs/>
          <w:color w:val="000000" w:themeColor="text1"/>
          <w:sz w:val="24"/>
          <w:szCs w:val="24"/>
        </w:rPr>
        <w:t>；</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w:t>
      </w:r>
      <w:r>
        <w:rPr>
          <w:rFonts w:hint="eastAsia" w:ascii="Times New Roman" w:hAnsi="Times New Roman" w:eastAsia="宋体" w:cs="Times New Roman"/>
          <w:b w:val="0"/>
          <w:bCs/>
          <w:color w:val="000000" w:themeColor="text1"/>
          <w:sz w:val="24"/>
          <w:szCs w:val="24"/>
          <w:lang w:val="en-US" w:eastAsia="zh-CN"/>
        </w:rPr>
        <w:t>8</w:t>
      </w:r>
      <w:r>
        <w:rPr>
          <w:rFonts w:hint="default" w:ascii="Times New Roman" w:hAnsi="Times New Roman" w:eastAsia="宋体" w:cs="Times New Roman"/>
          <w:b w:val="0"/>
          <w:bCs/>
          <w:color w:val="000000" w:themeColor="text1"/>
          <w:sz w:val="24"/>
          <w:szCs w:val="24"/>
        </w:rPr>
        <w:t>）陕西地质工程总公司《陕西省旬阳县赤岩镇水磨河口构皮沟毒重石矿矿山地质环境保护与恢复治理方案》；</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w:t>
      </w:r>
      <w:r>
        <w:rPr>
          <w:rFonts w:hint="eastAsia" w:ascii="Times New Roman" w:hAnsi="Times New Roman" w:eastAsia="宋体" w:cs="Times New Roman"/>
          <w:b w:val="0"/>
          <w:bCs/>
          <w:color w:val="000000" w:themeColor="text1"/>
          <w:sz w:val="24"/>
          <w:szCs w:val="24"/>
          <w:lang w:val="en-US" w:eastAsia="zh-CN"/>
        </w:rPr>
        <w:t>9</w:t>
      </w:r>
      <w:r>
        <w:rPr>
          <w:rFonts w:hint="default" w:ascii="Times New Roman" w:hAnsi="Times New Roman" w:eastAsia="宋体" w:cs="Times New Roman"/>
          <w:b w:val="0"/>
          <w:bCs/>
          <w:color w:val="000000" w:themeColor="text1"/>
          <w:sz w:val="24"/>
          <w:szCs w:val="24"/>
        </w:rPr>
        <w:t>）中北工程设计咨询有限公司《旬阳县恒欣矿业有限公司旬阳县赤岩镇水磨河口构皮沟毒重石矿扩建项目可行性研究报告》；</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w:t>
      </w:r>
      <w:r>
        <w:rPr>
          <w:rFonts w:hint="eastAsia" w:ascii="Times New Roman" w:hAnsi="Times New Roman" w:eastAsia="宋体" w:cs="Times New Roman"/>
          <w:b w:val="0"/>
          <w:bCs/>
          <w:color w:val="000000" w:themeColor="text1"/>
          <w:sz w:val="24"/>
          <w:szCs w:val="24"/>
          <w:lang w:val="en-US" w:eastAsia="zh-CN"/>
        </w:rPr>
        <w:t>10</w:t>
      </w:r>
      <w:r>
        <w:rPr>
          <w:rFonts w:hint="default" w:ascii="Times New Roman" w:hAnsi="Times New Roman" w:eastAsia="宋体" w:cs="Times New Roman"/>
          <w:b w:val="0"/>
          <w:bCs/>
          <w:color w:val="000000" w:themeColor="text1"/>
          <w:sz w:val="24"/>
          <w:szCs w:val="24"/>
        </w:rPr>
        <w:t>）咸阳诚信安全技术服务有限公司《旬阳县恒欣矿业有限公司旬阳县赤岩镇水磨河口构皮沟毒重石矿扩建工程安全预评价报告》；</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eastAsia" w:ascii="Times New Roman" w:hAnsi="Times New Roman" w:eastAsia="宋体" w:cs="Times New Roman"/>
          <w:b w:val="0"/>
          <w:bCs/>
          <w:color w:val="000000" w:themeColor="text1"/>
          <w:sz w:val="24"/>
          <w:szCs w:val="24"/>
          <w:lang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11</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旬阳县赤岩镇水磨河口构皮沟毒重石矿水保方案报告表</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及其批复</w:t>
      </w:r>
      <w:r>
        <w:rPr>
          <w:rFonts w:hint="eastAsia" w:ascii="Times New Roman" w:hAnsi="Times New Roman" w:eastAsia="宋体" w:cs="Times New Roman"/>
          <w:b w:val="0"/>
          <w:bCs/>
          <w:color w:val="000000" w:themeColor="text1"/>
          <w:sz w:val="24"/>
          <w:szCs w:val="24"/>
          <w:lang w:eastAsia="zh-CN"/>
        </w:rPr>
        <w:t>；</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eastAsia" w:ascii="Times New Roman" w:hAnsi="Times New Roman" w:eastAsia="宋体" w:cs="Times New Roman"/>
          <w:b w:val="0"/>
          <w:bCs/>
          <w:color w:val="000000" w:themeColor="text1"/>
          <w:sz w:val="24"/>
          <w:szCs w:val="24"/>
          <w:lang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12</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旬阳县赤岩镇水磨沟口构皮沟毒重石矿矿山地质环境保护与土地复垦方案</w:t>
      </w:r>
      <w:r>
        <w:rPr>
          <w:rFonts w:hint="eastAsia" w:ascii="Times New Roman" w:hAnsi="Times New Roman" w:eastAsia="宋体" w:cs="Times New Roman"/>
          <w:b w:val="0"/>
          <w:bCs/>
          <w:color w:val="000000" w:themeColor="text1"/>
          <w:sz w:val="24"/>
          <w:szCs w:val="24"/>
          <w:lang w:eastAsia="zh-CN"/>
        </w:rPr>
        <w:t>》；</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eastAsia" w:ascii="Times New Roman" w:hAnsi="Times New Roman" w:eastAsia="宋体" w:cs="Times New Roman"/>
          <w:b w:val="0"/>
          <w:bCs/>
          <w:color w:val="000000" w:themeColor="text1"/>
          <w:sz w:val="24"/>
          <w:szCs w:val="24"/>
          <w:lang w:eastAsia="zh-CN"/>
        </w:rPr>
      </w:pP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13</w:t>
      </w:r>
      <w:r>
        <w:rPr>
          <w:rFonts w:hint="eastAsia"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旬阳县赤岩镇水磨河口构皮沟毒重石矿环境风险评估报告</w:t>
      </w:r>
      <w:r>
        <w:rPr>
          <w:rFonts w:hint="eastAsia" w:ascii="Times New Roman" w:hAnsi="Times New Roman" w:eastAsia="宋体" w:cs="Times New Roman"/>
          <w:b w:val="0"/>
          <w:bCs/>
          <w:color w:val="000000" w:themeColor="text1"/>
          <w:sz w:val="24"/>
          <w:szCs w:val="24"/>
          <w:lang w:eastAsia="zh-CN"/>
        </w:rPr>
        <w:t>》；</w:t>
      </w:r>
    </w:p>
    <w:p>
      <w:pPr>
        <w:keepNext w:val="0"/>
        <w:keepLines w:val="0"/>
        <w:pageBreakBefore w:val="0"/>
        <w:widowControl w:val="0"/>
        <w:numPr>
          <w:ilvl w:val="5"/>
          <w:numId w:val="0"/>
        </w:numPr>
        <w:tabs>
          <w:tab w:val="left" w:pos="1152"/>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rPr>
      </w:pPr>
      <w:r>
        <w:rPr>
          <w:rFonts w:hint="default" w:ascii="Times New Roman" w:hAnsi="Times New Roman" w:eastAsia="宋体" w:cs="Times New Roman"/>
          <w:b w:val="0"/>
          <w:bCs/>
          <w:color w:val="000000" w:themeColor="text1"/>
          <w:sz w:val="24"/>
          <w:szCs w:val="24"/>
        </w:rPr>
        <w:t>（</w:t>
      </w:r>
      <w:r>
        <w:rPr>
          <w:rFonts w:hint="eastAsia" w:ascii="Times New Roman" w:hAnsi="Times New Roman" w:eastAsia="宋体" w:cs="Times New Roman"/>
          <w:b w:val="0"/>
          <w:bCs/>
          <w:color w:val="000000" w:themeColor="text1"/>
          <w:sz w:val="24"/>
          <w:szCs w:val="24"/>
          <w:lang w:val="en-US" w:eastAsia="zh-CN"/>
        </w:rPr>
        <w:t>14</w:t>
      </w:r>
      <w:r>
        <w:rPr>
          <w:rFonts w:hint="default" w:ascii="Times New Roman" w:hAnsi="Times New Roman" w:eastAsia="宋体" w:cs="Times New Roman"/>
          <w:b w:val="0"/>
          <w:bCs/>
          <w:color w:val="000000" w:themeColor="text1"/>
          <w:sz w:val="24"/>
          <w:szCs w:val="24"/>
        </w:rPr>
        <w:t>）建设单位提供的其它有关技术资料。</w:t>
      </w:r>
    </w:p>
    <w:p>
      <w:pPr>
        <w:pStyle w:val="4"/>
        <w:spacing w:before="120"/>
        <w:rPr>
          <w:color w:val="000000" w:themeColor="text1"/>
        </w:rPr>
      </w:pPr>
      <w:bookmarkStart w:id="78" w:name="_Toc3622"/>
      <w:bookmarkStart w:id="79" w:name="_Toc16034_WPSOffice_Level2"/>
      <w:bookmarkStart w:id="80" w:name="_Toc31540"/>
      <w:bookmarkStart w:id="81" w:name="_Toc7710"/>
      <w:bookmarkStart w:id="82" w:name="_Toc28204"/>
      <w:r>
        <w:rPr>
          <w:color w:val="000000" w:themeColor="text1"/>
        </w:rPr>
        <w:t>环境影响识别和评价因子筛选</w:t>
      </w:r>
      <w:bookmarkEnd w:id="78"/>
      <w:bookmarkEnd w:id="79"/>
      <w:bookmarkEnd w:id="80"/>
      <w:bookmarkEnd w:id="81"/>
      <w:bookmarkEnd w:id="82"/>
    </w:p>
    <w:p>
      <w:pPr>
        <w:pStyle w:val="5"/>
        <w:rPr>
          <w:rFonts w:hint="default"/>
          <w:color w:val="000000" w:themeColor="text1"/>
        </w:rPr>
      </w:pPr>
      <w:bookmarkStart w:id="83" w:name="_Toc30731"/>
      <w:bookmarkStart w:id="84" w:name="_Toc312"/>
      <w:bookmarkStart w:id="85" w:name="_Toc14398"/>
      <w:bookmarkStart w:id="86" w:name="_Toc14353_WPSOffice_Level3"/>
      <w:bookmarkStart w:id="87" w:name="_Toc16056"/>
      <w:r>
        <w:rPr>
          <w:rFonts w:hint="default"/>
          <w:color w:val="000000" w:themeColor="text1"/>
        </w:rPr>
        <w:t>环境影响要素识别</w:t>
      </w:r>
      <w:bookmarkEnd w:id="83"/>
      <w:bookmarkEnd w:id="84"/>
      <w:bookmarkEnd w:id="85"/>
      <w:bookmarkEnd w:id="86"/>
      <w:bookmarkEnd w:id="87"/>
    </w:p>
    <w:p>
      <w:pPr>
        <w:numPr>
          <w:ilvl w:val="0"/>
          <w:numId w:val="7"/>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施工期</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施工期的主要环境影响为</w:t>
      </w:r>
      <w:r>
        <w:rPr>
          <w:rFonts w:hint="eastAsia" w:ascii="Times New Roman" w:hAnsi="Times New Roman" w:eastAsia="宋体" w:cs="Times New Roman"/>
          <w:color w:val="000000" w:themeColor="text1"/>
          <w:sz w:val="24"/>
          <w:lang w:val="en-US" w:eastAsia="zh-CN"/>
        </w:rPr>
        <w:t>工业场地、办公厂房、矿区道路等场地建设占用土地</w:t>
      </w:r>
      <w:r>
        <w:rPr>
          <w:rFonts w:ascii="Times New Roman" w:hAnsi="Times New Roman" w:eastAsia="宋体" w:cs="Times New Roman"/>
          <w:color w:val="000000" w:themeColor="text1"/>
          <w:sz w:val="24"/>
        </w:rPr>
        <w:t>，破坏植被</w:t>
      </w:r>
      <w:r>
        <w:rPr>
          <w:rFonts w:hint="eastAsia" w:ascii="Times New Roman" w:hAnsi="Times New Roman" w:eastAsia="宋体" w:cs="Times New Roman"/>
          <w:color w:val="000000" w:themeColor="text1"/>
          <w:sz w:val="24"/>
          <w:lang w:eastAsia="zh-CN"/>
        </w:rPr>
        <w:t>等生态影响</w:t>
      </w:r>
      <w:r>
        <w:rPr>
          <w:rFonts w:ascii="Times New Roman" w:hAnsi="Times New Roman" w:eastAsia="宋体" w:cs="Times New Roman"/>
          <w:color w:val="000000" w:themeColor="text1"/>
          <w:sz w:val="24"/>
        </w:rPr>
        <w:t>，施工开挖、施工车辆运输产生的扬尘以及汽车尾气，施工噪声对</w:t>
      </w:r>
      <w:r>
        <w:rPr>
          <w:rFonts w:hint="eastAsia" w:ascii="Times New Roman" w:hAnsi="Times New Roman" w:eastAsia="宋体" w:cs="Times New Roman"/>
          <w:color w:val="000000" w:themeColor="text1"/>
          <w:sz w:val="24"/>
          <w:lang w:val="en-US" w:eastAsia="zh-CN"/>
        </w:rPr>
        <w:t>周边</w:t>
      </w:r>
      <w:r>
        <w:rPr>
          <w:rFonts w:ascii="Times New Roman" w:hAnsi="Times New Roman" w:eastAsia="宋体" w:cs="Times New Roman"/>
          <w:color w:val="000000" w:themeColor="text1"/>
          <w:sz w:val="24"/>
        </w:rPr>
        <w:t>居民和动物的影响，施工产生的固废、废水等。</w:t>
      </w:r>
    </w:p>
    <w:p>
      <w:pPr>
        <w:numPr>
          <w:ilvl w:val="0"/>
          <w:numId w:val="7"/>
        </w:num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运</w:t>
      </w:r>
      <w:r>
        <w:rPr>
          <w:rFonts w:hint="eastAsia" w:ascii="Times New Roman" w:hAnsi="Times New Roman" w:eastAsia="宋体" w:cs="Times New Roman"/>
          <w:color w:val="000000" w:themeColor="text1"/>
          <w:sz w:val="24"/>
        </w:rPr>
        <w:t>营</w:t>
      </w:r>
      <w:r>
        <w:rPr>
          <w:rFonts w:ascii="Times New Roman" w:hAnsi="Times New Roman" w:eastAsia="宋体" w:cs="Times New Roman"/>
          <w:color w:val="000000" w:themeColor="text1"/>
          <w:sz w:val="24"/>
        </w:rPr>
        <w:t>期</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000000" w:themeColor="text1"/>
          <w:sz w:val="24"/>
          <w:szCs w:val="24"/>
        </w:rPr>
      </w:pPr>
      <w:r>
        <w:rPr>
          <w:rFonts w:hint="eastAsia"/>
          <w:color w:val="000000" w:themeColor="text1"/>
          <w:sz w:val="24"/>
          <w:szCs w:val="24"/>
        </w:rPr>
        <w:t>本工程运营期大气污染源主要是井下污风、</w:t>
      </w:r>
      <w:r>
        <w:rPr>
          <w:rFonts w:hint="eastAsia"/>
          <w:color w:val="000000" w:themeColor="text1"/>
          <w:sz w:val="24"/>
          <w:szCs w:val="24"/>
          <w:lang w:val="en-US" w:eastAsia="zh-CN"/>
        </w:rPr>
        <w:t>矿石</w:t>
      </w:r>
      <w:r>
        <w:rPr>
          <w:rFonts w:hint="eastAsia"/>
          <w:color w:val="000000" w:themeColor="text1"/>
          <w:sz w:val="24"/>
          <w:szCs w:val="24"/>
        </w:rPr>
        <w:t>堆放扬尘</w:t>
      </w:r>
      <w:r>
        <w:rPr>
          <w:rFonts w:hint="eastAsia"/>
          <w:color w:val="000000" w:themeColor="text1"/>
          <w:sz w:val="24"/>
          <w:szCs w:val="24"/>
          <w:lang w:eastAsia="zh-CN"/>
        </w:rPr>
        <w:t>、</w:t>
      </w:r>
      <w:r>
        <w:rPr>
          <w:rFonts w:hint="eastAsia"/>
          <w:color w:val="000000" w:themeColor="text1"/>
          <w:sz w:val="24"/>
          <w:szCs w:val="24"/>
          <w:lang w:val="en-US" w:eastAsia="zh-CN"/>
        </w:rPr>
        <w:t>运输扬尘、</w:t>
      </w:r>
      <w:r>
        <w:rPr>
          <w:rFonts w:hint="eastAsia"/>
          <w:color w:val="000000" w:themeColor="text1"/>
          <w:sz w:val="24"/>
          <w:szCs w:val="24"/>
        </w:rPr>
        <w:t>餐饮</w:t>
      </w:r>
      <w:r>
        <w:rPr>
          <w:rFonts w:hint="eastAsia"/>
          <w:color w:val="000000" w:themeColor="text1"/>
          <w:sz w:val="24"/>
          <w:szCs w:val="24"/>
          <w:lang w:val="en-US" w:eastAsia="zh-CN"/>
        </w:rPr>
        <w:t>油烟等</w:t>
      </w:r>
      <w:r>
        <w:rPr>
          <w:rFonts w:hint="eastAsia"/>
          <w:color w:val="000000" w:themeColor="text1"/>
          <w:sz w:val="24"/>
          <w:szCs w:val="24"/>
        </w:rPr>
        <w:t>；水污染源主要是矿井涌水、</w:t>
      </w:r>
      <w:r>
        <w:rPr>
          <w:rFonts w:hint="eastAsia"/>
          <w:color w:val="000000" w:themeColor="text1"/>
          <w:sz w:val="24"/>
          <w:szCs w:val="24"/>
          <w:lang w:val="en-US" w:eastAsia="zh-CN"/>
        </w:rPr>
        <w:t>井下</w:t>
      </w:r>
      <w:r>
        <w:rPr>
          <w:rFonts w:hint="eastAsia"/>
          <w:color w:val="000000" w:themeColor="text1"/>
          <w:sz w:val="24"/>
          <w:szCs w:val="24"/>
        </w:rPr>
        <w:t>除尘废水</w:t>
      </w:r>
      <w:r>
        <w:rPr>
          <w:rFonts w:hint="eastAsia"/>
          <w:color w:val="000000" w:themeColor="text1"/>
          <w:sz w:val="24"/>
          <w:szCs w:val="24"/>
          <w:lang w:eastAsia="zh-CN"/>
        </w:rPr>
        <w:t>、</w:t>
      </w:r>
      <w:r>
        <w:rPr>
          <w:rFonts w:hint="eastAsia"/>
          <w:color w:val="000000" w:themeColor="text1"/>
          <w:sz w:val="24"/>
          <w:szCs w:val="24"/>
          <w:lang w:val="en-US" w:eastAsia="zh-CN"/>
        </w:rPr>
        <w:t>矿石堆场除尘废水等</w:t>
      </w:r>
      <w:r>
        <w:rPr>
          <w:rFonts w:hint="eastAsia"/>
          <w:color w:val="000000" w:themeColor="text1"/>
          <w:sz w:val="24"/>
          <w:szCs w:val="24"/>
        </w:rPr>
        <w:t>，固体废物主要是</w:t>
      </w:r>
      <w:r>
        <w:rPr>
          <w:rFonts w:hint="eastAsia"/>
          <w:color w:val="000000" w:themeColor="text1"/>
          <w:sz w:val="24"/>
          <w:szCs w:val="24"/>
          <w:lang w:val="en-US" w:eastAsia="zh-CN"/>
        </w:rPr>
        <w:t>采矿废石、危险废物</w:t>
      </w:r>
      <w:r>
        <w:rPr>
          <w:rFonts w:hint="eastAsia"/>
          <w:color w:val="000000" w:themeColor="text1"/>
          <w:sz w:val="24"/>
          <w:szCs w:val="24"/>
        </w:rPr>
        <w:t>和生活垃圾。噪声源主要是风井通风机噪声、工业场地空压机噪声和运输车辆产生的噪</w:t>
      </w:r>
      <w:r>
        <w:rPr>
          <w:rFonts w:hint="default" w:ascii="Times New Roman" w:hAnsi="Times New Roman" w:eastAsia="宋体" w:cs="Times New Roman"/>
          <w:color w:val="000000" w:themeColor="text1"/>
          <w:sz w:val="24"/>
          <w:szCs w:val="24"/>
        </w:rPr>
        <w:t>声</w:t>
      </w:r>
      <w:r>
        <w:rPr>
          <w:rFonts w:hint="eastAsia" w:ascii="Times New Roman" w:hAnsi="Times New Roman" w:eastAsia="宋体" w:cs="Times New Roman"/>
          <w:color w:val="000000" w:themeColor="text1"/>
          <w:sz w:val="24"/>
          <w:szCs w:val="24"/>
          <w:lang w:eastAsia="zh-CN"/>
        </w:rPr>
        <w:t>以及现有工程的废石堆放、采掘可能产生的地表错动</w:t>
      </w:r>
      <w:r>
        <w:rPr>
          <w:rFonts w:hint="default" w:ascii="Times New Roman" w:hAnsi="Times New Roman" w:eastAsia="宋体" w:cs="Times New Roman"/>
          <w:color w:val="000000" w:themeColor="text1"/>
          <w:sz w:val="24"/>
          <w:szCs w:val="24"/>
        </w:rPr>
        <w:t>等</w:t>
      </w:r>
      <w:r>
        <w:rPr>
          <w:rFonts w:hint="eastAsia" w:ascii="Times New Roman" w:hAnsi="Times New Roman" w:eastAsia="宋体" w:cs="Times New Roman"/>
          <w:color w:val="000000" w:themeColor="text1"/>
          <w:sz w:val="24"/>
          <w:szCs w:val="24"/>
          <w:lang w:eastAsia="zh-CN"/>
        </w:rPr>
        <w:t>生态影响</w:t>
      </w:r>
      <w:r>
        <w:rPr>
          <w:rFonts w:hint="default" w:ascii="Times New Roman" w:hAnsi="Times New Roman" w:eastAsia="宋体" w:cs="Times New Roman"/>
          <w:color w:val="000000" w:themeColor="text1"/>
          <w:sz w:val="24"/>
          <w:szCs w:val="24"/>
        </w:rPr>
        <w:t>。</w:t>
      </w:r>
    </w:p>
    <w:p>
      <w:pPr>
        <w:pStyle w:val="2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闭矿期</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eastAsiaTheme="minorEastAsia"/>
          <w:b/>
          <w:bCs/>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本项目为地下开采，闭矿期的主要环境影响为采空区可能引起的地表塌陷影响。</w:t>
      </w:r>
    </w:p>
    <w:p>
      <w:pPr>
        <w:pStyle w:val="19"/>
        <w:adjustRightInd w:val="0"/>
        <w:snapToGrid w:val="0"/>
        <w:spacing w:after="0" w:line="360" w:lineRule="auto"/>
        <w:ind w:left="0" w:leftChars="0"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ascii="Times New Roman" w:hAnsi="Times New Roman" w:eastAsia="宋体"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-1  项目环境影响因素识别表</w:t>
      </w:r>
    </w:p>
    <w:tbl>
      <w:tblPr>
        <w:tblStyle w:val="39"/>
        <w:tblW w:w="896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2"/>
        <w:gridCol w:w="2100"/>
        <w:gridCol w:w="2640"/>
        <w:gridCol w:w="3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tblHeader/>
          <w:jc w:val="center"/>
        </w:trPr>
        <w:tc>
          <w:tcPr>
            <w:tcW w:w="1122" w:type="dxa"/>
            <w:tcBorders>
              <w:tl2br w:val="nil"/>
              <w:tr2bl w:val="nil"/>
            </w:tcBorders>
            <w:vAlign w:val="center"/>
          </w:tcPr>
          <w:p>
            <w:pPr>
              <w:pStyle w:val="42"/>
              <w:adjustRightInd w:val="0"/>
              <w:rPr>
                <w:color w:val="000000" w:themeColor="text1"/>
              </w:rPr>
            </w:pPr>
            <w:r>
              <w:rPr>
                <w:rFonts w:hint="eastAsia"/>
                <w:color w:val="000000" w:themeColor="text1"/>
              </w:rPr>
              <w:t>时段</w:t>
            </w: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项目</w:t>
            </w:r>
          </w:p>
        </w:tc>
        <w:tc>
          <w:tcPr>
            <w:tcW w:w="2640" w:type="dxa"/>
            <w:tcBorders>
              <w:tl2br w:val="nil"/>
              <w:tr2bl w:val="nil"/>
            </w:tcBorders>
            <w:vAlign w:val="center"/>
          </w:tcPr>
          <w:p>
            <w:pPr>
              <w:pStyle w:val="42"/>
              <w:adjustRightInd w:val="0"/>
              <w:rPr>
                <w:rFonts w:hint="eastAsia" w:eastAsiaTheme="minorEastAsia"/>
                <w:color w:val="000000" w:themeColor="text1"/>
                <w:lang w:eastAsia="zh-CN"/>
              </w:rPr>
            </w:pPr>
            <w:r>
              <w:rPr>
                <w:rFonts w:hint="eastAsia"/>
                <w:color w:val="000000" w:themeColor="text1"/>
                <w:lang w:val="en-US" w:eastAsia="zh-CN"/>
              </w:rPr>
              <w:t>影响因素</w:t>
            </w:r>
          </w:p>
        </w:tc>
        <w:tc>
          <w:tcPr>
            <w:tcW w:w="3101" w:type="dxa"/>
            <w:tcBorders>
              <w:tl2br w:val="nil"/>
              <w:tr2bl w:val="nil"/>
            </w:tcBorders>
            <w:vAlign w:val="center"/>
          </w:tcPr>
          <w:p>
            <w:pPr>
              <w:pStyle w:val="42"/>
              <w:adjustRightInd w:val="0"/>
              <w:rPr>
                <w:rFonts w:hint="default" w:eastAsiaTheme="minorEastAsia"/>
                <w:color w:val="000000" w:themeColor="text1"/>
                <w:lang w:val="en-US" w:eastAsia="zh-CN"/>
              </w:rPr>
            </w:pPr>
            <w:r>
              <w:rPr>
                <w:rFonts w:hint="eastAsia"/>
                <w:color w:val="000000" w:themeColor="text1"/>
                <w:lang w:val="en-US" w:eastAsia="zh-CN"/>
              </w:rPr>
              <w:t>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8" w:hRule="atLeast"/>
          <w:tblHeader/>
          <w:jc w:val="center"/>
        </w:trPr>
        <w:tc>
          <w:tcPr>
            <w:tcW w:w="1122" w:type="dxa"/>
            <w:vMerge w:val="restart"/>
            <w:tcBorders>
              <w:tl2br w:val="nil"/>
              <w:tr2bl w:val="nil"/>
            </w:tcBorders>
            <w:vAlign w:val="center"/>
          </w:tcPr>
          <w:p>
            <w:pPr>
              <w:pStyle w:val="42"/>
              <w:adjustRightInd w:val="0"/>
              <w:rPr>
                <w:color w:val="000000" w:themeColor="text1"/>
              </w:rPr>
            </w:pPr>
            <w:r>
              <w:rPr>
                <w:rFonts w:hint="eastAsia"/>
                <w:color w:val="000000" w:themeColor="text1"/>
              </w:rPr>
              <w:t>施工期</w:t>
            </w: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道路、电力等基建施工</w:t>
            </w:r>
          </w:p>
        </w:tc>
        <w:tc>
          <w:tcPr>
            <w:tcW w:w="2640" w:type="dxa"/>
            <w:tcBorders>
              <w:tl2br w:val="nil"/>
              <w:tr2bl w:val="nil"/>
            </w:tcBorders>
            <w:vAlign w:val="center"/>
          </w:tcPr>
          <w:p>
            <w:pPr>
              <w:pStyle w:val="42"/>
              <w:adjustRightInd w:val="0"/>
              <w:rPr>
                <w:rFonts w:hint="eastAsia" w:eastAsiaTheme="minorEastAsia"/>
                <w:color w:val="000000" w:themeColor="text1"/>
                <w:lang w:eastAsia="zh-CN"/>
              </w:rPr>
            </w:pPr>
            <w:r>
              <w:rPr>
                <w:rFonts w:hint="eastAsia"/>
                <w:color w:val="000000" w:themeColor="text1"/>
              </w:rPr>
              <w:t>占地、水土流失、植被破坏、噪声、扬尘、废水</w:t>
            </w:r>
            <w:r>
              <w:rPr>
                <w:rFonts w:hint="eastAsia"/>
                <w:color w:val="000000" w:themeColor="text1"/>
                <w:lang w:eastAsia="zh-CN"/>
              </w:rPr>
              <w:t>等</w:t>
            </w:r>
          </w:p>
        </w:tc>
        <w:tc>
          <w:tcPr>
            <w:tcW w:w="3101" w:type="dxa"/>
            <w:tcBorders>
              <w:tl2br w:val="nil"/>
              <w:tr2bl w:val="nil"/>
            </w:tcBorders>
            <w:vAlign w:val="center"/>
          </w:tcPr>
          <w:p>
            <w:pPr>
              <w:pStyle w:val="42"/>
              <w:adjustRightInd w:val="0"/>
              <w:rPr>
                <w:rFonts w:hint="eastAsia" w:eastAsiaTheme="minorEastAsia"/>
                <w:color w:val="000000" w:themeColor="text1"/>
                <w:lang w:eastAsia="zh-CN"/>
              </w:rPr>
            </w:pPr>
            <w:r>
              <w:rPr>
                <w:color w:val="000000" w:themeColor="text1"/>
              </w:rPr>
              <w:t>生态环境、水环境、声环境、环境空气</w:t>
            </w:r>
            <w:r>
              <w:rPr>
                <w:rFonts w:hint="eastAsia"/>
                <w:color w:val="000000" w:themeColor="text1"/>
                <w:lang w:eastAsia="zh-CN"/>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8" w:hRule="atLeast"/>
          <w:tblHeader/>
          <w:jc w:val="center"/>
        </w:trPr>
        <w:tc>
          <w:tcPr>
            <w:tcW w:w="1122" w:type="dxa"/>
            <w:vMerge w:val="continue"/>
            <w:tcBorders>
              <w:tl2br w:val="nil"/>
              <w:tr2bl w:val="nil"/>
            </w:tcBorders>
            <w:vAlign w:val="center"/>
          </w:tcPr>
          <w:p>
            <w:pPr>
              <w:pStyle w:val="42"/>
              <w:adjustRightInd w:val="0"/>
              <w:rPr>
                <w:color w:val="000000" w:themeColor="text1"/>
              </w:rPr>
            </w:pP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施工场地等</w:t>
            </w:r>
          </w:p>
        </w:tc>
        <w:tc>
          <w:tcPr>
            <w:tcW w:w="2640" w:type="dxa"/>
            <w:tcBorders>
              <w:tl2br w:val="nil"/>
              <w:tr2bl w:val="nil"/>
            </w:tcBorders>
            <w:vAlign w:val="center"/>
          </w:tcPr>
          <w:p>
            <w:pPr>
              <w:pStyle w:val="42"/>
              <w:adjustRightInd w:val="0"/>
              <w:rPr>
                <w:color w:val="000000" w:themeColor="text1"/>
              </w:rPr>
            </w:pPr>
            <w:r>
              <w:rPr>
                <w:rFonts w:hint="eastAsia"/>
                <w:color w:val="000000" w:themeColor="text1"/>
              </w:rPr>
              <w:t>废石、土方、噪声、水土流失</w:t>
            </w:r>
          </w:p>
        </w:tc>
        <w:tc>
          <w:tcPr>
            <w:tcW w:w="3101" w:type="dxa"/>
            <w:tcBorders>
              <w:tl2br w:val="nil"/>
              <w:tr2bl w:val="nil"/>
            </w:tcBorders>
            <w:vAlign w:val="center"/>
          </w:tcPr>
          <w:p>
            <w:pPr>
              <w:pStyle w:val="42"/>
              <w:adjustRightInd w:val="0"/>
              <w:rPr>
                <w:rFonts w:hint="eastAsia" w:eastAsiaTheme="minorEastAsia"/>
                <w:color w:val="000000" w:themeColor="text1"/>
                <w:lang w:eastAsia="zh-CN"/>
              </w:rPr>
            </w:pPr>
            <w:r>
              <w:rPr>
                <w:color w:val="000000" w:themeColor="text1"/>
              </w:rPr>
              <w:t>生态环境</w:t>
            </w:r>
            <w:r>
              <w:rPr>
                <w:rFonts w:hint="eastAsia"/>
                <w:color w:val="000000" w:themeColor="text1"/>
                <w:lang w:eastAsia="zh-CN"/>
              </w:rPr>
              <w:t>、</w:t>
            </w:r>
            <w:r>
              <w:rPr>
                <w:color w:val="000000" w:themeColor="text1"/>
              </w:rPr>
              <w:t>水环境、声环境、环境空气</w:t>
            </w:r>
            <w:r>
              <w:rPr>
                <w:rFonts w:hint="eastAsia"/>
                <w:color w:val="000000" w:themeColor="text1"/>
                <w:lang w:eastAsia="zh-CN"/>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tblHeader/>
          <w:jc w:val="center"/>
        </w:trPr>
        <w:tc>
          <w:tcPr>
            <w:tcW w:w="1122" w:type="dxa"/>
            <w:vMerge w:val="restart"/>
            <w:tcBorders>
              <w:tl2br w:val="nil"/>
              <w:tr2bl w:val="nil"/>
            </w:tcBorders>
            <w:vAlign w:val="center"/>
          </w:tcPr>
          <w:p>
            <w:pPr>
              <w:pStyle w:val="42"/>
              <w:adjustRightInd w:val="0"/>
              <w:rPr>
                <w:color w:val="000000" w:themeColor="text1"/>
              </w:rPr>
            </w:pPr>
            <w:r>
              <w:rPr>
                <w:rFonts w:hint="eastAsia"/>
                <w:color w:val="000000" w:themeColor="text1"/>
              </w:rPr>
              <w:t>运营期</w:t>
            </w: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采矿爆破等</w:t>
            </w:r>
          </w:p>
        </w:tc>
        <w:tc>
          <w:tcPr>
            <w:tcW w:w="2640" w:type="dxa"/>
            <w:tcBorders>
              <w:tl2br w:val="nil"/>
              <w:tr2bl w:val="nil"/>
            </w:tcBorders>
            <w:vAlign w:val="center"/>
          </w:tcPr>
          <w:p>
            <w:pPr>
              <w:pStyle w:val="42"/>
              <w:adjustRightInd w:val="0"/>
              <w:rPr>
                <w:rFonts w:hint="eastAsia" w:eastAsiaTheme="minorEastAsia"/>
                <w:color w:val="000000" w:themeColor="text1"/>
                <w:lang w:eastAsia="zh-CN"/>
              </w:rPr>
            </w:pPr>
            <w:r>
              <w:rPr>
                <w:rFonts w:hint="eastAsia"/>
                <w:color w:val="000000" w:themeColor="text1"/>
              </w:rPr>
              <w:t>噪声、扬尘</w:t>
            </w:r>
            <w:r>
              <w:rPr>
                <w:rFonts w:hint="eastAsia"/>
                <w:color w:val="000000" w:themeColor="text1"/>
                <w:lang w:eastAsia="zh-CN"/>
              </w:rPr>
              <w:t>、振动</w:t>
            </w:r>
          </w:p>
        </w:tc>
        <w:tc>
          <w:tcPr>
            <w:tcW w:w="3101" w:type="dxa"/>
            <w:tcBorders>
              <w:tl2br w:val="nil"/>
              <w:tr2bl w:val="nil"/>
            </w:tcBorders>
            <w:vAlign w:val="center"/>
          </w:tcPr>
          <w:p>
            <w:pPr>
              <w:pStyle w:val="42"/>
              <w:adjustRightInd w:val="0"/>
              <w:rPr>
                <w:rFonts w:hint="eastAsia" w:eastAsiaTheme="minorEastAsia"/>
                <w:color w:val="000000" w:themeColor="text1"/>
                <w:lang w:eastAsia="zh-CN"/>
              </w:rPr>
            </w:pPr>
            <w:r>
              <w:rPr>
                <w:color w:val="000000" w:themeColor="text1"/>
              </w:rPr>
              <w:t>水环境、声环境、环境空气</w:t>
            </w:r>
            <w:r>
              <w:rPr>
                <w:rFonts w:hint="eastAsia"/>
                <w:color w:val="000000" w:themeColor="text1"/>
                <w:lang w:eastAsia="zh-CN"/>
              </w:rPr>
              <w:t>、生态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tblHeader/>
          <w:jc w:val="center"/>
        </w:trPr>
        <w:tc>
          <w:tcPr>
            <w:tcW w:w="1122" w:type="dxa"/>
            <w:vMerge w:val="continue"/>
            <w:tcBorders>
              <w:tl2br w:val="nil"/>
              <w:tr2bl w:val="nil"/>
            </w:tcBorders>
            <w:vAlign w:val="center"/>
          </w:tcPr>
          <w:p>
            <w:pPr>
              <w:pStyle w:val="42"/>
              <w:adjustRightInd w:val="0"/>
              <w:rPr>
                <w:color w:val="000000" w:themeColor="text1"/>
              </w:rPr>
            </w:pPr>
          </w:p>
        </w:tc>
        <w:tc>
          <w:tcPr>
            <w:tcW w:w="2100" w:type="dxa"/>
            <w:tcBorders>
              <w:tl2br w:val="nil"/>
              <w:tr2bl w:val="nil"/>
            </w:tcBorders>
            <w:vAlign w:val="center"/>
          </w:tcPr>
          <w:p>
            <w:pPr>
              <w:pStyle w:val="42"/>
              <w:adjustRightInd w:val="0"/>
              <w:rPr>
                <w:rFonts w:hint="default" w:eastAsiaTheme="minorEastAsia"/>
                <w:color w:val="000000" w:themeColor="text1"/>
                <w:lang w:val="en-US" w:eastAsia="zh-CN"/>
              </w:rPr>
            </w:pPr>
            <w:r>
              <w:rPr>
                <w:rFonts w:hint="eastAsia"/>
                <w:color w:val="000000" w:themeColor="text1"/>
                <w:lang w:val="en-US" w:eastAsia="zh-CN"/>
              </w:rPr>
              <w:t>矿石堆放场地</w:t>
            </w:r>
          </w:p>
        </w:tc>
        <w:tc>
          <w:tcPr>
            <w:tcW w:w="2640" w:type="dxa"/>
            <w:tcBorders>
              <w:tl2br w:val="nil"/>
              <w:tr2bl w:val="nil"/>
            </w:tcBorders>
            <w:vAlign w:val="center"/>
          </w:tcPr>
          <w:p>
            <w:pPr>
              <w:pStyle w:val="42"/>
              <w:adjustRightInd w:val="0"/>
              <w:rPr>
                <w:color w:val="000000" w:themeColor="text1"/>
              </w:rPr>
            </w:pPr>
            <w:r>
              <w:rPr>
                <w:rFonts w:hint="eastAsia"/>
                <w:color w:val="000000" w:themeColor="text1"/>
              </w:rPr>
              <w:t>扬尘</w:t>
            </w:r>
          </w:p>
        </w:tc>
        <w:tc>
          <w:tcPr>
            <w:tcW w:w="3101" w:type="dxa"/>
            <w:tcBorders>
              <w:tl2br w:val="nil"/>
              <w:tr2bl w:val="nil"/>
            </w:tcBorders>
            <w:vAlign w:val="center"/>
          </w:tcPr>
          <w:p>
            <w:pPr>
              <w:pStyle w:val="42"/>
              <w:adjustRightInd w:val="0"/>
              <w:rPr>
                <w:color w:val="000000" w:themeColor="text1"/>
              </w:rPr>
            </w:pPr>
            <w:r>
              <w:rPr>
                <w:color w:val="000000" w:themeColor="text1"/>
              </w:rPr>
              <w:t>环境空气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8" w:hRule="atLeast"/>
          <w:tblHeader/>
          <w:jc w:val="center"/>
        </w:trPr>
        <w:tc>
          <w:tcPr>
            <w:tcW w:w="1122" w:type="dxa"/>
            <w:vMerge w:val="continue"/>
            <w:tcBorders>
              <w:tl2br w:val="nil"/>
              <w:tr2bl w:val="nil"/>
            </w:tcBorders>
            <w:vAlign w:val="center"/>
          </w:tcPr>
          <w:p>
            <w:pPr>
              <w:pStyle w:val="42"/>
              <w:adjustRightInd w:val="0"/>
              <w:rPr>
                <w:color w:val="000000" w:themeColor="text1"/>
              </w:rPr>
            </w:pP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矿石外运</w:t>
            </w:r>
          </w:p>
        </w:tc>
        <w:tc>
          <w:tcPr>
            <w:tcW w:w="2640" w:type="dxa"/>
            <w:tcBorders>
              <w:tl2br w:val="nil"/>
              <w:tr2bl w:val="nil"/>
            </w:tcBorders>
            <w:vAlign w:val="center"/>
          </w:tcPr>
          <w:p>
            <w:pPr>
              <w:pStyle w:val="42"/>
              <w:adjustRightInd w:val="0"/>
              <w:rPr>
                <w:color w:val="000000" w:themeColor="text1"/>
              </w:rPr>
            </w:pPr>
            <w:r>
              <w:rPr>
                <w:rFonts w:hint="eastAsia"/>
                <w:color w:val="000000" w:themeColor="text1"/>
              </w:rPr>
              <w:t>噪声、扬尘、汽车尾气</w:t>
            </w:r>
          </w:p>
        </w:tc>
        <w:tc>
          <w:tcPr>
            <w:tcW w:w="3101" w:type="dxa"/>
            <w:tcBorders>
              <w:tl2br w:val="nil"/>
              <w:tr2bl w:val="nil"/>
            </w:tcBorders>
            <w:vAlign w:val="center"/>
          </w:tcPr>
          <w:p>
            <w:pPr>
              <w:pStyle w:val="42"/>
              <w:adjustRightInd w:val="0"/>
              <w:rPr>
                <w:color w:val="000000" w:themeColor="text1"/>
              </w:rPr>
            </w:pPr>
            <w:r>
              <w:rPr>
                <w:color w:val="000000" w:themeColor="text1"/>
              </w:rPr>
              <w:t>声环境、</w:t>
            </w:r>
            <w:r>
              <w:rPr>
                <w:rFonts w:hint="eastAsia"/>
                <w:color w:val="000000" w:themeColor="text1"/>
              </w:rPr>
              <w:t>土壤环境、</w:t>
            </w:r>
            <w:r>
              <w:rPr>
                <w:color w:val="000000" w:themeColor="text1"/>
              </w:rPr>
              <w:t>环境空气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tblHeader/>
          <w:jc w:val="center"/>
        </w:trPr>
        <w:tc>
          <w:tcPr>
            <w:tcW w:w="1122" w:type="dxa"/>
            <w:vMerge w:val="restart"/>
            <w:tcBorders>
              <w:tl2br w:val="nil"/>
              <w:tr2bl w:val="nil"/>
            </w:tcBorders>
            <w:vAlign w:val="center"/>
          </w:tcPr>
          <w:p>
            <w:pPr>
              <w:pStyle w:val="42"/>
              <w:adjustRightInd w:val="0"/>
              <w:rPr>
                <w:rFonts w:hint="default" w:eastAsiaTheme="minorEastAsia"/>
                <w:color w:val="000000" w:themeColor="text1"/>
                <w:lang w:val="en-US" w:eastAsia="zh-CN"/>
              </w:rPr>
            </w:pPr>
            <w:r>
              <w:rPr>
                <w:rFonts w:hint="eastAsia"/>
                <w:color w:val="000000" w:themeColor="text1"/>
                <w:lang w:val="en-US" w:eastAsia="zh-CN"/>
              </w:rPr>
              <w:t>闭矿期</w:t>
            </w: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场地清理、生态恢复</w:t>
            </w:r>
          </w:p>
        </w:tc>
        <w:tc>
          <w:tcPr>
            <w:tcW w:w="2640" w:type="dxa"/>
            <w:tcBorders>
              <w:tl2br w:val="nil"/>
              <w:tr2bl w:val="nil"/>
            </w:tcBorders>
            <w:vAlign w:val="center"/>
          </w:tcPr>
          <w:p>
            <w:pPr>
              <w:pStyle w:val="42"/>
              <w:adjustRightInd w:val="0"/>
              <w:rPr>
                <w:color w:val="000000" w:themeColor="text1"/>
              </w:rPr>
            </w:pPr>
            <w:r>
              <w:rPr>
                <w:rFonts w:hint="eastAsia"/>
                <w:color w:val="000000" w:themeColor="text1"/>
              </w:rPr>
              <w:t>扬尘、废水等</w:t>
            </w:r>
          </w:p>
        </w:tc>
        <w:tc>
          <w:tcPr>
            <w:tcW w:w="3101" w:type="dxa"/>
            <w:tcBorders>
              <w:tl2br w:val="nil"/>
              <w:tr2bl w:val="nil"/>
            </w:tcBorders>
            <w:vAlign w:val="center"/>
          </w:tcPr>
          <w:p>
            <w:pPr>
              <w:pStyle w:val="42"/>
              <w:adjustRightInd w:val="0"/>
              <w:rPr>
                <w:color w:val="000000" w:themeColor="text1"/>
              </w:rPr>
            </w:pPr>
            <w:r>
              <w:rPr>
                <w:rFonts w:hint="eastAsia"/>
                <w:color w:val="000000" w:themeColor="text1"/>
              </w:rPr>
              <w:t>水环境、大气环境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blHeader/>
          <w:jc w:val="center"/>
        </w:trPr>
        <w:tc>
          <w:tcPr>
            <w:tcW w:w="1122" w:type="dxa"/>
            <w:vMerge w:val="continue"/>
            <w:tcBorders>
              <w:tl2br w:val="nil"/>
              <w:tr2bl w:val="nil"/>
            </w:tcBorders>
            <w:vAlign w:val="center"/>
          </w:tcPr>
          <w:p>
            <w:pPr>
              <w:pStyle w:val="42"/>
              <w:adjustRightInd w:val="0"/>
              <w:rPr>
                <w:color w:val="000000" w:themeColor="text1"/>
              </w:rPr>
            </w:pPr>
          </w:p>
        </w:tc>
        <w:tc>
          <w:tcPr>
            <w:tcW w:w="2100" w:type="dxa"/>
            <w:tcBorders>
              <w:tl2br w:val="nil"/>
              <w:tr2bl w:val="nil"/>
            </w:tcBorders>
            <w:vAlign w:val="center"/>
          </w:tcPr>
          <w:p>
            <w:pPr>
              <w:pStyle w:val="42"/>
              <w:adjustRightInd w:val="0"/>
              <w:rPr>
                <w:color w:val="000000" w:themeColor="text1"/>
              </w:rPr>
            </w:pPr>
            <w:r>
              <w:rPr>
                <w:rFonts w:hint="eastAsia"/>
                <w:color w:val="000000" w:themeColor="text1"/>
              </w:rPr>
              <w:t>采空区</w:t>
            </w:r>
          </w:p>
        </w:tc>
        <w:tc>
          <w:tcPr>
            <w:tcW w:w="2640" w:type="dxa"/>
            <w:tcBorders>
              <w:tl2br w:val="nil"/>
              <w:tr2bl w:val="nil"/>
            </w:tcBorders>
            <w:vAlign w:val="center"/>
          </w:tcPr>
          <w:p>
            <w:pPr>
              <w:pStyle w:val="42"/>
              <w:adjustRightInd w:val="0"/>
              <w:rPr>
                <w:color w:val="000000" w:themeColor="text1"/>
              </w:rPr>
            </w:pPr>
            <w:r>
              <w:rPr>
                <w:rFonts w:hint="eastAsia"/>
                <w:color w:val="000000" w:themeColor="text1"/>
              </w:rPr>
              <w:t>塌陷</w:t>
            </w:r>
          </w:p>
        </w:tc>
        <w:tc>
          <w:tcPr>
            <w:tcW w:w="3101" w:type="dxa"/>
            <w:tcBorders>
              <w:tl2br w:val="nil"/>
              <w:tr2bl w:val="nil"/>
            </w:tcBorders>
            <w:vAlign w:val="center"/>
          </w:tcPr>
          <w:p>
            <w:pPr>
              <w:pStyle w:val="42"/>
              <w:adjustRightInd w:val="0"/>
              <w:rPr>
                <w:color w:val="000000" w:themeColor="text1"/>
              </w:rPr>
            </w:pPr>
            <w:r>
              <w:rPr>
                <w:rFonts w:hint="eastAsia"/>
                <w:color w:val="000000" w:themeColor="text1"/>
              </w:rPr>
              <w:t>生态环境</w:t>
            </w:r>
          </w:p>
        </w:tc>
      </w:tr>
    </w:tbl>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表2.</w:t>
      </w:r>
      <w:r>
        <w:rPr>
          <w:rFonts w:hint="eastAsia" w:ascii="Times New Roman" w:hAnsi="Times New Roman" w:eastAsia="宋体" w:cs="Times New Roman"/>
          <w:b/>
          <w:bCs w:val="0"/>
          <w:color w:val="FF0000"/>
          <w:sz w:val="21"/>
          <w:szCs w:val="21"/>
          <w:lang w:val="en-US" w:eastAsia="zh-CN"/>
        </w:rPr>
        <w:t>2</w:t>
      </w:r>
      <w:r>
        <w:rPr>
          <w:rFonts w:hint="default" w:ascii="Times New Roman" w:hAnsi="Times New Roman" w:eastAsia="宋体" w:cs="Times New Roman"/>
          <w:b/>
          <w:bCs w:val="0"/>
          <w:color w:val="FF0000"/>
          <w:sz w:val="21"/>
          <w:szCs w:val="21"/>
        </w:rPr>
        <w:t>-2  工程环境影响筛选表</w:t>
      </w:r>
    </w:p>
    <w:tbl>
      <w:tblPr>
        <w:tblStyle w:val="39"/>
        <w:tblpPr w:leftFromText="180" w:rightFromText="180" w:vertAnchor="text" w:horzAnchor="margin" w:tblpXSpec="center" w:tblpY="113"/>
        <w:tblW w:w="89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67"/>
        <w:gridCol w:w="617"/>
        <w:gridCol w:w="510"/>
        <w:gridCol w:w="615"/>
        <w:gridCol w:w="600"/>
        <w:gridCol w:w="705"/>
        <w:gridCol w:w="645"/>
        <w:gridCol w:w="615"/>
        <w:gridCol w:w="672"/>
        <w:gridCol w:w="656"/>
        <w:gridCol w:w="677"/>
        <w:gridCol w:w="531"/>
        <w:gridCol w:w="559"/>
        <w:gridCol w:w="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094" w:type="dxa"/>
            <w:gridSpan w:val="2"/>
            <w:vMerge w:val="restart"/>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项</w:t>
            </w:r>
          </w:p>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目</w:t>
            </w:r>
          </w:p>
        </w:tc>
        <w:tc>
          <w:tcPr>
            <w:tcW w:w="4307" w:type="dxa"/>
            <w:gridSpan w:val="7"/>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自然环境</w:t>
            </w:r>
          </w:p>
        </w:tc>
        <w:tc>
          <w:tcPr>
            <w:tcW w:w="3558" w:type="dxa"/>
            <w:gridSpan w:val="6"/>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生态资源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094" w:type="dxa"/>
            <w:gridSpan w:val="2"/>
            <w:vMerge w:val="continue"/>
            <w:tcBorders>
              <w:tl2br w:val="nil"/>
              <w:tr2bl w:val="nil"/>
            </w:tcBorders>
            <w:vAlign w:val="center"/>
          </w:tcPr>
          <w:p>
            <w:pPr>
              <w:pStyle w:val="42"/>
              <w:rPr>
                <w:rFonts w:hint="default" w:ascii="Times New Roman" w:hAnsi="Times New Roman" w:eastAsia="宋体" w:cs="Times New Roman"/>
                <w:color w:val="FF0000"/>
              </w:rPr>
            </w:pPr>
          </w:p>
        </w:tc>
        <w:tc>
          <w:tcPr>
            <w:tcW w:w="61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水土流失</w:t>
            </w:r>
          </w:p>
        </w:tc>
        <w:tc>
          <w:tcPr>
            <w:tcW w:w="510"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地质灾害</w:t>
            </w:r>
          </w:p>
        </w:tc>
        <w:tc>
          <w:tcPr>
            <w:tcW w:w="615" w:type="dxa"/>
            <w:tcBorders>
              <w:tl2br w:val="nil"/>
              <w:tr2bl w:val="nil"/>
            </w:tcBorders>
            <w:vAlign w:val="center"/>
          </w:tcPr>
          <w:p>
            <w:pPr>
              <w:pStyle w:val="42"/>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地表水</w:t>
            </w:r>
          </w:p>
        </w:tc>
        <w:tc>
          <w:tcPr>
            <w:tcW w:w="600" w:type="dxa"/>
            <w:tcBorders>
              <w:tl2br w:val="nil"/>
              <w:tr2bl w:val="nil"/>
            </w:tcBorders>
            <w:vAlign w:val="center"/>
          </w:tcPr>
          <w:p>
            <w:pPr>
              <w:pStyle w:val="42"/>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地下水</w:t>
            </w: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大气</w:t>
            </w:r>
          </w:p>
        </w:tc>
        <w:tc>
          <w:tcPr>
            <w:tcW w:w="645" w:type="dxa"/>
            <w:tcBorders>
              <w:tl2br w:val="nil"/>
              <w:tr2bl w:val="nil"/>
            </w:tcBorders>
            <w:vAlign w:val="center"/>
          </w:tcPr>
          <w:p>
            <w:pPr>
              <w:pStyle w:val="42"/>
              <w:rPr>
                <w:rFonts w:hint="default" w:ascii="Times New Roman" w:hAnsi="Times New Roman" w:eastAsia="宋体" w:cs="Times New Roman"/>
                <w:color w:val="FF0000"/>
                <w:lang w:val="en-US"/>
              </w:rPr>
            </w:pPr>
            <w:r>
              <w:rPr>
                <w:rFonts w:hint="eastAsia" w:ascii="Times New Roman" w:hAnsi="Times New Roman" w:eastAsia="宋体" w:cs="Times New Roman"/>
                <w:color w:val="FF0000"/>
                <w:lang w:val="en-US" w:eastAsia="zh-CN"/>
              </w:rPr>
              <w:t>声环境</w:t>
            </w:r>
          </w:p>
        </w:tc>
        <w:tc>
          <w:tcPr>
            <w:tcW w:w="61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土壤</w:t>
            </w:r>
          </w:p>
        </w:tc>
        <w:tc>
          <w:tcPr>
            <w:tcW w:w="672" w:type="dxa"/>
            <w:tcBorders>
              <w:tl2br w:val="nil"/>
              <w:tr2bl w:val="nil"/>
            </w:tcBorders>
            <w:vAlign w:val="center"/>
          </w:tcPr>
          <w:p>
            <w:pPr>
              <w:pStyle w:val="42"/>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农作物</w:t>
            </w:r>
          </w:p>
        </w:tc>
        <w:tc>
          <w:tcPr>
            <w:tcW w:w="656"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野生植物</w:t>
            </w:r>
          </w:p>
        </w:tc>
        <w:tc>
          <w:tcPr>
            <w:tcW w:w="67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野生动物</w:t>
            </w:r>
          </w:p>
        </w:tc>
        <w:tc>
          <w:tcPr>
            <w:tcW w:w="531"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水生动物</w:t>
            </w:r>
          </w:p>
        </w:tc>
        <w:tc>
          <w:tcPr>
            <w:tcW w:w="559"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濒危动物</w:t>
            </w:r>
          </w:p>
        </w:tc>
        <w:tc>
          <w:tcPr>
            <w:tcW w:w="463"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渔业养殖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restart"/>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施</w:t>
            </w:r>
          </w:p>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工</w:t>
            </w:r>
          </w:p>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期</w:t>
            </w:r>
          </w:p>
        </w:tc>
        <w:tc>
          <w:tcPr>
            <w:tcW w:w="66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场地清理</w:t>
            </w:r>
          </w:p>
        </w:tc>
        <w:tc>
          <w:tcPr>
            <w:tcW w:w="61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510"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4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1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72"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56"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7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continue"/>
            <w:tcBorders>
              <w:tl2br w:val="nil"/>
              <w:tr2bl w:val="nil"/>
            </w:tcBorders>
            <w:vAlign w:val="center"/>
          </w:tcPr>
          <w:p>
            <w:pPr>
              <w:pStyle w:val="42"/>
              <w:rPr>
                <w:rFonts w:hint="default" w:ascii="Times New Roman" w:hAnsi="Times New Roman" w:eastAsia="宋体" w:cs="Times New Roman"/>
                <w:color w:val="FF0000"/>
              </w:rPr>
            </w:pPr>
          </w:p>
        </w:tc>
        <w:tc>
          <w:tcPr>
            <w:tcW w:w="66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运输</w:t>
            </w:r>
          </w:p>
        </w:tc>
        <w:tc>
          <w:tcPr>
            <w:tcW w:w="617" w:type="dxa"/>
            <w:tcBorders>
              <w:tl2br w:val="nil"/>
              <w:tr2bl w:val="nil"/>
            </w:tcBorders>
            <w:vAlign w:val="center"/>
          </w:tcPr>
          <w:p>
            <w:pPr>
              <w:pStyle w:val="42"/>
              <w:rPr>
                <w:rFonts w:hint="default" w:ascii="Times New Roman" w:hAnsi="Times New Roman" w:eastAsia="宋体" w:cs="Times New Roman"/>
                <w:color w:val="FF0000"/>
              </w:rPr>
            </w:pPr>
          </w:p>
        </w:tc>
        <w:tc>
          <w:tcPr>
            <w:tcW w:w="510"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4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1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continue"/>
            <w:tcBorders>
              <w:tl2br w:val="nil"/>
              <w:tr2bl w:val="nil"/>
            </w:tcBorders>
            <w:vAlign w:val="center"/>
          </w:tcPr>
          <w:p>
            <w:pPr>
              <w:pStyle w:val="42"/>
              <w:rPr>
                <w:rFonts w:hint="default" w:ascii="Times New Roman" w:hAnsi="Times New Roman" w:eastAsia="宋体" w:cs="Times New Roman"/>
                <w:color w:val="FF0000"/>
              </w:rPr>
            </w:pPr>
          </w:p>
        </w:tc>
        <w:tc>
          <w:tcPr>
            <w:tcW w:w="66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安装建设</w:t>
            </w:r>
          </w:p>
        </w:tc>
        <w:tc>
          <w:tcPr>
            <w:tcW w:w="617" w:type="dxa"/>
            <w:tcBorders>
              <w:tl2br w:val="nil"/>
              <w:tr2bl w:val="nil"/>
            </w:tcBorders>
            <w:vAlign w:val="center"/>
          </w:tcPr>
          <w:p>
            <w:pPr>
              <w:pStyle w:val="42"/>
              <w:rPr>
                <w:rFonts w:hint="default" w:ascii="Times New Roman" w:hAnsi="Times New Roman" w:eastAsia="宋体" w:cs="Times New Roman"/>
                <w:color w:val="FF0000"/>
              </w:rPr>
            </w:pPr>
          </w:p>
        </w:tc>
        <w:tc>
          <w:tcPr>
            <w:tcW w:w="510"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4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continue"/>
            <w:tcBorders>
              <w:tl2br w:val="nil"/>
              <w:tr2bl w:val="nil"/>
            </w:tcBorders>
            <w:vAlign w:val="center"/>
          </w:tcPr>
          <w:p>
            <w:pPr>
              <w:pStyle w:val="42"/>
              <w:rPr>
                <w:rFonts w:hint="default" w:ascii="Times New Roman" w:hAnsi="Times New Roman" w:eastAsia="宋体" w:cs="Times New Roman"/>
                <w:color w:val="FF0000"/>
              </w:rPr>
            </w:pPr>
          </w:p>
        </w:tc>
        <w:tc>
          <w:tcPr>
            <w:tcW w:w="66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材料堆放</w:t>
            </w:r>
          </w:p>
        </w:tc>
        <w:tc>
          <w:tcPr>
            <w:tcW w:w="61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510"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45"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restart"/>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运</w:t>
            </w:r>
          </w:p>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行</w:t>
            </w:r>
          </w:p>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期</w:t>
            </w:r>
          </w:p>
        </w:tc>
        <w:tc>
          <w:tcPr>
            <w:tcW w:w="667"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矿石开采</w:t>
            </w:r>
          </w:p>
        </w:tc>
        <w:tc>
          <w:tcPr>
            <w:tcW w:w="617" w:type="dxa"/>
            <w:tcBorders>
              <w:tl2br w:val="nil"/>
              <w:tr2bl w:val="nil"/>
            </w:tcBorders>
            <w:vAlign w:val="center"/>
          </w:tcPr>
          <w:p>
            <w:pPr>
              <w:pStyle w:val="42"/>
              <w:rPr>
                <w:rFonts w:hint="default" w:ascii="Times New Roman" w:hAnsi="Times New Roman" w:eastAsia="宋体" w:cs="Times New Roman"/>
                <w:color w:val="FF0000"/>
              </w:rPr>
            </w:pPr>
          </w:p>
        </w:tc>
        <w:tc>
          <w:tcPr>
            <w:tcW w:w="510"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w:t>
            </w: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4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1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continue"/>
            <w:tcBorders>
              <w:tl2br w:val="nil"/>
              <w:tr2bl w:val="nil"/>
            </w:tcBorders>
            <w:vAlign w:val="center"/>
          </w:tcPr>
          <w:p>
            <w:pPr>
              <w:pStyle w:val="42"/>
              <w:rPr>
                <w:rFonts w:hint="default" w:ascii="Times New Roman" w:hAnsi="Times New Roman" w:eastAsia="宋体" w:cs="Times New Roman"/>
                <w:color w:val="FF0000"/>
              </w:rPr>
            </w:pPr>
          </w:p>
        </w:tc>
        <w:tc>
          <w:tcPr>
            <w:tcW w:w="667"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矿石运输</w:t>
            </w:r>
          </w:p>
        </w:tc>
        <w:tc>
          <w:tcPr>
            <w:tcW w:w="617" w:type="dxa"/>
            <w:tcBorders>
              <w:tl2br w:val="nil"/>
              <w:tr2bl w:val="nil"/>
            </w:tcBorders>
            <w:vAlign w:val="center"/>
          </w:tcPr>
          <w:p>
            <w:pPr>
              <w:pStyle w:val="42"/>
              <w:rPr>
                <w:rFonts w:hint="default" w:ascii="Times New Roman" w:hAnsi="Times New Roman" w:eastAsia="宋体" w:cs="Times New Roman"/>
                <w:color w:val="FF0000"/>
              </w:rPr>
            </w:pPr>
          </w:p>
        </w:tc>
        <w:tc>
          <w:tcPr>
            <w:tcW w:w="510"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p>
        </w:tc>
        <w:tc>
          <w:tcPr>
            <w:tcW w:w="70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4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restart"/>
            <w:tcBorders>
              <w:tl2br w:val="nil"/>
              <w:tr2bl w:val="nil"/>
            </w:tcBorders>
            <w:vAlign w:val="center"/>
          </w:tcPr>
          <w:p>
            <w:pPr>
              <w:pStyle w:val="42"/>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退役期</w:t>
            </w:r>
          </w:p>
        </w:tc>
        <w:tc>
          <w:tcPr>
            <w:tcW w:w="667"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场地及道路</w:t>
            </w:r>
          </w:p>
        </w:tc>
        <w:tc>
          <w:tcPr>
            <w:tcW w:w="617" w:type="dxa"/>
            <w:tcBorders>
              <w:tl2br w:val="nil"/>
              <w:tr2bl w:val="nil"/>
            </w:tcBorders>
            <w:vAlign w:val="center"/>
          </w:tcPr>
          <w:p>
            <w:pPr>
              <w:pStyle w:val="42"/>
              <w:rPr>
                <w:rFonts w:hint="eastAsia" w:ascii="Times New Roman" w:hAnsi="Times New Roman" w:eastAsia="宋体" w:cs="Times New Roman"/>
                <w:color w:val="FF0000"/>
                <w:lang w:eastAsia="zh-CN"/>
              </w:rPr>
            </w:pPr>
            <w:r>
              <w:rPr>
                <w:rFonts w:hint="default" w:ascii="Times New Roman" w:hAnsi="Times New Roman" w:eastAsia="宋体" w:cs="Times New Roman"/>
                <w:color w:val="FF0000"/>
              </w:rPr>
              <w:t>-</w:t>
            </w:r>
            <w:r>
              <w:rPr>
                <w:rFonts w:hint="eastAsia" w:ascii="Times New Roman" w:hAnsi="Times New Roman" w:eastAsia="宋体" w:cs="Times New Roman"/>
                <w:color w:val="FF0000"/>
                <w:lang w:val="en-US" w:eastAsia="zh-CN"/>
              </w:rPr>
              <w:t>1</w:t>
            </w:r>
          </w:p>
        </w:tc>
        <w:tc>
          <w:tcPr>
            <w:tcW w:w="510"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p>
        </w:tc>
        <w:tc>
          <w:tcPr>
            <w:tcW w:w="705" w:type="dxa"/>
            <w:tcBorders>
              <w:tl2br w:val="nil"/>
              <w:tr2bl w:val="nil"/>
            </w:tcBorders>
            <w:vAlign w:val="center"/>
          </w:tcPr>
          <w:p>
            <w:pPr>
              <w:pStyle w:val="42"/>
              <w:rPr>
                <w:rFonts w:hint="default" w:ascii="Times New Roman" w:hAnsi="Times New Roman" w:eastAsia="宋体" w:cs="Times New Roman"/>
                <w:color w:val="FF0000"/>
              </w:rPr>
            </w:pPr>
          </w:p>
        </w:tc>
        <w:tc>
          <w:tcPr>
            <w:tcW w:w="645"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7" w:type="dxa"/>
            <w:vMerge w:val="continue"/>
            <w:tcBorders>
              <w:tl2br w:val="nil"/>
              <w:tr2bl w:val="nil"/>
            </w:tcBorders>
            <w:vAlign w:val="center"/>
          </w:tcPr>
          <w:p>
            <w:pPr>
              <w:pStyle w:val="42"/>
              <w:rPr>
                <w:rFonts w:hint="default" w:ascii="Times New Roman" w:hAnsi="Times New Roman" w:eastAsia="宋体" w:cs="Times New Roman"/>
                <w:color w:val="FF0000"/>
              </w:rPr>
            </w:pPr>
          </w:p>
        </w:tc>
        <w:tc>
          <w:tcPr>
            <w:tcW w:w="667" w:type="dxa"/>
            <w:tcBorders>
              <w:tl2br w:val="nil"/>
              <w:tr2bl w:val="nil"/>
            </w:tcBorders>
            <w:vAlign w:val="center"/>
          </w:tcPr>
          <w:p>
            <w:pPr>
              <w:pStyle w:val="42"/>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采空区</w:t>
            </w:r>
          </w:p>
        </w:tc>
        <w:tc>
          <w:tcPr>
            <w:tcW w:w="617" w:type="dxa"/>
            <w:tcBorders>
              <w:tl2br w:val="nil"/>
              <w:tr2bl w:val="nil"/>
            </w:tcBorders>
            <w:vAlign w:val="center"/>
          </w:tcPr>
          <w:p>
            <w:pPr>
              <w:pStyle w:val="42"/>
              <w:rPr>
                <w:rFonts w:hint="eastAsia" w:ascii="Times New Roman" w:hAnsi="Times New Roman" w:eastAsia="宋体" w:cs="Times New Roman"/>
                <w:color w:val="FF0000"/>
                <w:lang w:eastAsia="zh-CN"/>
              </w:rPr>
            </w:pPr>
            <w:r>
              <w:rPr>
                <w:rFonts w:hint="default" w:ascii="Times New Roman" w:hAnsi="Times New Roman" w:eastAsia="宋体" w:cs="Times New Roman"/>
                <w:color w:val="FF0000"/>
              </w:rPr>
              <w:t>-</w:t>
            </w:r>
            <w:r>
              <w:rPr>
                <w:rFonts w:hint="eastAsia" w:ascii="Times New Roman" w:hAnsi="Times New Roman" w:eastAsia="宋体" w:cs="Times New Roman"/>
                <w:color w:val="FF0000"/>
                <w:lang w:val="en-US" w:eastAsia="zh-CN"/>
              </w:rPr>
              <w:t>1</w:t>
            </w:r>
          </w:p>
        </w:tc>
        <w:tc>
          <w:tcPr>
            <w:tcW w:w="510"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w:t>
            </w:r>
            <w:r>
              <w:rPr>
                <w:rFonts w:hint="eastAsia" w:ascii="Times New Roman" w:hAnsi="Times New Roman" w:eastAsia="宋体" w:cs="Times New Roman"/>
                <w:color w:val="FF0000"/>
                <w:lang w:val="en-US" w:eastAsia="zh-CN"/>
              </w:rPr>
              <w:t>2</w:t>
            </w:r>
          </w:p>
        </w:tc>
        <w:tc>
          <w:tcPr>
            <w:tcW w:w="615" w:type="dxa"/>
            <w:tcBorders>
              <w:tl2br w:val="nil"/>
              <w:tr2bl w:val="nil"/>
            </w:tcBorders>
            <w:vAlign w:val="center"/>
          </w:tcPr>
          <w:p>
            <w:pPr>
              <w:pStyle w:val="42"/>
              <w:rPr>
                <w:rFonts w:hint="default" w:ascii="Times New Roman" w:hAnsi="Times New Roman" w:eastAsia="宋体" w:cs="Times New Roman"/>
                <w:color w:val="FF0000"/>
              </w:rPr>
            </w:pPr>
          </w:p>
        </w:tc>
        <w:tc>
          <w:tcPr>
            <w:tcW w:w="600"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w:t>
            </w:r>
            <w:r>
              <w:rPr>
                <w:rFonts w:hint="eastAsia" w:ascii="Times New Roman" w:hAnsi="Times New Roman" w:eastAsia="宋体" w:cs="Times New Roman"/>
                <w:color w:val="FF0000"/>
                <w:lang w:val="en-US" w:eastAsia="zh-CN"/>
              </w:rPr>
              <w:t>1</w:t>
            </w:r>
          </w:p>
        </w:tc>
        <w:tc>
          <w:tcPr>
            <w:tcW w:w="705" w:type="dxa"/>
            <w:tcBorders>
              <w:tl2br w:val="nil"/>
              <w:tr2bl w:val="nil"/>
            </w:tcBorders>
            <w:vAlign w:val="center"/>
          </w:tcPr>
          <w:p>
            <w:pPr>
              <w:pStyle w:val="42"/>
              <w:rPr>
                <w:rFonts w:hint="default" w:ascii="Times New Roman" w:hAnsi="Times New Roman" w:eastAsia="宋体" w:cs="Times New Roman"/>
                <w:color w:val="FF0000"/>
              </w:rPr>
            </w:pPr>
          </w:p>
        </w:tc>
        <w:tc>
          <w:tcPr>
            <w:tcW w:w="645" w:type="dxa"/>
            <w:tcBorders>
              <w:tl2br w:val="nil"/>
              <w:tr2bl w:val="nil"/>
            </w:tcBorders>
            <w:vAlign w:val="center"/>
          </w:tcPr>
          <w:p>
            <w:pPr>
              <w:pStyle w:val="42"/>
              <w:rPr>
                <w:rFonts w:hint="default" w:ascii="Times New Roman" w:hAnsi="Times New Roman" w:eastAsia="宋体" w:cs="Times New Roman"/>
                <w:color w:val="FF0000"/>
              </w:rPr>
            </w:pPr>
          </w:p>
        </w:tc>
        <w:tc>
          <w:tcPr>
            <w:tcW w:w="615"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w:t>
            </w:r>
            <w:r>
              <w:rPr>
                <w:rFonts w:hint="eastAsia" w:ascii="Times New Roman" w:hAnsi="Times New Roman" w:eastAsia="宋体" w:cs="Times New Roman"/>
                <w:color w:val="FF0000"/>
                <w:lang w:val="en-US" w:eastAsia="zh-CN"/>
              </w:rPr>
              <w:t>1</w:t>
            </w:r>
          </w:p>
        </w:tc>
        <w:tc>
          <w:tcPr>
            <w:tcW w:w="672" w:type="dxa"/>
            <w:tcBorders>
              <w:tl2br w:val="nil"/>
              <w:tr2bl w:val="nil"/>
            </w:tcBorders>
            <w:vAlign w:val="center"/>
          </w:tcPr>
          <w:p>
            <w:pPr>
              <w:pStyle w:val="42"/>
              <w:rPr>
                <w:rFonts w:hint="default" w:ascii="Times New Roman" w:hAnsi="Times New Roman" w:eastAsia="宋体" w:cs="Times New Roman"/>
                <w:color w:val="FF0000"/>
              </w:rPr>
            </w:pPr>
          </w:p>
        </w:tc>
        <w:tc>
          <w:tcPr>
            <w:tcW w:w="656" w:type="dxa"/>
            <w:tcBorders>
              <w:tl2br w:val="nil"/>
              <w:tr2bl w:val="nil"/>
            </w:tcBorders>
            <w:vAlign w:val="center"/>
          </w:tcPr>
          <w:p>
            <w:pPr>
              <w:pStyle w:val="42"/>
              <w:rPr>
                <w:rFonts w:hint="default" w:ascii="Times New Roman" w:hAnsi="Times New Roman" w:eastAsia="宋体" w:cs="Times New Roman"/>
                <w:color w:val="FF0000"/>
              </w:rPr>
            </w:pPr>
          </w:p>
        </w:tc>
        <w:tc>
          <w:tcPr>
            <w:tcW w:w="677" w:type="dxa"/>
            <w:tcBorders>
              <w:tl2br w:val="nil"/>
              <w:tr2bl w:val="nil"/>
            </w:tcBorders>
            <w:vAlign w:val="center"/>
          </w:tcPr>
          <w:p>
            <w:pPr>
              <w:pStyle w:val="42"/>
              <w:rPr>
                <w:rFonts w:hint="default" w:ascii="Times New Roman" w:hAnsi="Times New Roman" w:eastAsia="宋体" w:cs="Times New Roman"/>
                <w:color w:val="FF0000"/>
              </w:rPr>
            </w:pPr>
          </w:p>
        </w:tc>
        <w:tc>
          <w:tcPr>
            <w:tcW w:w="531" w:type="dxa"/>
            <w:tcBorders>
              <w:tl2br w:val="nil"/>
              <w:tr2bl w:val="nil"/>
            </w:tcBorders>
            <w:vAlign w:val="center"/>
          </w:tcPr>
          <w:p>
            <w:pPr>
              <w:pStyle w:val="42"/>
              <w:rPr>
                <w:rFonts w:hint="default" w:ascii="Times New Roman" w:hAnsi="Times New Roman" w:eastAsia="宋体" w:cs="Times New Roman"/>
                <w:color w:val="FF0000"/>
              </w:rPr>
            </w:pPr>
          </w:p>
        </w:tc>
        <w:tc>
          <w:tcPr>
            <w:tcW w:w="559" w:type="dxa"/>
            <w:tcBorders>
              <w:tl2br w:val="nil"/>
              <w:tr2bl w:val="nil"/>
            </w:tcBorders>
            <w:vAlign w:val="center"/>
          </w:tcPr>
          <w:p>
            <w:pPr>
              <w:pStyle w:val="42"/>
              <w:rPr>
                <w:rFonts w:hint="default" w:ascii="Times New Roman" w:hAnsi="Times New Roman" w:eastAsia="宋体" w:cs="Times New Roman"/>
                <w:color w:val="FF0000"/>
              </w:rPr>
            </w:pPr>
          </w:p>
        </w:tc>
        <w:tc>
          <w:tcPr>
            <w:tcW w:w="463" w:type="dxa"/>
            <w:tcBorders>
              <w:tl2br w:val="nil"/>
              <w:tr2bl w:val="nil"/>
            </w:tcBorders>
            <w:vAlign w:val="center"/>
          </w:tcPr>
          <w:p>
            <w:pPr>
              <w:pStyle w:val="42"/>
              <w:rPr>
                <w:rFonts w:hint="default" w:ascii="Times New Roman" w:hAnsi="Times New Roman" w:eastAsia="宋体" w:cs="Times New Roman"/>
                <w:color w:val="FF0000"/>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b/>
          <w:bCs/>
          <w:color w:val="FF0000"/>
          <w:sz w:val="24"/>
          <w:szCs w:val="24"/>
        </w:rPr>
      </w:pPr>
      <w:r>
        <w:rPr>
          <w:rFonts w:ascii="Times New Roman" w:hAnsi="Times New Roman" w:eastAsia="宋体" w:cs="Times New Roman"/>
          <w:color w:val="FF0000"/>
          <w:sz w:val="24"/>
          <w:szCs w:val="24"/>
        </w:rPr>
        <w:t>备注：</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-2</w:t>
      </w:r>
      <w:r>
        <w:rPr>
          <w:rFonts w:hint="eastAsia" w:ascii="Times New Roman" w:hAnsi="Times New Roman" w:eastAsia="宋体" w:cs="Times New Roman"/>
          <w:color w:val="FF0000"/>
          <w:sz w:val="24"/>
          <w:szCs w:val="24"/>
          <w:lang w:eastAsia="zh-CN"/>
        </w:rPr>
        <w:t>”</w:t>
      </w:r>
      <w:r>
        <w:rPr>
          <w:rFonts w:ascii="Times New Roman" w:hAnsi="Times New Roman" w:eastAsia="宋体" w:cs="Times New Roman"/>
          <w:color w:val="FF0000"/>
          <w:sz w:val="24"/>
          <w:szCs w:val="24"/>
        </w:rPr>
        <w:t>为负面影响较大，</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-1</w:t>
      </w:r>
      <w:r>
        <w:rPr>
          <w:rFonts w:hint="eastAsia" w:ascii="Times New Roman" w:hAnsi="Times New Roman" w:eastAsia="宋体" w:cs="Times New Roman"/>
          <w:color w:val="FF0000"/>
          <w:sz w:val="24"/>
          <w:szCs w:val="24"/>
          <w:lang w:eastAsia="zh-CN"/>
        </w:rPr>
        <w:t>”</w:t>
      </w:r>
      <w:r>
        <w:rPr>
          <w:rFonts w:ascii="Times New Roman" w:hAnsi="Times New Roman" w:eastAsia="宋体" w:cs="Times New Roman"/>
          <w:color w:val="FF0000"/>
          <w:sz w:val="24"/>
          <w:szCs w:val="24"/>
        </w:rPr>
        <w:t>为负面影响较小</w:t>
      </w:r>
      <w:r>
        <w:rPr>
          <w:rFonts w:hint="eastAsia" w:ascii="Times New Roman" w:hAnsi="Times New Roman" w:eastAsia="宋体" w:cs="Times New Roman"/>
          <w:color w:val="FF0000"/>
          <w:sz w:val="24"/>
          <w:szCs w:val="24"/>
        </w:rPr>
        <w:t>，空白为无显著影响。</w:t>
      </w:r>
    </w:p>
    <w:p>
      <w:pPr>
        <w:pStyle w:val="5"/>
        <w:rPr>
          <w:color w:val="000000" w:themeColor="text1"/>
        </w:rPr>
      </w:pPr>
      <w:bookmarkStart w:id="88" w:name="_Toc29137"/>
      <w:bookmarkStart w:id="89" w:name="_Toc5266_WPSOffice_Level3"/>
      <w:bookmarkStart w:id="90" w:name="_Toc25577"/>
      <w:bookmarkStart w:id="91" w:name="_Toc1185"/>
      <w:bookmarkStart w:id="92" w:name="_Toc10838"/>
      <w:r>
        <w:rPr>
          <w:color w:val="000000" w:themeColor="text1"/>
        </w:rPr>
        <w:t>评价因子筛选</w:t>
      </w:r>
      <w:bookmarkEnd w:id="88"/>
      <w:bookmarkEnd w:id="89"/>
      <w:bookmarkEnd w:id="90"/>
      <w:bookmarkEnd w:id="91"/>
      <w:bookmarkEnd w:id="9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在主要环境影响因素识别的基础上，选择对环境影响较大或环境较为敏感的特征污染因子作为本次的评价因子。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（1）环境空气评价因子的筛选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本工程废气污染物主要为井下污风、矿石堆</w:t>
      </w:r>
      <w:r>
        <w:rPr>
          <w:rFonts w:hint="eastAsia" w:ascii="Times New Roman" w:hAnsi="Times New Roman" w:eastAsia="宋体" w:cs="Times New Roman"/>
          <w:color w:val="000000" w:themeColor="text1"/>
          <w:sz w:val="24"/>
          <w:szCs w:val="24"/>
          <w:lang w:val="en-US" w:eastAsia="zh-CN"/>
        </w:rPr>
        <w:t>场</w:t>
      </w:r>
      <w:r>
        <w:rPr>
          <w:rFonts w:hint="default" w:ascii="Times New Roman" w:hAnsi="Times New Roman" w:eastAsia="宋体" w:cs="Times New Roman"/>
          <w:color w:val="000000" w:themeColor="text1"/>
          <w:sz w:val="24"/>
          <w:szCs w:val="24"/>
        </w:rPr>
        <w:t>扬尘及</w:t>
      </w:r>
      <w:r>
        <w:rPr>
          <w:rFonts w:hint="eastAsia" w:ascii="Times New Roman" w:hAnsi="Times New Roman" w:eastAsia="宋体" w:cs="Times New Roman"/>
          <w:color w:val="000000" w:themeColor="text1"/>
          <w:sz w:val="24"/>
          <w:szCs w:val="24"/>
          <w:lang w:val="en-US" w:eastAsia="zh-CN"/>
        </w:rPr>
        <w:t>运输道路</w:t>
      </w:r>
      <w:r>
        <w:rPr>
          <w:rFonts w:hint="default" w:ascii="Times New Roman" w:hAnsi="Times New Roman" w:eastAsia="宋体" w:cs="Times New Roman"/>
          <w:color w:val="000000" w:themeColor="text1"/>
          <w:sz w:val="24"/>
          <w:szCs w:val="24"/>
        </w:rPr>
        <w:t>扬尘。根据本项目污染物排放特征，确定环境空气现状评价因子：SO</w:t>
      </w:r>
      <w:r>
        <w:rPr>
          <w:rFonts w:hint="default" w:ascii="Times New Roman" w:hAnsi="Times New Roman" w:eastAsia="宋体" w:cs="Times New Roman"/>
          <w:color w:val="000000" w:themeColor="text1"/>
          <w:sz w:val="24"/>
          <w:szCs w:val="24"/>
          <w:vertAlign w:val="subscript"/>
        </w:rPr>
        <w:t>2</w:t>
      </w:r>
      <w:r>
        <w:rPr>
          <w:rFonts w:hint="default" w:ascii="Times New Roman" w:hAnsi="Times New Roman" w:eastAsia="宋体" w:cs="Times New Roman"/>
          <w:color w:val="000000" w:themeColor="text1"/>
          <w:sz w:val="24"/>
          <w:szCs w:val="24"/>
        </w:rPr>
        <w:t>、NO</w:t>
      </w:r>
      <w:r>
        <w:rPr>
          <w:rFonts w:hint="default" w:ascii="Times New Roman" w:hAnsi="Times New Roman" w:eastAsia="宋体" w:cs="Times New Roman"/>
          <w:color w:val="000000" w:themeColor="text1"/>
          <w:sz w:val="24"/>
          <w:szCs w:val="24"/>
          <w:vertAlign w:val="subscript"/>
        </w:rPr>
        <w:t>2</w:t>
      </w:r>
      <w:r>
        <w:rPr>
          <w:rFonts w:hint="default" w:ascii="Times New Roman" w:hAnsi="Times New Roman" w:eastAsia="宋体" w:cs="Times New Roman"/>
          <w:color w:val="000000" w:themeColor="text1"/>
          <w:sz w:val="24"/>
          <w:szCs w:val="24"/>
        </w:rPr>
        <w:t>、PM</w:t>
      </w:r>
      <w:r>
        <w:rPr>
          <w:rFonts w:hint="default" w:ascii="Times New Roman" w:hAnsi="Times New Roman" w:eastAsia="宋体" w:cs="Times New Roman"/>
          <w:color w:val="000000" w:themeColor="text1"/>
          <w:sz w:val="24"/>
          <w:szCs w:val="24"/>
          <w:vertAlign w:val="subscript"/>
        </w:rPr>
        <w:t>10</w:t>
      </w:r>
      <w:r>
        <w:rPr>
          <w:rFonts w:hint="default" w:ascii="Times New Roman" w:hAnsi="Times New Roman" w:eastAsia="宋体" w:cs="Times New Roman"/>
          <w:color w:val="000000" w:themeColor="text1"/>
          <w:sz w:val="24"/>
          <w:szCs w:val="24"/>
        </w:rPr>
        <w:t>、PM</w:t>
      </w:r>
      <w:r>
        <w:rPr>
          <w:rFonts w:hint="default" w:ascii="Times New Roman" w:hAnsi="Times New Roman" w:eastAsia="宋体" w:cs="Times New Roman"/>
          <w:color w:val="000000" w:themeColor="text1"/>
          <w:sz w:val="24"/>
          <w:szCs w:val="24"/>
          <w:vertAlign w:val="subscript"/>
        </w:rPr>
        <w:t>2.5</w:t>
      </w:r>
      <w:r>
        <w:rPr>
          <w:rFonts w:hint="default" w:ascii="Times New Roman" w:hAnsi="Times New Roman" w:eastAsia="宋体" w:cs="Times New Roman"/>
          <w:color w:val="000000" w:themeColor="text1"/>
          <w:sz w:val="24"/>
          <w:szCs w:val="24"/>
        </w:rPr>
        <w:t>、CO、O</w:t>
      </w:r>
      <w:r>
        <w:rPr>
          <w:rFonts w:hint="default" w:ascii="Times New Roman" w:hAnsi="Times New Roman" w:eastAsia="宋体" w:cs="Times New Roman"/>
          <w:color w:val="000000" w:themeColor="text1"/>
          <w:sz w:val="24"/>
          <w:szCs w:val="24"/>
          <w:vertAlign w:val="subscript"/>
        </w:rPr>
        <w:t>3</w:t>
      </w:r>
      <w:r>
        <w:rPr>
          <w:rFonts w:hint="default" w:ascii="Times New Roman" w:hAnsi="Times New Roman" w:eastAsia="宋体" w:cs="Times New Roman"/>
          <w:color w:val="000000" w:themeColor="text1"/>
          <w:sz w:val="24"/>
          <w:szCs w:val="24"/>
        </w:rPr>
        <w:t>、TSP；确定环境影响评价子：TSP。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（2）地表水环境评价因子筛选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本工程废水主要是矿井涌水、除尘废</w:t>
      </w:r>
      <w:r>
        <w:rPr>
          <w:rFonts w:hint="eastAsia" w:ascii="Times New Roman" w:hAnsi="Times New Roman" w:eastAsia="宋体" w:cs="Times New Roman"/>
          <w:color w:val="000000" w:themeColor="text1"/>
          <w:sz w:val="24"/>
          <w:szCs w:val="24"/>
          <w:lang w:val="en-US" w:eastAsia="zh-CN"/>
        </w:rPr>
        <w:t>水以及生活污水</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本项目生产废水全部回用不外排；生活污水用于肥田，不外排。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（3）地下水环境评价因子筛选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地下水环境质量现状调查因子为pH值、总硬度、氨氮、挥发酚、硝酸盐、亚硝酸盐、氟化物、氰化物、六价铬、溶解性总固体、高锰酸盐指数、大肠菌群、细菌总数、铅、砷、铁、锰、镉、汞、钡，另外监测分析地下水中的K</w:t>
      </w:r>
      <w:r>
        <w:rPr>
          <w:rFonts w:hint="default" w:ascii="Times New Roman" w:hAnsi="Times New Roman" w:eastAsia="宋体" w:cs="Times New Roman"/>
          <w:color w:val="000000" w:themeColor="text1"/>
          <w:sz w:val="24"/>
          <w:szCs w:val="24"/>
          <w:vertAlign w:val="superscript"/>
        </w:rPr>
        <w:t>+</w:t>
      </w:r>
      <w:r>
        <w:rPr>
          <w:rFonts w:hint="default" w:ascii="Times New Roman" w:hAnsi="Times New Roman" w:eastAsia="宋体" w:cs="Times New Roman"/>
          <w:color w:val="000000" w:themeColor="text1"/>
          <w:sz w:val="24"/>
          <w:szCs w:val="24"/>
        </w:rPr>
        <w:t>、Na</w:t>
      </w:r>
      <w:r>
        <w:rPr>
          <w:rFonts w:hint="default" w:ascii="Times New Roman" w:hAnsi="Times New Roman" w:eastAsia="宋体" w:cs="Times New Roman"/>
          <w:color w:val="000000" w:themeColor="text1"/>
          <w:sz w:val="24"/>
          <w:szCs w:val="24"/>
          <w:vertAlign w:val="superscript"/>
        </w:rPr>
        <w:t>+</w:t>
      </w:r>
      <w:r>
        <w:rPr>
          <w:rFonts w:hint="default" w:ascii="Times New Roman" w:hAnsi="Times New Roman" w:eastAsia="宋体" w:cs="Times New Roman"/>
          <w:color w:val="000000" w:themeColor="text1"/>
          <w:sz w:val="24"/>
          <w:szCs w:val="24"/>
        </w:rPr>
        <w:t>、Ca</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、Mg</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、CO</w:t>
      </w:r>
      <w:r>
        <w:rPr>
          <w:rFonts w:hint="default" w:ascii="Times New Roman" w:hAnsi="Times New Roman" w:eastAsia="宋体" w:cs="Times New Roman"/>
          <w:color w:val="000000" w:themeColor="text1"/>
          <w:sz w:val="24"/>
          <w:szCs w:val="24"/>
          <w:vertAlign w:val="subscript"/>
        </w:rPr>
        <w:t>3</w:t>
      </w:r>
      <w:r>
        <w:rPr>
          <w:rFonts w:hint="default" w:ascii="Times New Roman" w:hAnsi="Times New Roman" w:eastAsia="宋体" w:cs="Times New Roman"/>
          <w:color w:val="000000" w:themeColor="text1"/>
          <w:sz w:val="24"/>
          <w:szCs w:val="24"/>
          <w:vertAlign w:val="superscript"/>
        </w:rPr>
        <w:t>2</w:t>
      </w:r>
      <w:r>
        <w:rPr>
          <w:rFonts w:hint="eastAsia" w:ascii="Times New Roman" w:hAnsi="Times New Roman" w:eastAsia="宋体" w:cs="Times New Roman"/>
          <w:color w:val="000000" w:themeColor="text1"/>
          <w:sz w:val="24"/>
          <w:szCs w:val="24"/>
          <w:vertAlign w:val="superscript"/>
          <w:lang w:val="en-US" w:eastAsia="zh-CN"/>
        </w:rPr>
        <w:t>-</w:t>
      </w:r>
      <w:r>
        <w:rPr>
          <w:rFonts w:hint="default" w:ascii="Times New Roman" w:hAnsi="Times New Roman" w:eastAsia="宋体" w:cs="Times New Roman"/>
          <w:color w:val="000000" w:themeColor="text1"/>
          <w:sz w:val="24"/>
          <w:szCs w:val="24"/>
        </w:rPr>
        <w:t>、HCO</w:t>
      </w:r>
      <w:r>
        <w:rPr>
          <w:rFonts w:hint="eastAsia" w:ascii="Times New Roman" w:hAnsi="Times New Roman" w:eastAsia="宋体" w:cs="Times New Roman"/>
          <w:color w:val="000000" w:themeColor="text1"/>
          <w:sz w:val="24"/>
          <w:szCs w:val="24"/>
          <w:vertAlign w:val="subscript"/>
          <w:lang w:val="en-US" w:eastAsia="zh-CN"/>
        </w:rPr>
        <w:t>3</w:t>
      </w:r>
      <w:r>
        <w:rPr>
          <w:rFonts w:hint="default" w:ascii="Times New Roman" w:hAnsi="Times New Roman" w:eastAsia="宋体" w:cs="Times New Roman"/>
          <w:color w:val="000000" w:themeColor="text1"/>
          <w:sz w:val="24"/>
          <w:szCs w:val="24"/>
          <w:vertAlign w:val="superscript"/>
        </w:rPr>
        <w:t>-</w:t>
      </w:r>
      <w:r>
        <w:rPr>
          <w:rFonts w:hint="default" w:ascii="Times New Roman" w:hAnsi="Times New Roman" w:eastAsia="宋体" w:cs="Times New Roman"/>
          <w:color w:val="000000" w:themeColor="text1"/>
          <w:sz w:val="24"/>
          <w:szCs w:val="24"/>
        </w:rPr>
        <w:t>、SO</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、Cl</w:t>
      </w:r>
      <w:r>
        <w:rPr>
          <w:rFonts w:hint="default" w:ascii="Times New Roman" w:hAnsi="Times New Roman" w:eastAsia="宋体" w:cs="Times New Roman"/>
          <w:color w:val="000000" w:themeColor="text1"/>
          <w:sz w:val="24"/>
          <w:szCs w:val="24"/>
          <w:vertAlign w:val="superscript"/>
        </w:rPr>
        <w:t>-</w:t>
      </w:r>
      <w:r>
        <w:rPr>
          <w:rFonts w:hint="default" w:ascii="Times New Roman" w:hAnsi="Times New Roman" w:eastAsia="宋体" w:cs="Times New Roman"/>
          <w:color w:val="000000" w:themeColor="text1"/>
          <w:sz w:val="24"/>
          <w:szCs w:val="24"/>
        </w:rPr>
        <w:t xml:space="preserve"> 。确定环境影响评价子：</w:t>
      </w:r>
      <w:r>
        <w:rPr>
          <w:rFonts w:hint="eastAsia" w:ascii="Times New Roman" w:hAnsi="Times New Roman" w:eastAsia="宋体" w:cs="Times New Roman"/>
          <w:color w:val="000000" w:themeColor="text1"/>
          <w:sz w:val="24"/>
          <w:szCs w:val="24"/>
          <w:lang w:val="en-US" w:eastAsia="zh-CN"/>
        </w:rPr>
        <w:t>钡</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（4）噪声评价因子筛选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噪声环境现状评价因子和影响评价因子均选择等效连续A声级。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（5）固体废物评价因子筛选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本项目产生的固体废物主要为</w:t>
      </w:r>
      <w:r>
        <w:rPr>
          <w:rFonts w:hint="eastAsia" w:ascii="Times New Roman" w:hAnsi="Times New Roman" w:eastAsia="宋体" w:cs="Times New Roman"/>
          <w:color w:val="000000" w:themeColor="text1"/>
          <w:sz w:val="24"/>
          <w:szCs w:val="24"/>
          <w:lang w:val="en-US" w:eastAsia="zh-CN"/>
        </w:rPr>
        <w:t>废石、危险废物</w:t>
      </w:r>
      <w:r>
        <w:rPr>
          <w:rFonts w:hint="default" w:ascii="Times New Roman" w:hAnsi="Times New Roman" w:eastAsia="宋体" w:cs="Times New Roman"/>
          <w:color w:val="000000" w:themeColor="text1"/>
          <w:sz w:val="24"/>
          <w:szCs w:val="24"/>
        </w:rPr>
        <w:t>和生活垃圾，重点评价</w:t>
      </w:r>
      <w:r>
        <w:rPr>
          <w:rFonts w:hint="eastAsia" w:ascii="Times New Roman" w:hAnsi="Times New Roman" w:eastAsia="宋体" w:cs="Times New Roman"/>
          <w:color w:val="000000" w:themeColor="text1"/>
          <w:sz w:val="24"/>
          <w:szCs w:val="24"/>
          <w:lang w:val="en-US" w:eastAsia="zh-CN"/>
        </w:rPr>
        <w:t>危险废物临时储存</w:t>
      </w:r>
      <w:r>
        <w:rPr>
          <w:rFonts w:hint="default" w:ascii="Times New Roman" w:hAnsi="Times New Roman" w:eastAsia="宋体" w:cs="Times New Roman"/>
          <w:color w:val="000000" w:themeColor="text1"/>
          <w:sz w:val="24"/>
          <w:szCs w:val="24"/>
        </w:rPr>
        <w:t>对土壤、</w:t>
      </w:r>
      <w:r>
        <w:rPr>
          <w:rFonts w:hint="eastAsia" w:ascii="Times New Roman" w:hAnsi="Times New Roman" w:eastAsia="宋体" w:cs="Times New Roman"/>
          <w:color w:val="000000" w:themeColor="text1"/>
          <w:sz w:val="24"/>
          <w:szCs w:val="24"/>
          <w:lang w:val="en-US" w:eastAsia="zh-CN"/>
        </w:rPr>
        <w:t>地下水</w:t>
      </w:r>
      <w:r>
        <w:rPr>
          <w:rFonts w:hint="default" w:ascii="Times New Roman" w:hAnsi="Times New Roman" w:eastAsia="宋体" w:cs="Times New Roman"/>
          <w:color w:val="000000" w:themeColor="text1"/>
          <w:sz w:val="24"/>
          <w:szCs w:val="24"/>
        </w:rPr>
        <w:t>的影响。</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土壤环境评价因子筛选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本项目土壤环境影响主要为</w:t>
      </w:r>
      <w:r>
        <w:rPr>
          <w:rFonts w:hint="eastAsia" w:ascii="Times New Roman" w:hAnsi="Times New Roman" w:eastAsia="宋体" w:cs="Times New Roman"/>
          <w:color w:val="000000" w:themeColor="text1"/>
          <w:sz w:val="24"/>
          <w:szCs w:val="24"/>
          <w:lang w:eastAsia="zh-CN"/>
        </w:rPr>
        <w:t>矿石装卸扬尘、运输扬尘、</w:t>
      </w:r>
      <w:r>
        <w:rPr>
          <w:rFonts w:hint="eastAsia" w:ascii="Times New Roman" w:hAnsi="Times New Roman" w:eastAsia="宋体" w:cs="Times New Roman"/>
          <w:color w:val="000000" w:themeColor="text1"/>
          <w:sz w:val="24"/>
          <w:szCs w:val="24"/>
          <w:lang w:val="en-US" w:eastAsia="zh-CN"/>
        </w:rPr>
        <w:t>现有工程</w:t>
      </w:r>
      <w:r>
        <w:rPr>
          <w:rFonts w:hint="default" w:ascii="Times New Roman" w:hAnsi="Times New Roman" w:eastAsia="宋体" w:cs="Times New Roman"/>
          <w:color w:val="000000" w:themeColor="text1"/>
          <w:sz w:val="24"/>
          <w:szCs w:val="24"/>
        </w:rPr>
        <w:t>废石场淋溶液对土壤的影响、</w:t>
      </w:r>
      <w:r>
        <w:rPr>
          <w:rFonts w:hint="eastAsia" w:ascii="Times New Roman" w:hAnsi="Times New Roman" w:eastAsia="宋体" w:cs="Times New Roman"/>
          <w:color w:val="000000" w:themeColor="text1"/>
          <w:sz w:val="24"/>
          <w:szCs w:val="24"/>
          <w:lang w:val="en-US" w:eastAsia="zh-CN"/>
        </w:rPr>
        <w:t>沉淀池泄露</w:t>
      </w:r>
      <w:r>
        <w:rPr>
          <w:rFonts w:hint="eastAsia" w:ascii="Times New Roman" w:hAnsi="Times New Roman" w:eastAsia="宋体" w:cs="Times New Roman"/>
          <w:color w:val="000000" w:themeColor="text1"/>
          <w:sz w:val="24"/>
          <w:szCs w:val="24"/>
          <w:lang w:eastAsia="zh-CN"/>
        </w:rPr>
        <w:t>等对</w:t>
      </w:r>
      <w:r>
        <w:rPr>
          <w:rFonts w:hint="default" w:ascii="Times New Roman" w:hAnsi="Times New Roman" w:eastAsia="宋体" w:cs="Times New Roman"/>
          <w:color w:val="000000" w:themeColor="text1"/>
          <w:sz w:val="24"/>
          <w:szCs w:val="24"/>
        </w:rPr>
        <w:t>土壤的影响。根据本项目染物排放特征，确定土壤现状评价因子主要为45项基本因子，包括砷、镉、铬（六价）、铜、铅、汞、镍等重金属和无机物；四氯化碳、氯仿、氯甲烷、1,1-二氯乙烷、1,2-二氯乙烷等挥发性有机物；硝基苯、苯胺、2-氯酚、苯并[a]蒽等半挥发性有机物；以及本项目的特征因子钡</w:t>
      </w:r>
      <w:r>
        <w:rPr>
          <w:rFonts w:hint="eastAsia" w:ascii="Times New Roman" w:hAnsi="Times New Roman" w:eastAsia="宋体" w:cs="Times New Roman"/>
          <w:color w:val="000000" w:themeColor="text1"/>
          <w:sz w:val="24"/>
          <w:szCs w:val="24"/>
          <w:lang w:eastAsia="zh-CN"/>
        </w:rPr>
        <w:t>、石油烃和</w:t>
      </w:r>
      <w:r>
        <w:rPr>
          <w:rFonts w:hint="eastAsia" w:ascii="Times New Roman" w:hAnsi="Times New Roman" w:eastAsia="宋体" w:cs="Times New Roman"/>
          <w:color w:val="000000" w:themeColor="text1"/>
          <w:sz w:val="24"/>
          <w:szCs w:val="24"/>
          <w:lang w:val="en-US" w:eastAsia="zh-CN"/>
        </w:rPr>
        <w:t>pH</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（7）生态环境评价因子筛选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本项目生态影响主要表现为植被破坏、土壤侵蚀、水土流失</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景观影响</w:t>
      </w:r>
      <w:r>
        <w:rPr>
          <w:rFonts w:hint="default" w:ascii="Times New Roman" w:hAnsi="Times New Roman" w:eastAsia="宋体" w:cs="Times New Roman"/>
          <w:color w:val="000000" w:themeColor="text1"/>
          <w:sz w:val="24"/>
          <w:szCs w:val="24"/>
        </w:rPr>
        <w:t>等。因此，生态现状评价和影响分析选择植被、</w:t>
      </w:r>
      <w:r>
        <w:rPr>
          <w:rFonts w:hint="eastAsia" w:ascii="Times New Roman" w:hAnsi="Times New Roman" w:eastAsia="宋体" w:cs="Times New Roman"/>
          <w:color w:val="000000" w:themeColor="text1"/>
          <w:sz w:val="24"/>
          <w:szCs w:val="24"/>
          <w:lang w:val="en-US" w:eastAsia="zh-CN"/>
        </w:rPr>
        <w:t>动物</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土地占用、</w:t>
      </w:r>
      <w:r>
        <w:rPr>
          <w:rFonts w:hint="default" w:ascii="Times New Roman" w:hAnsi="Times New Roman" w:eastAsia="宋体" w:cs="Times New Roman"/>
          <w:color w:val="000000" w:themeColor="text1"/>
          <w:sz w:val="24"/>
          <w:szCs w:val="24"/>
        </w:rPr>
        <w:t>水土流失等因子进行评价。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根据以上分析，各环境要素筛选结果详见表2.</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2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表2.</w:t>
      </w:r>
      <w:r>
        <w:rPr>
          <w:rFonts w:hint="eastAsia" w:ascii="Times New Roman" w:hAnsi="Times New Roman" w:eastAsia="宋体" w:cs="Times New Roman"/>
          <w:b/>
          <w:bCs/>
          <w:color w:val="FF0000"/>
          <w:sz w:val="21"/>
          <w:szCs w:val="21"/>
          <w:lang w:val="en-US" w:eastAsia="zh-CN"/>
        </w:rPr>
        <w:t>2</w:t>
      </w:r>
      <w:r>
        <w:rPr>
          <w:rFonts w:hint="default" w:ascii="Times New Roman" w:hAnsi="Times New Roman" w:eastAsia="宋体" w:cs="Times New Roman"/>
          <w:b/>
          <w:bCs/>
          <w:color w:val="FF0000"/>
          <w:sz w:val="21"/>
          <w:szCs w:val="21"/>
        </w:rPr>
        <w:t>-</w:t>
      </w:r>
      <w:r>
        <w:rPr>
          <w:rFonts w:hint="eastAsia" w:ascii="Times New Roman" w:hAnsi="Times New Roman" w:eastAsia="宋体" w:cs="Times New Roman"/>
          <w:b/>
          <w:bCs/>
          <w:color w:val="FF0000"/>
          <w:sz w:val="21"/>
          <w:szCs w:val="21"/>
          <w:lang w:val="en-US" w:eastAsia="zh-CN"/>
        </w:rPr>
        <w:t>3</w:t>
      </w:r>
      <w:r>
        <w:rPr>
          <w:rFonts w:hint="default" w:ascii="Times New Roman" w:hAnsi="Times New Roman" w:eastAsia="宋体" w:cs="Times New Roman"/>
          <w:b/>
          <w:bCs/>
          <w:color w:val="FF0000"/>
          <w:sz w:val="21"/>
          <w:szCs w:val="21"/>
        </w:rPr>
        <w:t xml:space="preserve">  项目评价因子一览表</w:t>
      </w:r>
    </w:p>
    <w:tbl>
      <w:tblPr>
        <w:tblStyle w:val="39"/>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8"/>
        <w:gridCol w:w="1668"/>
        <w:gridCol w:w="5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blHeader/>
          <w:jc w:val="center"/>
        </w:trPr>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评价时期</w:t>
            </w: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评价要素</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评价类型</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施工期</w:t>
            </w: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环境空气</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颗粒物、燃油尾气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水环境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废水综合利用分析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声环境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等效连续A声级L</w:t>
            </w:r>
            <w:r>
              <w:rPr>
                <w:rFonts w:hint="default" w:ascii="Times New Roman" w:hAnsi="Times New Roman" w:eastAsia="宋体" w:cs="Times New Roman"/>
                <w:color w:val="000000" w:themeColor="text1"/>
                <w:szCs w:val="21"/>
                <w:vertAlign w:val="subscript"/>
              </w:rPr>
              <w:t>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固体废物</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废石、生活垃圾和建筑垃圾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土壤环境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rPr>
              <w:t>土壤</w:t>
            </w:r>
            <w:r>
              <w:rPr>
                <w:rFonts w:hint="eastAsia" w:ascii="Times New Roman" w:hAnsi="Times New Roman" w:eastAsia="宋体" w:cs="Times New Roman"/>
                <w:color w:val="000000" w:themeColor="text1"/>
                <w:szCs w:val="21"/>
                <w:lang w:val="en-US" w:eastAsia="zh-CN"/>
              </w:rPr>
              <w:t>肥力、土体构型等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生态环境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占地、植被、野生动物、水土流失等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运营期</w:t>
            </w:r>
          </w:p>
        </w:tc>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环境空气</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现状评价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SO</w:t>
            </w:r>
            <w:r>
              <w:rPr>
                <w:rFonts w:hint="default" w:ascii="Times New Roman" w:hAnsi="Times New Roman" w:eastAsia="宋体" w:cs="Times New Roman"/>
                <w:color w:val="000000" w:themeColor="text1"/>
                <w:szCs w:val="21"/>
                <w:vertAlign w:val="subscript"/>
              </w:rPr>
              <w:t>2</w:t>
            </w:r>
            <w:r>
              <w:rPr>
                <w:rFonts w:hint="default" w:ascii="Times New Roman" w:hAnsi="Times New Roman" w:eastAsia="宋体" w:cs="Times New Roman"/>
                <w:color w:val="000000" w:themeColor="text1"/>
                <w:szCs w:val="21"/>
              </w:rPr>
              <w:t>、NO</w:t>
            </w:r>
            <w:r>
              <w:rPr>
                <w:rFonts w:hint="default" w:ascii="Times New Roman" w:hAnsi="Times New Roman" w:eastAsia="宋体" w:cs="Times New Roman"/>
                <w:color w:val="000000" w:themeColor="text1"/>
                <w:szCs w:val="21"/>
                <w:vertAlign w:val="subscript"/>
              </w:rPr>
              <w:t>2</w:t>
            </w:r>
            <w:r>
              <w:rPr>
                <w:rFonts w:hint="default" w:ascii="Times New Roman" w:hAnsi="Times New Roman" w:eastAsia="宋体" w:cs="Times New Roman"/>
                <w:color w:val="000000" w:themeColor="text1"/>
                <w:szCs w:val="21"/>
              </w:rPr>
              <w:t>、PM</w:t>
            </w:r>
            <w:r>
              <w:rPr>
                <w:rFonts w:hint="default" w:ascii="Times New Roman" w:hAnsi="Times New Roman" w:eastAsia="宋体" w:cs="Times New Roman"/>
                <w:color w:val="000000" w:themeColor="text1"/>
                <w:szCs w:val="21"/>
                <w:vertAlign w:val="subscript"/>
              </w:rPr>
              <w:t>10</w:t>
            </w:r>
            <w:r>
              <w:rPr>
                <w:rFonts w:hint="default" w:ascii="Times New Roman" w:hAnsi="Times New Roman" w:eastAsia="宋体" w:cs="Times New Roman"/>
                <w:color w:val="000000" w:themeColor="text1"/>
                <w:szCs w:val="21"/>
              </w:rPr>
              <w:t>、PM</w:t>
            </w:r>
            <w:r>
              <w:rPr>
                <w:rFonts w:hint="default" w:ascii="Times New Roman" w:hAnsi="Times New Roman" w:eastAsia="宋体" w:cs="Times New Roman"/>
                <w:color w:val="000000" w:themeColor="text1"/>
                <w:szCs w:val="21"/>
                <w:vertAlign w:val="subscript"/>
              </w:rPr>
              <w:t>2.5</w:t>
            </w:r>
            <w:r>
              <w:rPr>
                <w:rFonts w:hint="default" w:ascii="Times New Roman" w:hAnsi="Times New Roman" w:eastAsia="宋体" w:cs="Times New Roman"/>
                <w:color w:val="000000" w:themeColor="text1"/>
                <w:szCs w:val="21"/>
              </w:rPr>
              <w:t>、CO、O</w:t>
            </w:r>
            <w:r>
              <w:rPr>
                <w:rFonts w:hint="default" w:ascii="Times New Roman" w:hAnsi="Times New Roman" w:eastAsia="宋体" w:cs="Times New Roman"/>
                <w:color w:val="000000" w:themeColor="text1"/>
                <w:szCs w:val="21"/>
                <w:vertAlign w:val="subscript"/>
              </w:rPr>
              <w:t>3</w:t>
            </w:r>
            <w:r>
              <w:rPr>
                <w:rFonts w:hint="default" w:ascii="Times New Roman" w:hAnsi="Times New Roman" w:eastAsia="宋体" w:cs="Times New Roman"/>
                <w:color w:val="000000" w:themeColor="text1"/>
                <w:szCs w:val="21"/>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预测评价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地表水环境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现状评价</w:t>
            </w:r>
          </w:p>
        </w:tc>
        <w:tc>
          <w:tcPr>
            <w:tcW w:w="5902" w:type="dxa"/>
            <w:tcBorders>
              <w:tl2br w:val="nil"/>
              <w:tr2bl w:val="nil"/>
            </w:tcBorders>
            <w:vAlign w:val="center"/>
          </w:tcPr>
          <w:p>
            <w:pPr>
              <w:pStyle w:val="42"/>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分析</w:t>
            </w:r>
            <w:r>
              <w:rPr>
                <w:rFonts w:hint="default" w:ascii="Times New Roman" w:hAnsi="Times New Roman" w:eastAsia="宋体" w:cs="Times New Roman"/>
                <w:color w:val="000000" w:themeColor="text1"/>
                <w:szCs w:val="21"/>
              </w:rPr>
              <w:t>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废水综合利用分析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地下水环境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现状评价</w:t>
            </w:r>
          </w:p>
        </w:tc>
        <w:tc>
          <w:tcPr>
            <w:tcW w:w="5902" w:type="dxa"/>
            <w:tcBorders>
              <w:tl2br w:val="nil"/>
              <w:tr2bl w:val="nil"/>
            </w:tcBorders>
            <w:vAlign w:val="center"/>
          </w:tcPr>
          <w:p>
            <w:pPr>
              <w:pStyle w:val="42"/>
              <w:rPr>
                <w:rFonts w:hint="eastAsia" w:ascii="Times New Roman" w:hAnsi="Times New Roman" w:cs="Times New Roman" w:eastAsiaTheme="minorEastAsia"/>
                <w:color w:val="000000" w:themeColor="text1"/>
                <w:szCs w:val="21"/>
                <w:lang w:eastAsia="zh-CN"/>
              </w:rPr>
            </w:pPr>
            <w:r>
              <w:rPr>
                <w:rFonts w:hint="default" w:ascii="Times New Roman" w:hAnsi="Times New Roman" w:cs="Times New Roman"/>
                <w:color w:val="000000" w:themeColor="text1"/>
                <w:sz w:val="21"/>
                <w:szCs w:val="21"/>
                <w:highlight w:val="none"/>
                <w:vertAlign w:val="baseline"/>
                <w:lang w:val="en-US" w:eastAsia="zh-CN"/>
              </w:rPr>
              <w:t>pH值</w:t>
            </w:r>
            <w:r>
              <w:rPr>
                <w:rFonts w:hint="eastAsia" w:ascii="Times New Roman" w:hAnsi="Times New Roman" w:cs="Times New Roman"/>
                <w:color w:val="000000" w:themeColor="text1"/>
                <w:sz w:val="21"/>
                <w:szCs w:val="21"/>
                <w:highlight w:val="none"/>
                <w:vertAlign w:val="baseline"/>
                <w:lang w:val="en-US" w:eastAsia="zh-CN"/>
              </w:rPr>
              <w:t>、钾（K</w:t>
            </w:r>
            <w:r>
              <w:rPr>
                <w:rFonts w:hint="eastAsia" w:ascii="Times New Roman" w:hAnsi="Times New Roman" w:cs="Times New Roman"/>
                <w:color w:val="000000" w:themeColor="text1"/>
                <w:sz w:val="21"/>
                <w:szCs w:val="21"/>
                <w:highlight w:val="none"/>
                <w:vertAlign w:val="superscript"/>
                <w:lang w:val="en-US" w:eastAsia="zh-CN"/>
              </w:rPr>
              <w:t>+</w:t>
            </w:r>
            <w:r>
              <w:rPr>
                <w:rFonts w:hint="eastAsia" w:ascii="Times New Roman" w:hAnsi="Times New Roman" w:cs="Times New Roman"/>
                <w:color w:val="000000" w:themeColor="text1"/>
                <w:sz w:val="21"/>
                <w:szCs w:val="21"/>
                <w:highlight w:val="none"/>
                <w:vertAlign w:val="baseline"/>
                <w:lang w:val="en-US" w:eastAsia="zh-CN"/>
              </w:rPr>
              <w:t>）、</w:t>
            </w:r>
            <w:r>
              <w:rPr>
                <w:rFonts w:hint="eastAsia" w:ascii="Times New Roman" w:hAnsi="Times New Roman" w:cs="Times New Roman"/>
                <w:color w:val="000000" w:themeColor="text1"/>
                <w:sz w:val="21"/>
                <w:szCs w:val="21"/>
                <w:highlight w:val="none"/>
                <w:lang w:val="en-US" w:eastAsia="zh-CN"/>
              </w:rPr>
              <w:t>钠（</w:t>
            </w:r>
            <w:r>
              <w:rPr>
                <w:rFonts w:hint="default" w:ascii="Times New Roman" w:hAnsi="Times New Roman" w:cs="Times New Roman"/>
                <w:color w:val="000000" w:themeColor="text1"/>
                <w:sz w:val="21"/>
                <w:szCs w:val="21"/>
                <w:highlight w:val="none"/>
              </w:rPr>
              <w:t>Na</w:t>
            </w:r>
            <w:r>
              <w:rPr>
                <w:rFonts w:hint="default" w:ascii="Times New Roman" w:hAnsi="Times New Roman" w:cs="Times New Roman"/>
                <w:color w:val="000000" w:themeColor="text1"/>
                <w:sz w:val="21"/>
                <w:szCs w:val="21"/>
                <w:highlight w:val="none"/>
                <w:vertAlign w:val="superscript"/>
              </w:rPr>
              <w:t>+</w:t>
            </w:r>
            <w:r>
              <w:rPr>
                <w:rFonts w:hint="eastAsia" w:ascii="Times New Roman" w:hAnsi="Times New Roman" w:cs="Times New Roman"/>
                <w:color w:val="000000" w:themeColor="text1"/>
                <w:sz w:val="21"/>
                <w:szCs w:val="21"/>
                <w:highlight w:val="none"/>
                <w:lang w:val="en-US" w:eastAsia="zh-CN"/>
              </w:rPr>
              <w:t>）、钙（</w:t>
            </w:r>
            <w:r>
              <w:rPr>
                <w:rFonts w:hint="default" w:ascii="Times New Roman" w:hAnsi="Times New Roman" w:cs="Times New Roman"/>
                <w:color w:val="000000" w:themeColor="text1"/>
                <w:sz w:val="21"/>
                <w:szCs w:val="21"/>
                <w:highlight w:val="none"/>
              </w:rPr>
              <w:t>Ca</w:t>
            </w:r>
            <w:r>
              <w:rPr>
                <w:rFonts w:hint="default" w:ascii="Times New Roman" w:hAnsi="Times New Roman" w:cs="Times New Roman"/>
                <w:color w:val="000000" w:themeColor="text1"/>
                <w:sz w:val="21"/>
                <w:szCs w:val="21"/>
                <w:highlight w:val="none"/>
                <w:vertAlign w:val="superscript"/>
              </w:rPr>
              <w:t>2+</w:t>
            </w:r>
            <w:r>
              <w:rPr>
                <w:rFonts w:hint="eastAsia" w:ascii="Times New Roman" w:hAnsi="Times New Roman" w:cs="Times New Roman"/>
                <w:color w:val="000000" w:themeColor="text1"/>
                <w:sz w:val="21"/>
                <w:szCs w:val="21"/>
                <w:highlight w:val="none"/>
                <w:lang w:val="en-US" w:eastAsia="zh-CN"/>
              </w:rPr>
              <w:t>）、镁（</w:t>
            </w:r>
            <w:r>
              <w:rPr>
                <w:rFonts w:hint="default" w:ascii="Times New Roman" w:hAnsi="Times New Roman" w:cs="Times New Roman"/>
                <w:color w:val="000000" w:themeColor="text1"/>
                <w:sz w:val="21"/>
                <w:szCs w:val="21"/>
                <w:highlight w:val="none"/>
              </w:rPr>
              <w:t>Mg</w:t>
            </w:r>
            <w:r>
              <w:rPr>
                <w:rFonts w:hint="default" w:ascii="Times New Roman" w:hAnsi="Times New Roman" w:cs="Times New Roman"/>
                <w:color w:val="000000" w:themeColor="text1"/>
                <w:sz w:val="21"/>
                <w:szCs w:val="21"/>
                <w:highlight w:val="none"/>
                <w:vertAlign w:val="superscript"/>
              </w:rPr>
              <w:t>2+</w:t>
            </w:r>
            <w:r>
              <w:rPr>
                <w:rFonts w:hint="eastAsia" w:ascii="Times New Roman" w:hAnsi="Times New Roman" w:cs="Times New Roman"/>
                <w:color w:val="000000" w:themeColor="text1"/>
                <w:sz w:val="21"/>
                <w:szCs w:val="21"/>
                <w:highlight w:val="none"/>
                <w:lang w:val="en-US" w:eastAsia="zh-CN"/>
              </w:rPr>
              <w:t>）、</w:t>
            </w:r>
            <w:r>
              <w:rPr>
                <w:rFonts w:hint="default" w:ascii="Times New Roman" w:hAnsi="Times New Roman" w:cs="Times New Roman"/>
                <w:color w:val="000000" w:themeColor="text1"/>
                <w:sz w:val="21"/>
                <w:szCs w:val="21"/>
                <w:highlight w:val="none"/>
                <w:lang w:eastAsia="zh-CN"/>
              </w:rPr>
              <w:t>砷</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汞</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铅</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镉</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铁</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锰</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vertAlign w:val="baseline"/>
                <w:lang w:val="en-US" w:eastAsia="zh-CN"/>
              </w:rPr>
              <w:t>碳酸根</w:t>
            </w:r>
            <w:r>
              <w:rPr>
                <w:rFonts w:hint="eastAsia" w:ascii="Times New Roman" w:hAnsi="Times New Roman" w:cs="Times New Roman"/>
                <w:color w:val="000000" w:themeColor="text1"/>
                <w:sz w:val="21"/>
                <w:szCs w:val="21"/>
                <w:highlight w:val="none"/>
                <w:vertAlign w:val="baseline"/>
                <w:lang w:val="en-US" w:eastAsia="zh-CN"/>
              </w:rPr>
              <w:t>、</w:t>
            </w:r>
            <w:r>
              <w:rPr>
                <w:rFonts w:hint="default" w:ascii="Times New Roman" w:hAnsi="Times New Roman" w:cs="Times New Roman"/>
                <w:color w:val="000000" w:themeColor="text1"/>
                <w:sz w:val="21"/>
                <w:szCs w:val="21"/>
                <w:highlight w:val="none"/>
                <w:vertAlign w:val="baseline"/>
                <w:lang w:val="en-US" w:eastAsia="zh-CN"/>
              </w:rPr>
              <w:t>重碳酸根</w:t>
            </w:r>
            <w:r>
              <w:rPr>
                <w:rFonts w:hint="eastAsia" w:ascii="Times New Roman" w:hAnsi="Times New Roman" w:cs="Times New Roman"/>
                <w:color w:val="000000" w:themeColor="text1"/>
                <w:sz w:val="21"/>
                <w:szCs w:val="21"/>
                <w:highlight w:val="none"/>
                <w:vertAlign w:val="baseline"/>
                <w:lang w:val="en-US" w:eastAsia="zh-CN"/>
              </w:rPr>
              <w:t>、</w:t>
            </w:r>
            <w:r>
              <w:rPr>
                <w:rFonts w:hint="default" w:ascii="Times New Roman" w:hAnsi="Times New Roman" w:cs="Times New Roman"/>
                <w:color w:val="000000" w:themeColor="text1"/>
                <w:sz w:val="21"/>
                <w:szCs w:val="21"/>
                <w:highlight w:val="none"/>
                <w:vertAlign w:val="baseline"/>
                <w:lang w:val="en-US" w:eastAsia="zh-CN"/>
              </w:rPr>
              <w:t>总硬度</w:t>
            </w:r>
            <w:r>
              <w:rPr>
                <w:rFonts w:hint="eastAsia" w:ascii="Times New Roman" w:hAnsi="Times New Roman" w:cs="Times New Roman"/>
                <w:color w:val="000000" w:themeColor="text1"/>
                <w:sz w:val="21"/>
                <w:szCs w:val="21"/>
                <w:highlight w:val="none"/>
                <w:vertAlign w:val="baseline"/>
                <w:lang w:val="en-US" w:eastAsia="zh-CN"/>
              </w:rPr>
              <w:t>、</w:t>
            </w:r>
            <w:r>
              <w:rPr>
                <w:rFonts w:hint="default" w:ascii="Times New Roman" w:hAnsi="Times New Roman" w:cs="Times New Roman"/>
                <w:color w:val="000000" w:themeColor="text1"/>
                <w:sz w:val="21"/>
                <w:szCs w:val="21"/>
                <w:highlight w:val="none"/>
                <w:vertAlign w:val="baseline"/>
                <w:lang w:val="en-US" w:eastAsia="zh-CN"/>
              </w:rPr>
              <w:t>氨氮</w:t>
            </w:r>
            <w:r>
              <w:rPr>
                <w:rFonts w:hint="eastAsia" w:ascii="Times New Roman" w:hAnsi="Times New Roman" w:cs="Times New Roman"/>
                <w:color w:val="000000" w:themeColor="text1"/>
                <w:sz w:val="21"/>
                <w:szCs w:val="21"/>
                <w:highlight w:val="none"/>
                <w:vertAlign w:val="baseline"/>
                <w:lang w:val="en-US" w:eastAsia="zh-CN"/>
              </w:rPr>
              <w:t>、</w:t>
            </w:r>
            <w:r>
              <w:rPr>
                <w:rFonts w:hint="default" w:ascii="Times New Roman" w:hAnsi="Times New Roman" w:cs="Times New Roman"/>
                <w:color w:val="000000" w:themeColor="text1"/>
                <w:sz w:val="21"/>
                <w:szCs w:val="21"/>
                <w:highlight w:val="none"/>
              </w:rPr>
              <w:t>氰化物</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挥发酚</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六价铬</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亚硝酸盐</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溶解性总固体</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氟</w:t>
            </w:r>
            <w:r>
              <w:rPr>
                <w:rFonts w:hint="default" w:ascii="Times New Roman" w:hAnsi="Times New Roman" w:cs="Times New Roman"/>
                <w:color w:val="000000" w:themeColor="text1"/>
                <w:sz w:val="21"/>
                <w:szCs w:val="21"/>
                <w:highlight w:val="none"/>
                <w:lang w:val="en-US" w:eastAsia="zh-CN"/>
              </w:rPr>
              <w:t>化物（F</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val="en-US" w:eastAsia="zh-CN"/>
              </w:rPr>
              <w:t>）</w:t>
            </w:r>
            <w:r>
              <w:rPr>
                <w:rFonts w:hint="eastAsia" w:ascii="Times New Roman" w:hAnsi="Times New Roman" w:cs="Times New Roman"/>
                <w:color w:val="000000" w:themeColor="text1"/>
                <w:sz w:val="21"/>
                <w:szCs w:val="21"/>
                <w:highlight w:val="none"/>
                <w:lang w:val="en-US" w:eastAsia="zh-CN"/>
              </w:rPr>
              <w:t>、</w:t>
            </w:r>
            <w:r>
              <w:rPr>
                <w:rFonts w:hint="default" w:ascii="Times New Roman" w:hAnsi="Times New Roman" w:cs="Times New Roman"/>
                <w:color w:val="000000" w:themeColor="text1"/>
                <w:sz w:val="21"/>
                <w:szCs w:val="21"/>
                <w:highlight w:val="none"/>
              </w:rPr>
              <w:t>硝酸盐</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硫酸盐（</w:t>
            </w:r>
            <w:r>
              <w:rPr>
                <w:rFonts w:hint="default" w:ascii="Times New Roman" w:hAnsi="Times New Roman" w:cs="Times New Roman"/>
                <w:color w:val="000000" w:themeColor="text1"/>
                <w:sz w:val="21"/>
                <w:szCs w:val="21"/>
                <w:highlight w:val="none"/>
                <w:lang w:val="en-US" w:eastAsia="zh-CN"/>
              </w:rPr>
              <w:t>SO</w:t>
            </w:r>
            <w:r>
              <w:rPr>
                <w:rFonts w:hint="default" w:ascii="Times New Roman" w:hAnsi="Times New Roman" w:cs="Times New Roman"/>
                <w:color w:val="000000" w:themeColor="text1"/>
                <w:sz w:val="21"/>
                <w:szCs w:val="21"/>
                <w:highlight w:val="none"/>
                <w:vertAlign w:val="subscript"/>
                <w:lang w:val="en-US" w:eastAsia="zh-CN"/>
              </w:rPr>
              <w:t>4</w:t>
            </w:r>
            <w:r>
              <w:rPr>
                <w:rFonts w:hint="default" w:ascii="Times New Roman" w:hAnsi="Times New Roman" w:cs="Times New Roman"/>
                <w:color w:val="000000" w:themeColor="text1"/>
                <w:sz w:val="21"/>
                <w:szCs w:val="21"/>
                <w:highlight w:val="none"/>
                <w:vertAlign w:val="superscript"/>
                <w:lang w:val="en-US" w:eastAsia="zh-CN"/>
              </w:rPr>
              <w:t>2-</w:t>
            </w:r>
            <w:r>
              <w:rPr>
                <w:rFonts w:hint="default" w:ascii="Times New Roman" w:hAnsi="Times New Roman" w:cs="Times New Roman"/>
                <w:color w:val="000000" w:themeColor="text1"/>
                <w:sz w:val="21"/>
                <w:szCs w:val="21"/>
                <w:highlight w:val="none"/>
                <w:lang w:eastAsia="zh-CN"/>
              </w:rPr>
              <w:t>）</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lang w:eastAsia="zh-CN"/>
              </w:rPr>
              <w:t>氯化物（</w:t>
            </w:r>
            <w:r>
              <w:rPr>
                <w:rFonts w:hint="default" w:ascii="Times New Roman" w:hAnsi="Times New Roman" w:cs="Times New Roman"/>
                <w:color w:val="000000" w:themeColor="text1"/>
                <w:sz w:val="21"/>
                <w:szCs w:val="21"/>
                <w:highlight w:val="none"/>
                <w:lang w:val="en-US" w:eastAsia="zh-CN"/>
              </w:rPr>
              <w:t>Cl</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eastAsia="zh-CN"/>
              </w:rPr>
              <w:t>）</w:t>
            </w:r>
            <w:r>
              <w:rPr>
                <w:rFonts w:hint="eastAsia" w:ascii="Times New Roman" w:hAnsi="Times New Roman" w:cs="Times New Roman"/>
                <w:color w:val="000000" w:themeColor="text1"/>
                <w:sz w:val="21"/>
                <w:szCs w:val="21"/>
                <w:highlight w:val="none"/>
                <w:lang w:eastAsia="zh-CN"/>
              </w:rPr>
              <w:t>、</w:t>
            </w:r>
            <w:r>
              <w:rPr>
                <w:rFonts w:hint="eastAsia" w:ascii="Times New Roman" w:hAnsi="Times New Roman" w:cs="Times New Roman"/>
                <w:color w:val="000000" w:themeColor="text1"/>
                <w:kern w:val="2"/>
                <w:sz w:val="21"/>
                <w:szCs w:val="21"/>
                <w:highlight w:val="none"/>
                <w:lang w:val="en-US" w:eastAsia="zh-CN" w:bidi="ar-SA"/>
              </w:rPr>
              <w:t>钡、</w:t>
            </w:r>
            <w:r>
              <w:rPr>
                <w:rFonts w:hint="eastAsia" w:ascii="Times New Roman" w:hAnsi="Times New Roman" w:cs="Times New Roman"/>
                <w:color w:val="000000" w:themeColor="text1"/>
                <w:sz w:val="21"/>
                <w:szCs w:val="21"/>
                <w:lang w:val="en-US" w:eastAsia="zh-CN"/>
              </w:rPr>
              <w:t>菌落</w:t>
            </w:r>
            <w:r>
              <w:rPr>
                <w:rFonts w:hint="default" w:ascii="Times New Roman" w:hAnsi="Times New Roman" w:cs="Times New Roman"/>
                <w:color w:val="000000" w:themeColor="text1"/>
                <w:sz w:val="21"/>
                <w:szCs w:val="21"/>
              </w:rPr>
              <w:t>总数</w:t>
            </w:r>
            <w:r>
              <w:rPr>
                <w:rFonts w:hint="eastAsia"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highlight w:val="none"/>
                <w:vertAlign w:val="baseline"/>
                <w:lang w:val="en-US" w:eastAsia="zh-CN"/>
              </w:rPr>
              <w:t>总大肠菌群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1668" w:type="dxa"/>
            <w:tcBorders>
              <w:tl2br w:val="nil"/>
              <w:tr2bl w:val="nil"/>
            </w:tcBorders>
            <w:vAlign w:val="center"/>
          </w:tcPr>
          <w:p>
            <w:pPr>
              <w:pStyle w:val="42"/>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预测评价</w:t>
            </w:r>
          </w:p>
        </w:tc>
        <w:tc>
          <w:tcPr>
            <w:tcW w:w="5902" w:type="dxa"/>
            <w:tcBorders>
              <w:tl2br w:val="nil"/>
              <w:tr2bl w:val="nil"/>
            </w:tcBorders>
            <w:vAlign w:val="center"/>
          </w:tcPr>
          <w:p>
            <w:pPr>
              <w:pStyle w:val="42"/>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val="en-US" w:eastAsia="zh-CN"/>
              </w:rPr>
              <w:t>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声环境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现状评价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等效连续A声级L</w:t>
            </w:r>
            <w:r>
              <w:rPr>
                <w:rFonts w:hint="default" w:ascii="Times New Roman" w:hAnsi="Times New Roman" w:eastAsia="宋体" w:cs="Times New Roman"/>
                <w:color w:val="000000" w:themeColor="text1"/>
                <w:szCs w:val="21"/>
                <w:vertAlign w:val="subscript"/>
              </w:rPr>
              <w:t>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预测评价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等效连续A声级L</w:t>
            </w:r>
            <w:r>
              <w:rPr>
                <w:rFonts w:hint="default" w:ascii="Times New Roman" w:hAnsi="Times New Roman" w:eastAsia="宋体" w:cs="Times New Roman"/>
                <w:color w:val="000000" w:themeColor="text1"/>
                <w:szCs w:val="21"/>
                <w:vertAlign w:val="subscript"/>
              </w:rPr>
              <w:t>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固体废物</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固废影响</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废石、危险废物</w:t>
            </w:r>
            <w:r>
              <w:rPr>
                <w:rFonts w:hint="default" w:ascii="Times New Roman" w:hAnsi="Times New Roman" w:eastAsia="宋体" w:cs="Times New Roman"/>
                <w:color w:val="000000" w:themeColor="text1"/>
                <w:szCs w:val="21"/>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土壤环境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现状评价</w:t>
            </w:r>
          </w:p>
        </w:tc>
        <w:tc>
          <w:tcPr>
            <w:tcW w:w="5902" w:type="dxa"/>
            <w:tcBorders>
              <w:tl2br w:val="nil"/>
              <w:tr2bl w:val="nil"/>
            </w:tcBorders>
            <w:vAlign w:val="center"/>
          </w:tcPr>
          <w:p>
            <w:pPr>
              <w:pStyle w:val="42"/>
              <w:rPr>
                <w:rFonts w:hint="eastAsia" w:ascii="Times New Roman" w:hAnsi="Times New Roman" w:eastAsia="宋体" w:cs="Times New Roman"/>
                <w:color w:val="000000" w:themeColor="text1"/>
                <w:szCs w:val="21"/>
                <w:lang w:eastAsia="zh-CN"/>
              </w:rPr>
            </w:pPr>
            <w:r>
              <w:rPr>
                <w:rFonts w:hint="default" w:ascii="Times New Roman" w:hAnsi="Times New Roman" w:eastAsia="宋体" w:cs="Times New Roman"/>
                <w:color w:val="000000" w:themeColor="text1"/>
                <w:szCs w:val="21"/>
              </w:rPr>
              <w:t>砷、镉、铬（六价）、铜、铅、汞、镍等重金属和无机物；四氯化碳、氯仿、氯甲烷、1,1-二氯乙烷、1,2-二氯乙烷等挥发性有机物；硝基苯、苯胺、2-氯酚、苯并[a]蒽等半挥发性有机物；以及</w:t>
            </w:r>
            <w:r>
              <w:rPr>
                <w:rFonts w:hint="eastAsia" w:ascii="Times New Roman" w:hAnsi="Times New Roman" w:eastAsia="宋体" w:cs="Times New Roman"/>
                <w:color w:val="000000" w:themeColor="text1"/>
                <w:szCs w:val="21"/>
                <w:lang w:val="en-US" w:eastAsia="zh-CN"/>
              </w:rPr>
              <w:t>pH和</w:t>
            </w:r>
            <w:r>
              <w:rPr>
                <w:rFonts w:hint="default" w:ascii="Times New Roman" w:hAnsi="Times New Roman" w:eastAsia="宋体" w:cs="Times New Roman"/>
                <w:color w:val="000000" w:themeColor="text1"/>
                <w:szCs w:val="21"/>
              </w:rPr>
              <w:t>特征因子钡</w:t>
            </w:r>
            <w:r>
              <w:rPr>
                <w:rFonts w:hint="eastAsia" w:ascii="Times New Roman" w:hAnsi="Times New Roman" w:eastAsia="宋体" w:cs="Times New Roman"/>
                <w:color w:val="000000" w:themeColor="text1"/>
                <w:szCs w:val="21"/>
                <w:lang w:eastAsia="zh-CN"/>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1668" w:type="dxa"/>
            <w:tcBorders>
              <w:tl2br w:val="nil"/>
              <w:tr2bl w:val="nil"/>
            </w:tcBorders>
            <w:vAlign w:val="center"/>
          </w:tcPr>
          <w:p>
            <w:pPr>
              <w:pStyle w:val="42"/>
              <w:rPr>
                <w:rFonts w:hint="default" w:ascii="Times New Roman" w:hAnsi="Times New Roman" w:eastAsia="宋体" w:cs="Times New Roman"/>
                <w:color w:val="FF0000"/>
                <w:szCs w:val="21"/>
              </w:rPr>
            </w:pPr>
            <w:r>
              <w:rPr>
                <w:rFonts w:hint="eastAsia" w:ascii="Times New Roman" w:hAnsi="Times New Roman" w:eastAsia="宋体" w:cs="Times New Roman"/>
                <w:color w:val="FF0000"/>
                <w:szCs w:val="21"/>
                <w:lang w:val="en-US" w:eastAsia="zh-CN"/>
              </w:rPr>
              <w:t>分析</w:t>
            </w:r>
            <w:r>
              <w:rPr>
                <w:rFonts w:hint="default" w:ascii="Times New Roman" w:hAnsi="Times New Roman" w:eastAsia="宋体" w:cs="Times New Roman"/>
                <w:color w:val="FF0000"/>
                <w:szCs w:val="21"/>
              </w:rPr>
              <w:t>评价</w:t>
            </w:r>
          </w:p>
        </w:tc>
        <w:tc>
          <w:tcPr>
            <w:tcW w:w="5902" w:type="dxa"/>
            <w:tcBorders>
              <w:tl2br w:val="nil"/>
              <w:tr2bl w:val="nil"/>
            </w:tcBorders>
            <w:vAlign w:val="center"/>
          </w:tcPr>
          <w:p>
            <w:pPr>
              <w:pStyle w:val="42"/>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废水、固废等对土壤的影响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restart"/>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生态环境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现状评价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植被、水土流失、景观</w:t>
            </w:r>
            <w:r>
              <w:rPr>
                <w:rFonts w:hint="eastAsia" w:ascii="Times New Roman" w:hAnsi="Times New Roman" w:eastAsia="宋体" w:cs="Times New Roman"/>
                <w:color w:val="000000" w:themeColor="text1"/>
                <w:szCs w:val="21"/>
                <w:lang w:eastAsia="zh-CN"/>
              </w:rPr>
              <w:t>、</w:t>
            </w:r>
            <w:r>
              <w:rPr>
                <w:rFonts w:hint="eastAsia" w:ascii="Times New Roman" w:hAnsi="Times New Roman" w:eastAsia="宋体" w:cs="Times New Roman"/>
                <w:color w:val="000000" w:themeColor="text1"/>
                <w:szCs w:val="21"/>
                <w:lang w:val="en-US" w:eastAsia="zh-CN"/>
              </w:rPr>
              <w:t>地质灾害</w:t>
            </w:r>
            <w:r>
              <w:rPr>
                <w:rFonts w:hint="default" w:ascii="Times New Roman" w:hAnsi="Times New Roman" w:eastAsia="宋体" w:cs="Times New Roman"/>
                <w:color w:val="000000" w:themeColor="text1"/>
                <w:szCs w:val="21"/>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分析</w:t>
            </w:r>
            <w:r>
              <w:rPr>
                <w:rFonts w:hint="default" w:ascii="Times New Roman" w:hAnsi="Times New Roman" w:eastAsia="宋体" w:cs="Times New Roman"/>
                <w:color w:val="000000" w:themeColor="text1"/>
                <w:szCs w:val="21"/>
              </w:rPr>
              <w:t>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植被、水土流失、景观</w:t>
            </w:r>
            <w:r>
              <w:rPr>
                <w:rFonts w:hint="eastAsia" w:ascii="Times New Roman" w:hAnsi="Times New Roman" w:eastAsia="宋体" w:cs="Times New Roman"/>
                <w:color w:val="000000" w:themeColor="text1"/>
                <w:szCs w:val="21"/>
                <w:lang w:eastAsia="zh-CN"/>
              </w:rPr>
              <w:t>、</w:t>
            </w:r>
            <w:r>
              <w:rPr>
                <w:rFonts w:hint="eastAsia" w:ascii="Times New Roman" w:hAnsi="Times New Roman" w:eastAsia="宋体" w:cs="Times New Roman"/>
                <w:color w:val="000000" w:themeColor="text1"/>
                <w:szCs w:val="21"/>
                <w:lang w:val="en-US" w:eastAsia="zh-CN"/>
              </w:rPr>
              <w:t>地质灾害</w:t>
            </w:r>
            <w:r>
              <w:rPr>
                <w:rFonts w:hint="default" w:ascii="Times New Roman" w:hAnsi="Times New Roman" w:eastAsia="宋体" w:cs="Times New Roman"/>
                <w:color w:val="000000" w:themeColor="text1"/>
                <w:szCs w:val="21"/>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vMerge w:val="continue"/>
            <w:tcBorders>
              <w:tl2br w:val="nil"/>
              <w:tr2bl w:val="nil"/>
            </w:tcBorders>
            <w:vAlign w:val="center"/>
          </w:tcPr>
          <w:p>
            <w:pPr>
              <w:pStyle w:val="42"/>
              <w:rPr>
                <w:rFonts w:hint="default" w:ascii="Times New Roman" w:hAnsi="Times New Roman" w:eastAsia="宋体" w:cs="Times New Roman"/>
                <w:color w:val="000000" w:themeColor="text1"/>
                <w:szCs w:val="21"/>
              </w:rPr>
            </w:pPr>
          </w:p>
        </w:tc>
        <w:tc>
          <w:tcPr>
            <w:tcW w:w="708" w:type="dxa"/>
            <w:tcBorders>
              <w:tl2br w:val="nil"/>
              <w:tr2bl w:val="nil"/>
            </w:tcBorders>
            <w:vAlign w:val="center"/>
          </w:tcPr>
          <w:p>
            <w:pPr>
              <w:pStyle w:val="42"/>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环境风险</w:t>
            </w:r>
          </w:p>
        </w:tc>
        <w:tc>
          <w:tcPr>
            <w:tcW w:w="1668" w:type="dxa"/>
            <w:tcBorders>
              <w:tl2br w:val="nil"/>
              <w:tr2bl w:val="nil"/>
            </w:tcBorders>
            <w:vAlign w:val="center"/>
          </w:tcPr>
          <w:p>
            <w:pPr>
              <w:pStyle w:val="42"/>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风险</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废机油泄漏、钡元素富集、废水泄露、废石场溃坝、采空区塌陷等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jc w:val="center"/>
        </w:trPr>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闭矿期</w:t>
            </w:r>
          </w:p>
        </w:tc>
        <w:tc>
          <w:tcPr>
            <w:tcW w:w="70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生态环境</w:t>
            </w:r>
          </w:p>
        </w:tc>
        <w:tc>
          <w:tcPr>
            <w:tcW w:w="1668" w:type="dxa"/>
            <w:tcBorders>
              <w:tl2br w:val="nil"/>
              <w:tr2bl w:val="nil"/>
            </w:tcBorders>
            <w:vAlign w:val="center"/>
          </w:tcPr>
          <w:p>
            <w:pPr>
              <w:pStyle w:val="42"/>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分析评价</w:t>
            </w:r>
          </w:p>
        </w:tc>
        <w:tc>
          <w:tcPr>
            <w:tcW w:w="5902" w:type="dxa"/>
            <w:tcBorders>
              <w:tl2br w:val="nil"/>
              <w:tr2bl w:val="nil"/>
            </w:tcBorders>
            <w:vAlign w:val="center"/>
          </w:tcPr>
          <w:p>
            <w:pPr>
              <w:pStyle w:val="42"/>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工业场地、采空区等</w:t>
            </w:r>
          </w:p>
        </w:tc>
      </w:tr>
    </w:tbl>
    <w:p>
      <w:pPr>
        <w:pStyle w:val="4"/>
        <w:spacing w:before="120"/>
        <w:rPr>
          <w:color w:val="000000" w:themeColor="text1"/>
        </w:rPr>
      </w:pPr>
      <w:r>
        <w:rPr>
          <w:color w:val="000000" w:themeColor="text1"/>
        </w:rPr>
        <w:t xml:space="preserve">  </w:t>
      </w:r>
      <w:bookmarkStart w:id="93" w:name="_Toc24254_WPSOffice_Level2"/>
      <w:bookmarkStart w:id="94" w:name="_Toc9095"/>
      <w:bookmarkStart w:id="95" w:name="_Toc3565"/>
      <w:bookmarkStart w:id="96" w:name="_Toc21763"/>
      <w:bookmarkStart w:id="97" w:name="_Toc2610"/>
      <w:r>
        <w:rPr>
          <w:color w:val="000000" w:themeColor="text1"/>
        </w:rPr>
        <w:t>环境功能区划</w:t>
      </w:r>
      <w:bookmarkEnd w:id="93"/>
      <w:bookmarkEnd w:id="94"/>
      <w:bookmarkEnd w:id="95"/>
      <w:bookmarkEnd w:id="96"/>
      <w:bookmarkEnd w:id="97"/>
      <w:r>
        <w:rPr>
          <w:rFonts w:hint="eastAsia"/>
          <w:color w:val="000000" w:themeColor="text1"/>
        </w:rPr>
        <w:t xml:space="preserve"> </w:t>
      </w:r>
      <w:r>
        <w:rPr>
          <w:color w:val="000000" w:themeColor="text1"/>
        </w:rPr>
        <w:t xml:space="preserve">   </w:t>
      </w:r>
    </w:p>
    <w:p>
      <w:pPr>
        <w:pStyle w:val="5"/>
        <w:rPr>
          <w:color w:val="000000" w:themeColor="text1"/>
        </w:rPr>
      </w:pPr>
      <w:bookmarkStart w:id="98" w:name="_Toc17739_WPSOffice_Level3"/>
      <w:bookmarkStart w:id="99" w:name="_Toc21636"/>
      <w:bookmarkStart w:id="100" w:name="_Toc15372"/>
      <w:bookmarkStart w:id="101" w:name="_Toc6901"/>
      <w:bookmarkStart w:id="102" w:name="_Toc17182"/>
      <w:r>
        <w:rPr>
          <w:color w:val="000000" w:themeColor="text1"/>
        </w:rPr>
        <w:t>环境空气</w:t>
      </w:r>
      <w:bookmarkEnd w:id="98"/>
      <w:bookmarkEnd w:id="99"/>
      <w:bookmarkEnd w:id="100"/>
      <w:bookmarkEnd w:id="101"/>
      <w:bookmarkEnd w:id="102"/>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根据大气功能区划，本项目所在地为二类功能区，环境空气执行《环境空气质量标准》（GB3095-2012）中的二级浓度限值。</w:t>
      </w:r>
    </w:p>
    <w:p>
      <w:pPr>
        <w:pStyle w:val="5"/>
        <w:rPr>
          <w:color w:val="000000" w:themeColor="text1"/>
        </w:rPr>
      </w:pPr>
      <w:bookmarkStart w:id="103" w:name="_Toc277"/>
      <w:bookmarkStart w:id="104" w:name="_Toc8041"/>
      <w:bookmarkStart w:id="105" w:name="_Toc8543_WPSOffice_Level3"/>
      <w:bookmarkStart w:id="106" w:name="_Toc16027"/>
      <w:bookmarkStart w:id="107" w:name="_Toc22009"/>
      <w:r>
        <w:rPr>
          <w:color w:val="000000" w:themeColor="text1"/>
        </w:rPr>
        <w:t>声环境</w:t>
      </w:r>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bookmarkStart w:id="108" w:name="_Toc20720"/>
      <w:bookmarkStart w:id="109" w:name="_Toc21785"/>
      <w:bookmarkStart w:id="110" w:name="_Toc24709"/>
      <w:r>
        <w:rPr>
          <w:rFonts w:hint="default" w:ascii="Times New Roman" w:hAnsi="Times New Roman" w:eastAsia="宋体" w:cs="Times New Roman"/>
          <w:color w:val="000000" w:themeColor="text1"/>
          <w:sz w:val="24"/>
          <w:szCs w:val="24"/>
        </w:rPr>
        <w:t>根据《声环境质量标准》（GB3096-2008）和《声环境功能区划分技术规范》（GB/T 15190–2014），项目所在区域声环境质量执行</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w:t>
      </w:r>
    </w:p>
    <w:p>
      <w:pPr>
        <w:pStyle w:val="5"/>
        <w:rPr>
          <w:color w:val="000000" w:themeColor="text1"/>
        </w:rPr>
      </w:pPr>
      <w:bookmarkStart w:id="111" w:name="_Toc2082"/>
      <w:bookmarkStart w:id="112" w:name="_Toc16282_WPSOffice_Level3"/>
      <w:r>
        <w:rPr>
          <w:color w:val="000000" w:themeColor="text1"/>
        </w:rPr>
        <w:t>地表水环境</w:t>
      </w:r>
      <w:bookmarkEnd w:id="108"/>
      <w:bookmarkEnd w:id="109"/>
      <w:bookmarkEnd w:id="110"/>
      <w:bookmarkEnd w:id="111"/>
      <w:bookmarkEnd w:id="11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bookmarkStart w:id="113" w:name="_Toc786"/>
      <w:bookmarkStart w:id="114" w:name="_Toc6582"/>
      <w:bookmarkStart w:id="115" w:name="_Toc18835"/>
      <w:r>
        <w:rPr>
          <w:rFonts w:hint="default" w:ascii="Times New Roman" w:hAnsi="Times New Roman" w:eastAsia="宋体" w:cs="Times New Roman"/>
          <w:color w:val="000000" w:themeColor="text1"/>
          <w:sz w:val="24"/>
          <w:szCs w:val="24"/>
        </w:rPr>
        <w:t>参考《陕西省水功能区划》（陕政办发</w:t>
      </w:r>
      <w:r>
        <w:rPr>
          <w:rFonts w:hint="eastAsia" w:ascii="黑体" w:hAnsi="黑体" w:eastAsia="黑体" w:cs="黑体"/>
          <w:color w:val="000000" w:themeColor="text1"/>
          <w:sz w:val="24"/>
          <w:szCs w:val="24"/>
        </w:rPr>
        <w:t>〔</w:t>
      </w:r>
      <w:r>
        <w:rPr>
          <w:rFonts w:hint="default" w:ascii="Times New Roman" w:hAnsi="Times New Roman" w:eastAsia="宋体" w:cs="Times New Roman"/>
          <w:color w:val="000000" w:themeColor="text1"/>
          <w:sz w:val="24"/>
          <w:szCs w:val="24"/>
        </w:rPr>
        <w:t>2004</w:t>
      </w:r>
      <w:r>
        <w:rPr>
          <w:rFonts w:hint="eastAsia" w:ascii="黑体" w:hAnsi="黑体" w:eastAsia="黑体" w:cs="黑体"/>
          <w:color w:val="000000" w:themeColor="text1"/>
          <w:sz w:val="24"/>
          <w:szCs w:val="24"/>
        </w:rPr>
        <w:t>〕</w:t>
      </w:r>
      <w:r>
        <w:rPr>
          <w:rFonts w:hint="default" w:ascii="Times New Roman" w:hAnsi="Times New Roman" w:eastAsia="宋体" w:cs="Times New Roman"/>
          <w:color w:val="000000" w:themeColor="text1"/>
          <w:sz w:val="24"/>
          <w:szCs w:val="24"/>
        </w:rPr>
        <w:t>100号），项目地附近的吕河属于汉江支流坝河支流，为</w:t>
      </w: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ROMAN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II</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rPr>
        <w:t>类水域。</w:t>
      </w:r>
    </w:p>
    <w:p>
      <w:pPr>
        <w:pStyle w:val="5"/>
        <w:rPr>
          <w:color w:val="000000" w:themeColor="text1"/>
        </w:rPr>
      </w:pPr>
      <w:bookmarkStart w:id="116" w:name="_Toc5619_WPSOffice_Level3"/>
      <w:bookmarkStart w:id="117" w:name="_Toc10927"/>
      <w:r>
        <w:rPr>
          <w:color w:val="000000" w:themeColor="text1"/>
        </w:rPr>
        <w:t>地下水环境</w:t>
      </w:r>
      <w:bookmarkEnd w:id="113"/>
      <w:bookmarkEnd w:id="114"/>
      <w:bookmarkEnd w:id="115"/>
      <w:bookmarkEnd w:id="116"/>
      <w:bookmarkEnd w:id="117"/>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本项目地下水执行《地下水质量标准》（GB/T14848-2017）</w:t>
      </w:r>
      <w:r>
        <w:rPr>
          <w:rFonts w:ascii="Times New Roman" w:hAnsi="Times New Roman" w:eastAsia="宋体" w:cs="Times New Roman"/>
          <w:color w:val="000000" w:themeColor="text1"/>
          <w:sz w:val="24"/>
        </w:rPr>
        <w:fldChar w:fldCharType="begin"/>
      </w:r>
      <w:r>
        <w:rPr>
          <w:rFonts w:ascii="Times New Roman" w:hAnsi="Times New Roman" w:eastAsia="宋体" w:cs="Times New Roman"/>
          <w:color w:val="000000" w:themeColor="text1"/>
          <w:sz w:val="24"/>
        </w:rPr>
        <w:instrText xml:space="preserve"> = 3 \* ROMAN \* MERGEFORMAT </w:instrText>
      </w:r>
      <w:r>
        <w:rPr>
          <w:rFonts w:ascii="Times New Roman" w:hAnsi="Times New Roman" w:eastAsia="宋体" w:cs="Times New Roman"/>
          <w:color w:val="000000" w:themeColor="text1"/>
          <w:sz w:val="24"/>
        </w:rPr>
        <w:fldChar w:fldCharType="separate"/>
      </w:r>
      <w:r>
        <w:rPr>
          <w:rFonts w:ascii="Times New Roman" w:hAnsi="Times New Roman" w:eastAsia="宋体" w:cs="Times New Roman"/>
          <w:color w:val="000000" w:themeColor="text1"/>
          <w:sz w:val="24"/>
        </w:rPr>
        <w:t>III</w:t>
      </w:r>
      <w:r>
        <w:rPr>
          <w:rFonts w:ascii="Times New Roman" w:hAnsi="Times New Roman" w:eastAsia="宋体" w:cs="Times New Roman"/>
          <w:color w:val="000000" w:themeColor="text1"/>
          <w:sz w:val="24"/>
        </w:rPr>
        <w:fldChar w:fldCharType="end"/>
      </w:r>
      <w:r>
        <w:rPr>
          <w:rFonts w:ascii="Times New Roman" w:hAnsi="Times New Roman" w:eastAsia="宋体" w:cs="Times New Roman"/>
          <w:color w:val="000000" w:themeColor="text1"/>
          <w:sz w:val="24"/>
        </w:rPr>
        <w:t>类标准限值要求。</w:t>
      </w:r>
    </w:p>
    <w:p>
      <w:pPr>
        <w:pStyle w:val="5"/>
        <w:rPr>
          <w:color w:val="000000" w:themeColor="text1"/>
        </w:rPr>
      </w:pPr>
      <w:bookmarkStart w:id="118" w:name="_Toc11376"/>
      <w:bookmarkStart w:id="119" w:name="_Toc11610"/>
      <w:bookmarkStart w:id="120" w:name="_Toc26235_WPSOffice_Level3"/>
      <w:bookmarkStart w:id="121" w:name="_Toc16327"/>
      <w:bookmarkStart w:id="122" w:name="_Toc199"/>
      <w:r>
        <w:rPr>
          <w:color w:val="000000" w:themeColor="text1"/>
        </w:rPr>
        <w:t>生态环境</w:t>
      </w:r>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根据《陕西省生态功能区划》</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陕政办</w:t>
      </w:r>
      <w:r>
        <w:rPr>
          <w:rFonts w:hint="eastAsia" w:ascii="黑体" w:hAnsi="黑体" w:eastAsia="黑体" w:cs="黑体"/>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2004</w:t>
      </w:r>
      <w:r>
        <w:rPr>
          <w:rFonts w:hint="eastAsia" w:ascii="黑体" w:hAnsi="黑体" w:eastAsia="黑体" w:cs="黑体"/>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115号</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，项目所在地属于一级生态区秦巴山地落叶阔叶、常绿阔叶混交林生态区，二级生态区汉江两岸丘陵盆地农业生态亚区，三级生态区汉江两岸低山丘陵土壤侵蚀控制区。</w:t>
      </w:r>
      <w:r>
        <w:rPr>
          <w:rFonts w:hint="eastAsia" w:ascii="Times New Roman" w:hAnsi="Times New Roman" w:eastAsia="宋体" w:cs="Times New Roman"/>
          <w:color w:val="000000" w:themeColor="text1"/>
          <w:sz w:val="24"/>
          <w:szCs w:val="24"/>
          <w:lang w:eastAsia="zh-CN"/>
        </w:rPr>
        <w:t>陕西省</w:t>
      </w:r>
      <w:r>
        <w:rPr>
          <w:rFonts w:hint="default" w:ascii="Times New Roman" w:hAnsi="Times New Roman" w:eastAsia="宋体" w:cs="Times New Roman"/>
          <w:color w:val="000000" w:themeColor="text1"/>
          <w:sz w:val="24"/>
          <w:szCs w:val="24"/>
        </w:rPr>
        <w:t>生态功能区划见</w:t>
      </w:r>
      <w:r>
        <w:rPr>
          <w:rFonts w:hint="eastAsia" w:ascii="Times New Roman" w:hAnsi="Times New Roman" w:eastAsia="宋体" w:cs="Times New Roman"/>
          <w:color w:val="000000" w:themeColor="text1"/>
          <w:sz w:val="24"/>
          <w:szCs w:val="24"/>
          <w:lang w:val="en-US" w:eastAsia="zh-CN"/>
        </w:rPr>
        <w:t>附</w:t>
      </w:r>
      <w:r>
        <w:rPr>
          <w:rFonts w:hint="default" w:ascii="Times New Roman" w:hAnsi="Times New Roman" w:eastAsia="宋体" w:cs="Times New Roman"/>
          <w:color w:val="000000" w:themeColor="text1"/>
          <w:sz w:val="24"/>
          <w:szCs w:val="24"/>
        </w:rPr>
        <w:t>图</w:t>
      </w:r>
      <w:r>
        <w:rPr>
          <w:rFonts w:hint="eastAsia" w:ascii="Times New Roman" w:hAnsi="Times New Roman" w:eastAsia="宋体" w:cs="Times New Roman"/>
          <w:color w:val="000000" w:themeColor="text1"/>
          <w:sz w:val="24"/>
          <w:szCs w:val="24"/>
          <w:lang w:val="en-US" w:eastAsia="zh-CN"/>
        </w:rPr>
        <w:t>9</w:t>
      </w:r>
      <w:r>
        <w:rPr>
          <w:rFonts w:hint="eastAsia"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val="0"/>
          <w:snapToGrid w:val="0"/>
          <w:color w:val="000000" w:themeColor="text1"/>
          <w:kern w:val="0"/>
          <w:sz w:val="21"/>
          <w:szCs w:val="21"/>
          <w:vertAlign w:val="baseline"/>
          <w:lang w:val="en-US" w:eastAsia="zh-CN"/>
        </w:rPr>
      </w:pPr>
      <w:r>
        <w:rPr>
          <w:rFonts w:hint="eastAsia" w:ascii="Times New Roman" w:hAnsi="Times New Roman" w:eastAsia="宋体" w:cs="Times New Roman"/>
          <w:b/>
          <w:bCs w:val="0"/>
          <w:snapToGrid w:val="0"/>
          <w:color w:val="000000" w:themeColor="text1"/>
          <w:kern w:val="0"/>
          <w:sz w:val="21"/>
          <w:szCs w:val="21"/>
          <w:lang w:val="en-US" w:eastAsia="zh-CN"/>
        </w:rPr>
        <w:t>表2.3-1  评价区内环境功能区划一览表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4732"/>
        <w:gridCol w:w="2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环境要素</w:t>
            </w:r>
          </w:p>
        </w:tc>
        <w:tc>
          <w:tcPr>
            <w:tcW w:w="4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依据</w:t>
            </w:r>
          </w:p>
        </w:tc>
        <w:tc>
          <w:tcPr>
            <w:tcW w:w="2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环境空气</w:t>
            </w:r>
          </w:p>
        </w:tc>
        <w:tc>
          <w:tcPr>
            <w:tcW w:w="4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《环境空气质量标准》（GB3095-2012）</w:t>
            </w:r>
          </w:p>
        </w:tc>
        <w:tc>
          <w:tcPr>
            <w:tcW w:w="2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声环境</w:t>
            </w:r>
          </w:p>
        </w:tc>
        <w:tc>
          <w:tcPr>
            <w:tcW w:w="4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《声环境质量标准》（GB3096-2008）</w:t>
            </w:r>
          </w:p>
        </w:tc>
        <w:tc>
          <w:tcPr>
            <w:tcW w:w="2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eastAsia" w:ascii="Times New Roman" w:hAnsi="Times New Roman" w:eastAsia="宋体" w:cs="Times New Roman"/>
                <w:bCs/>
                <w:snapToGrid w:val="0"/>
                <w:color w:val="000000" w:themeColor="text1"/>
                <w:kern w:val="0"/>
                <w:sz w:val="21"/>
                <w:szCs w:val="21"/>
                <w:vertAlign w:val="baseline"/>
                <w:lang w:val="en-US" w:eastAsia="zh-CN"/>
              </w:rPr>
              <w:t>2</w:t>
            </w:r>
            <w:r>
              <w:rPr>
                <w:rFonts w:hint="default" w:ascii="Times New Roman" w:hAnsi="Times New Roman" w:eastAsia="宋体" w:cs="Times New Roman"/>
                <w:bCs/>
                <w:snapToGrid w:val="0"/>
                <w:color w:val="000000" w:themeColor="text1"/>
                <w:kern w:val="0"/>
                <w:sz w:val="21"/>
                <w:szCs w:val="21"/>
                <w:vertAlign w:val="baseline"/>
                <w:lang w:val="en-US" w:eastAsia="zh-CN"/>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地表水环境</w:t>
            </w:r>
          </w:p>
        </w:tc>
        <w:tc>
          <w:tcPr>
            <w:tcW w:w="4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《陕西省水功能区划》</w:t>
            </w:r>
            <w:r>
              <w:rPr>
                <w:rFonts w:hint="default" w:ascii="Times New Roman" w:hAnsi="Times New Roman" w:eastAsia="宋体" w:cs="Times New Roman"/>
                <w:color w:val="000000" w:themeColor="text1"/>
                <w:sz w:val="21"/>
                <w:szCs w:val="21"/>
              </w:rPr>
              <w:t>（陕政办发</w:t>
            </w:r>
            <w:r>
              <w:rPr>
                <w:rFonts w:hint="eastAsia" w:ascii="黑体" w:hAnsi="黑体" w:eastAsia="黑体" w:cs="黑体"/>
                <w:color w:val="000000" w:themeColor="text1"/>
                <w:sz w:val="21"/>
                <w:szCs w:val="21"/>
              </w:rPr>
              <w:t>〔</w:t>
            </w:r>
            <w:r>
              <w:rPr>
                <w:rFonts w:hint="default" w:ascii="Times New Roman" w:hAnsi="Times New Roman" w:eastAsia="宋体" w:cs="Times New Roman"/>
                <w:color w:val="000000" w:themeColor="text1"/>
                <w:sz w:val="21"/>
                <w:szCs w:val="21"/>
              </w:rPr>
              <w:t>2004</w:t>
            </w:r>
            <w:r>
              <w:rPr>
                <w:rFonts w:hint="eastAsia" w:ascii="黑体" w:hAnsi="黑体" w:eastAsia="黑体" w:cs="黑体"/>
                <w:color w:val="000000" w:themeColor="text1"/>
                <w:sz w:val="21"/>
                <w:szCs w:val="21"/>
              </w:rPr>
              <w:t>〕</w:t>
            </w:r>
            <w:r>
              <w:rPr>
                <w:rFonts w:hint="default" w:ascii="Times New Roman" w:hAnsi="Times New Roman" w:eastAsia="宋体" w:cs="Times New Roman"/>
                <w:color w:val="000000" w:themeColor="text1"/>
                <w:sz w:val="21"/>
                <w:szCs w:val="21"/>
              </w:rPr>
              <w:t>100号）</w:t>
            </w:r>
          </w:p>
        </w:tc>
        <w:tc>
          <w:tcPr>
            <w:tcW w:w="2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2 \* ROMAN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II</w:t>
            </w:r>
            <w:r>
              <w:rPr>
                <w:rFonts w:hint="default" w:ascii="Times New Roman" w:hAnsi="Times New Roman" w:eastAsia="宋体" w:cs="Times New Roman"/>
                <w:color w:val="000000" w:themeColor="text1"/>
                <w:sz w:val="21"/>
                <w:szCs w:val="21"/>
              </w:rPr>
              <w:fldChar w:fldCharType="end"/>
            </w:r>
            <w:r>
              <w:rPr>
                <w:rFonts w:hint="default" w:ascii="Times New Roman" w:hAnsi="Times New Roman" w:eastAsia="宋体" w:cs="Times New Roman"/>
                <w:color w:val="000000" w:themeColor="text1"/>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地下水环境</w:t>
            </w:r>
          </w:p>
        </w:tc>
        <w:tc>
          <w:tcPr>
            <w:tcW w:w="4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color w:val="000000" w:themeColor="text1"/>
                <w:sz w:val="21"/>
                <w:szCs w:val="21"/>
              </w:rPr>
              <w:t>《地下水质量标准》（GB/T14848-2017）</w:t>
            </w:r>
          </w:p>
        </w:tc>
        <w:tc>
          <w:tcPr>
            <w:tcW w:w="2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3 \* ROMAN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III</w:t>
            </w:r>
            <w:r>
              <w:rPr>
                <w:rFonts w:hint="default" w:ascii="Times New Roman" w:hAnsi="Times New Roman" w:eastAsia="宋体" w:cs="Times New Roman"/>
                <w:color w:val="000000" w:themeColor="text1"/>
                <w:sz w:val="21"/>
                <w:szCs w:val="21"/>
              </w:rPr>
              <w:fldChar w:fldCharType="end"/>
            </w:r>
            <w:r>
              <w:rPr>
                <w:rFonts w:hint="default" w:ascii="Times New Roman" w:hAnsi="Times New Roman" w:eastAsia="宋体" w:cs="Times New Roman"/>
                <w:color w:val="000000" w:themeColor="text1"/>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bCs/>
                <w:snapToGrid w:val="0"/>
                <w:color w:val="000000" w:themeColor="text1"/>
                <w:kern w:val="0"/>
                <w:sz w:val="21"/>
                <w:szCs w:val="21"/>
                <w:vertAlign w:val="baseline"/>
                <w:lang w:val="en-US" w:eastAsia="zh-CN"/>
              </w:rPr>
              <w:t>生态环境</w:t>
            </w:r>
          </w:p>
        </w:tc>
        <w:tc>
          <w:tcPr>
            <w:tcW w:w="4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color w:val="000000" w:themeColor="text1"/>
                <w:sz w:val="21"/>
                <w:szCs w:val="21"/>
              </w:rPr>
              <w:t>《陕西省生态功能区划》</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陕政办发</w:t>
            </w:r>
            <w:r>
              <w:rPr>
                <w:rFonts w:hint="eastAsia" w:ascii="黑体" w:hAnsi="黑体" w:eastAsia="黑体" w:cs="黑体"/>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2004</w:t>
            </w:r>
            <w:r>
              <w:rPr>
                <w:rFonts w:hint="eastAsia" w:ascii="黑体" w:hAnsi="黑体" w:eastAsia="黑体" w:cs="黑体"/>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115号</w:t>
            </w:r>
            <w:r>
              <w:rPr>
                <w:rFonts w:hint="default" w:ascii="Times New Roman" w:hAnsi="Times New Roman" w:eastAsia="宋体" w:cs="Times New Roman"/>
                <w:color w:val="000000" w:themeColor="text1"/>
                <w:sz w:val="21"/>
                <w:szCs w:val="21"/>
                <w:lang w:eastAsia="zh-CN"/>
              </w:rPr>
              <w:t>）</w:t>
            </w:r>
          </w:p>
        </w:tc>
        <w:tc>
          <w:tcPr>
            <w:tcW w:w="2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kern w:val="0"/>
                <w:sz w:val="21"/>
                <w:szCs w:val="21"/>
                <w:vertAlign w:val="baseline"/>
                <w:lang w:val="en-US" w:eastAsia="zh-CN"/>
              </w:rPr>
            </w:pPr>
            <w:r>
              <w:rPr>
                <w:rFonts w:hint="default" w:ascii="Times New Roman" w:hAnsi="Times New Roman" w:eastAsia="宋体" w:cs="Times New Roman"/>
                <w:color w:val="000000" w:themeColor="text1"/>
                <w:sz w:val="21"/>
                <w:szCs w:val="21"/>
              </w:rPr>
              <w:t>汉江两岸低山丘陵土壤侵蚀控制区</w:t>
            </w:r>
          </w:p>
        </w:tc>
      </w:tr>
    </w:tbl>
    <w:p>
      <w:pPr>
        <w:pStyle w:val="4"/>
        <w:rPr>
          <w:color w:val="000000" w:themeColor="text1"/>
        </w:rPr>
      </w:pPr>
      <w:bookmarkStart w:id="123" w:name="_Toc19062"/>
      <w:bookmarkStart w:id="124" w:name="_Toc15131"/>
      <w:bookmarkStart w:id="125" w:name="_Toc14353_WPSOffice_Level2"/>
      <w:bookmarkStart w:id="126" w:name="_Toc29211"/>
      <w:bookmarkStart w:id="127" w:name="_Toc7095"/>
      <w:r>
        <w:rPr>
          <w:color w:val="000000" w:themeColor="text1"/>
        </w:rPr>
        <w:t>评价标准</w:t>
      </w:r>
      <w:bookmarkEnd w:id="123"/>
      <w:bookmarkEnd w:id="124"/>
      <w:bookmarkEnd w:id="125"/>
      <w:bookmarkEnd w:id="126"/>
      <w:bookmarkEnd w:id="127"/>
    </w:p>
    <w:p>
      <w:pPr>
        <w:pStyle w:val="5"/>
        <w:rPr>
          <w:rFonts w:hint="default"/>
          <w:color w:val="000000" w:themeColor="text1"/>
        </w:rPr>
      </w:pPr>
      <w:bookmarkStart w:id="128" w:name="_Toc21952"/>
      <w:bookmarkStart w:id="129" w:name="_Toc23167"/>
      <w:bookmarkStart w:id="130" w:name="_Toc24558"/>
      <w:bookmarkStart w:id="131" w:name="_Toc1851"/>
      <w:bookmarkStart w:id="132" w:name="_Toc1565_WPSOffice_Level3"/>
      <w:r>
        <w:rPr>
          <w:rFonts w:hint="default"/>
          <w:color w:val="000000" w:themeColor="text1"/>
        </w:rPr>
        <w:t>环境质量标准</w:t>
      </w:r>
      <w:bookmarkEnd w:id="128"/>
      <w:bookmarkEnd w:id="129"/>
      <w:bookmarkEnd w:id="130"/>
      <w:bookmarkEnd w:id="131"/>
      <w:bookmarkEnd w:id="132"/>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color w:val="000000" w:themeColor="text1"/>
        </w:rPr>
      </w:pP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1</w:t>
      </w:r>
      <w:r>
        <w:rPr>
          <w:rFonts w:ascii="Times New Roman" w:hAnsi="Times New Roman" w:eastAsia="宋体" w:cs="Times New Roman"/>
          <w:color w:val="000000" w:themeColor="text1"/>
          <w:sz w:val="24"/>
        </w:rPr>
        <w:t>）环境空气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环境空气质量执行《环境空气质量标准》（GB3095-2012）中的二级标准，详见表2.4-1。</w:t>
      </w:r>
    </w:p>
    <w:p>
      <w:pPr>
        <w:pStyle w:val="25"/>
        <w:spacing w:before="240" w:after="120"/>
        <w:rPr>
          <w:rFonts w:hint="default" w:ascii="Times New Roman" w:hAnsi="Times New Roman" w:eastAsia="宋体" w:cs="Times New Roman"/>
          <w:b/>
          <w:bCs w:val="0"/>
          <w:color w:val="000000" w:themeColor="text1"/>
        </w:rPr>
      </w:pPr>
      <w:r>
        <w:rPr>
          <w:rFonts w:hint="default" w:ascii="Times New Roman" w:hAnsi="Times New Roman" w:eastAsia="宋体" w:cs="Times New Roman"/>
          <w:b/>
          <w:bCs w:val="0"/>
          <w:color w:val="000000" w:themeColor="text1"/>
        </w:rPr>
        <w:t>表2.</w:t>
      </w:r>
      <w:r>
        <w:rPr>
          <w:rFonts w:hint="eastAsia" w:ascii="Times New Roman" w:hAnsi="Times New Roman" w:eastAsia="宋体" w:cs="Times New Roman"/>
          <w:b/>
          <w:bCs w:val="0"/>
          <w:color w:val="000000" w:themeColor="text1"/>
          <w:lang w:val="en-US" w:eastAsia="zh-CN"/>
        </w:rPr>
        <w:t>4</w:t>
      </w:r>
      <w:r>
        <w:rPr>
          <w:rFonts w:hint="default" w:ascii="Times New Roman" w:hAnsi="Times New Roman" w:eastAsia="宋体" w:cs="Times New Roman"/>
          <w:b/>
          <w:bCs w:val="0"/>
          <w:color w:val="000000" w:themeColor="text1"/>
        </w:rPr>
        <w:t>-</w:t>
      </w:r>
      <w:r>
        <w:rPr>
          <w:rFonts w:hint="eastAsia" w:ascii="Times New Roman" w:hAnsi="Times New Roman" w:eastAsia="宋体" w:cs="Times New Roman"/>
          <w:b/>
          <w:bCs w:val="0"/>
          <w:color w:val="000000" w:themeColor="text1"/>
          <w:lang w:val="en-US" w:eastAsia="zh-CN"/>
        </w:rPr>
        <w:t>1</w:t>
      </w:r>
      <w:r>
        <w:rPr>
          <w:rFonts w:hint="default" w:ascii="Times New Roman" w:hAnsi="Times New Roman" w:eastAsia="宋体" w:cs="Times New Roman"/>
          <w:b/>
          <w:bCs w:val="0"/>
          <w:color w:val="000000" w:themeColor="text1"/>
        </w:rPr>
        <w:t xml:space="preserve">  环境空气质量标准</w:t>
      </w:r>
    </w:p>
    <w:tbl>
      <w:tblPr>
        <w:tblStyle w:val="39"/>
        <w:tblW w:w="895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155"/>
        <w:gridCol w:w="1410"/>
        <w:gridCol w:w="1470"/>
        <w:gridCol w:w="1320"/>
        <w:gridCol w:w="221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污染物名称</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单位</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年平均</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24小时平均</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1小时平均</w:t>
            </w:r>
          </w:p>
        </w:tc>
        <w:tc>
          <w:tcPr>
            <w:tcW w:w="2216"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Cs/>
                <w:color w:val="000000" w:themeColor="text1"/>
                <w:szCs w:val="21"/>
                <w:lang w:eastAsia="zh-CN"/>
              </w:rPr>
            </w:pPr>
            <w:r>
              <w:rPr>
                <w:rFonts w:hint="eastAsia" w:ascii="Times New Roman" w:hAnsi="Times New Roman" w:eastAsia="宋体" w:cs="Times New Roman"/>
                <w:bCs/>
                <w:color w:val="000000" w:themeColor="text1"/>
                <w:szCs w:val="21"/>
                <w:lang w:val="en-US" w:eastAsia="zh-CN"/>
              </w:rPr>
              <w:t>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PM</w:t>
            </w:r>
            <w:r>
              <w:rPr>
                <w:rFonts w:hint="default" w:ascii="Times New Roman" w:hAnsi="Times New Roman" w:eastAsia="宋体" w:cs="Times New Roman"/>
                <w:bCs/>
                <w:color w:val="000000" w:themeColor="text1"/>
                <w:szCs w:val="21"/>
                <w:vertAlign w:val="subscript"/>
              </w:rPr>
              <w:t>2.5</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μg/m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35</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75</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c>
          <w:tcPr>
            <w:tcW w:w="2216" w:type="dxa"/>
            <w:vMerge w:val="restart"/>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《环境空气质量标准》（GB3095-2012）中的二级标准数值</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SO</w:t>
            </w:r>
            <w:r>
              <w:rPr>
                <w:rFonts w:hint="default" w:ascii="Times New Roman" w:hAnsi="Times New Roman" w:eastAsia="宋体" w:cs="Times New Roman"/>
                <w:bCs/>
                <w:color w:val="000000" w:themeColor="text1"/>
                <w:szCs w:val="21"/>
                <w:vertAlign w:val="subscript"/>
              </w:rPr>
              <w:t>2</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μg/m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60</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150</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500</w:t>
            </w:r>
          </w:p>
        </w:tc>
        <w:tc>
          <w:tcPr>
            <w:tcW w:w="2216" w:type="dxa"/>
            <w:vMerge w:val="continue"/>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PM</w:t>
            </w:r>
            <w:r>
              <w:rPr>
                <w:rFonts w:hint="default" w:ascii="Times New Roman" w:hAnsi="Times New Roman" w:eastAsia="宋体" w:cs="Times New Roman"/>
                <w:bCs/>
                <w:color w:val="000000" w:themeColor="text1"/>
                <w:szCs w:val="21"/>
                <w:vertAlign w:val="subscript"/>
              </w:rPr>
              <w:t>10</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μg/m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70</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150</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c>
          <w:tcPr>
            <w:tcW w:w="2216" w:type="dxa"/>
            <w:vMerge w:val="continue"/>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NO</w:t>
            </w:r>
            <w:r>
              <w:rPr>
                <w:rFonts w:hint="default" w:ascii="Times New Roman" w:hAnsi="Times New Roman" w:eastAsia="宋体" w:cs="Times New Roman"/>
                <w:bCs/>
                <w:color w:val="000000" w:themeColor="text1"/>
                <w:szCs w:val="21"/>
                <w:vertAlign w:val="subscript"/>
              </w:rPr>
              <w:t>2</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μg/m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40</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80</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200</w:t>
            </w:r>
          </w:p>
        </w:tc>
        <w:tc>
          <w:tcPr>
            <w:tcW w:w="2216" w:type="dxa"/>
            <w:vMerge w:val="continue"/>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CO</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mg/m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4</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10</w:t>
            </w:r>
          </w:p>
        </w:tc>
        <w:tc>
          <w:tcPr>
            <w:tcW w:w="2216" w:type="dxa"/>
            <w:vMerge w:val="continue"/>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vertAlign w:val="subscript"/>
              </w:rPr>
            </w:pPr>
            <w:r>
              <w:rPr>
                <w:rFonts w:hint="default" w:ascii="Times New Roman" w:hAnsi="Times New Roman" w:eastAsia="宋体" w:cs="Times New Roman"/>
                <w:bCs/>
                <w:color w:val="000000" w:themeColor="text1"/>
                <w:szCs w:val="21"/>
              </w:rPr>
              <w:t>O</w:t>
            </w:r>
            <w:r>
              <w:rPr>
                <w:rFonts w:hint="default" w:ascii="Times New Roman" w:hAnsi="Times New Roman" w:eastAsia="宋体" w:cs="Times New Roman"/>
                <w:bCs/>
                <w:color w:val="000000" w:themeColor="text1"/>
                <w:szCs w:val="21"/>
                <w:vertAlign w:val="subscript"/>
              </w:rPr>
              <w:t>3</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μg/m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200</w:t>
            </w:r>
          </w:p>
        </w:tc>
        <w:tc>
          <w:tcPr>
            <w:tcW w:w="2216" w:type="dxa"/>
            <w:vMerge w:val="continue"/>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379"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TSP</w:t>
            </w:r>
          </w:p>
        </w:tc>
        <w:tc>
          <w:tcPr>
            <w:tcW w:w="1155"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μg/m</w:t>
            </w:r>
            <w:r>
              <w:rPr>
                <w:rFonts w:hint="default" w:ascii="Times New Roman" w:hAnsi="Times New Roman" w:eastAsia="宋体" w:cs="Times New Roman"/>
                <w:bCs/>
                <w:color w:val="000000" w:themeColor="text1"/>
                <w:szCs w:val="21"/>
                <w:vertAlign w:val="superscript"/>
              </w:rPr>
              <w:t>3</w:t>
            </w:r>
          </w:p>
        </w:tc>
        <w:tc>
          <w:tcPr>
            <w:tcW w:w="141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150</w:t>
            </w:r>
          </w:p>
        </w:tc>
        <w:tc>
          <w:tcPr>
            <w:tcW w:w="147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300</w:t>
            </w:r>
          </w:p>
        </w:tc>
        <w:tc>
          <w:tcPr>
            <w:tcW w:w="1320" w:type="dxa"/>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c>
          <w:tcPr>
            <w:tcW w:w="2216" w:type="dxa"/>
            <w:vMerge w:val="continue"/>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000000" w:themeColor="text1"/>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eastAsia="zh-CN"/>
        </w:rPr>
        <w:t>（</w:t>
      </w:r>
      <w:r>
        <w:rPr>
          <w:rFonts w:hint="eastAsia" w:ascii="Times New Roman" w:hAnsi="Times New Roman" w:eastAsia="宋体" w:cs="Times New Roman"/>
          <w:color w:val="000000" w:themeColor="text1"/>
          <w:sz w:val="24"/>
          <w:lang w:val="en-US" w:eastAsia="zh-CN"/>
        </w:rPr>
        <w:t>2</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地下水环境</w:t>
      </w:r>
    </w:p>
    <w:p>
      <w:pPr>
        <w:ind w:firstLine="48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地下水水质执行《地下水质量标准》（GB/T14848-2017）的Ⅲ类标准见表2.</w:t>
      </w:r>
      <w:r>
        <w:rPr>
          <w:rFonts w:hint="eastAsia"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w:t>
      </w:r>
    </w:p>
    <w:p>
      <w:pPr>
        <w:pStyle w:val="25"/>
        <w:spacing w:before="240" w:after="120"/>
        <w:rPr>
          <w:color w:val="000000" w:themeColor="text1"/>
        </w:rPr>
      </w:pPr>
      <w:r>
        <w:rPr>
          <w:rFonts w:hint="eastAsia"/>
          <w:color w:val="000000" w:themeColor="text1"/>
        </w:rPr>
        <w:t xml:space="preserve">      </w:t>
      </w:r>
      <w:r>
        <w:rPr>
          <w:rFonts w:hint="default" w:ascii="Times New Roman" w:hAnsi="Times New Roman" w:eastAsia="宋体" w:cs="Times New Roman"/>
          <w:b/>
          <w:bCs w:val="0"/>
          <w:color w:val="000000" w:themeColor="text1"/>
          <w:sz w:val="21"/>
          <w:szCs w:val="21"/>
        </w:rPr>
        <w:t>表2.4-</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 xml:space="preserve">  地下水质量标准</w:t>
      </w:r>
    </w:p>
    <w:tbl>
      <w:tblPr>
        <w:tblStyle w:val="39"/>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410"/>
        <w:gridCol w:w="2410"/>
        <w:gridCol w:w="2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序号</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单位</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pH值</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无量纲</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eastAsia" w:ascii="Times New Roman" w:hAnsi="Times New Roman" w:cs="Times New Roman"/>
                <w:b w:val="0"/>
                <w:bCs w:val="0"/>
                <w:color w:val="000000" w:themeColor="text1"/>
                <w:sz w:val="21"/>
                <w:szCs w:val="21"/>
                <w:highlight w:val="none"/>
                <w:vertAlign w:val="baseline"/>
                <w:lang w:val="en-US" w:eastAsia="zh-CN"/>
              </w:rPr>
              <w:t>钾（K</w:t>
            </w:r>
            <w:r>
              <w:rPr>
                <w:rFonts w:hint="eastAsia" w:ascii="Times New Roman" w:hAnsi="Times New Roman" w:cs="Times New Roman"/>
                <w:b w:val="0"/>
                <w:bCs w:val="0"/>
                <w:color w:val="000000" w:themeColor="text1"/>
                <w:sz w:val="21"/>
                <w:szCs w:val="21"/>
                <w:highlight w:val="none"/>
                <w:vertAlign w:val="superscript"/>
                <w:lang w:val="en-US" w:eastAsia="zh-CN"/>
              </w:rPr>
              <w:t>+</w:t>
            </w:r>
            <w:r>
              <w:rPr>
                <w:rFonts w:hint="eastAsia" w:ascii="Times New Roman" w:hAnsi="Times New Roman" w:cs="Times New Roman"/>
                <w:b w:val="0"/>
                <w:bCs w:val="0"/>
                <w:color w:val="000000" w:themeColor="text1"/>
                <w:sz w:val="21"/>
                <w:szCs w:val="21"/>
                <w:highlight w:val="none"/>
                <w:vertAlign w:val="baseline"/>
                <w:lang w:val="en-US" w:eastAsia="zh-CN"/>
              </w:rPr>
              <w:t>）</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w:t>
            </w:r>
          </w:p>
        </w:tc>
        <w:tc>
          <w:tcPr>
            <w:tcW w:w="2410" w:type="dxa"/>
            <w:tcBorders>
              <w:tl2br w:val="nil"/>
              <w:tr2bl w:val="nil"/>
            </w:tcBorders>
            <w:vAlign w:val="center"/>
          </w:tcPr>
          <w:p>
            <w:pPr>
              <w:pStyle w:val="95"/>
              <w:keepNext w:val="0"/>
              <w:keepLines w:val="0"/>
              <w:pageBreakBefore w:val="0"/>
              <w:widowControl w:val="0"/>
              <w:tabs>
                <w:tab w:val="center" w:pos="1157"/>
                <w:tab w:val="right" w:pos="2194"/>
              </w:tabs>
              <w:kinsoku/>
              <w:wordWrap/>
              <w:overflowPunct/>
              <w:topLinePunct w:val="0"/>
              <w:autoSpaceDE/>
              <w:autoSpaceDN/>
              <w:bidi w:val="0"/>
              <w:adjustRightInd/>
              <w:jc w:val="left"/>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ab/>
            </w:r>
            <w:r>
              <w:rPr>
                <w:rFonts w:hint="eastAsia" w:ascii="Times New Roman" w:hAnsi="Times New Roman" w:cs="Times New Roman"/>
                <w:b w:val="0"/>
                <w:bCs w:val="0"/>
                <w:color w:val="000000" w:themeColor="text1"/>
                <w:sz w:val="21"/>
                <w:szCs w:val="21"/>
                <w:highlight w:val="none"/>
                <w:lang w:val="en-US" w:eastAsia="zh-CN"/>
              </w:rPr>
              <w:t>钠（</w:t>
            </w:r>
            <w:r>
              <w:rPr>
                <w:rFonts w:hint="default" w:ascii="Times New Roman" w:hAnsi="Times New Roman" w:cs="Times New Roman"/>
                <w:b w:val="0"/>
                <w:bCs w:val="0"/>
                <w:color w:val="000000" w:themeColor="text1"/>
                <w:sz w:val="21"/>
                <w:szCs w:val="21"/>
                <w:highlight w:val="none"/>
              </w:rPr>
              <w:t>Na</w:t>
            </w:r>
            <w:r>
              <w:rPr>
                <w:rFonts w:hint="default" w:ascii="Times New Roman" w:hAnsi="Times New Roman" w:cs="Times New Roman"/>
                <w:b w:val="0"/>
                <w:bCs w:val="0"/>
                <w:color w:val="000000" w:themeColor="text1"/>
                <w:sz w:val="21"/>
                <w:szCs w:val="21"/>
                <w:highlight w:val="none"/>
                <w:vertAlign w:val="superscript"/>
              </w:rPr>
              <w:t>+</w:t>
            </w:r>
            <w:r>
              <w:rPr>
                <w:rFonts w:hint="eastAsia" w:ascii="Times New Roman" w:hAnsi="Times New Roman" w:cs="Times New Roman"/>
                <w:b w:val="0"/>
                <w:bCs w:val="0"/>
                <w:color w:val="000000" w:themeColor="text1"/>
                <w:sz w:val="21"/>
                <w:szCs w:val="21"/>
                <w:highlight w:val="none"/>
                <w:lang w:val="en-US" w:eastAsia="zh-CN"/>
              </w:rPr>
              <w:t>）</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4</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eastAsia" w:ascii="Times New Roman" w:hAnsi="Times New Roman" w:cs="Times New Roman"/>
                <w:b w:val="0"/>
                <w:bCs w:val="0"/>
                <w:color w:val="000000" w:themeColor="text1"/>
                <w:sz w:val="21"/>
                <w:szCs w:val="21"/>
                <w:highlight w:val="none"/>
                <w:lang w:val="en-US" w:eastAsia="zh-CN"/>
              </w:rPr>
              <w:t>钙（</w:t>
            </w:r>
            <w:r>
              <w:rPr>
                <w:rFonts w:hint="default" w:ascii="Times New Roman" w:hAnsi="Times New Roman" w:cs="Times New Roman"/>
                <w:b w:val="0"/>
                <w:bCs w:val="0"/>
                <w:color w:val="000000" w:themeColor="text1"/>
                <w:sz w:val="21"/>
                <w:szCs w:val="21"/>
                <w:highlight w:val="none"/>
              </w:rPr>
              <w:t>Ca</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eastAsia" w:ascii="Times New Roman" w:hAnsi="Times New Roman" w:cs="Times New Roman"/>
                <w:b w:val="0"/>
                <w:bCs w:val="0"/>
                <w:color w:val="000000" w:themeColor="text1"/>
                <w:sz w:val="21"/>
                <w:szCs w:val="21"/>
                <w:highlight w:val="none"/>
                <w:lang w:val="en-US" w:eastAsia="zh-CN"/>
              </w:rPr>
              <w:t>镁（</w:t>
            </w:r>
            <w:r>
              <w:rPr>
                <w:rFonts w:hint="default" w:ascii="Times New Roman" w:hAnsi="Times New Roman" w:cs="Times New Roman"/>
                <w:b w:val="0"/>
                <w:bCs w:val="0"/>
                <w:color w:val="000000" w:themeColor="text1"/>
                <w:sz w:val="21"/>
                <w:szCs w:val="21"/>
                <w:highlight w:val="none"/>
              </w:rPr>
              <w:t>Mg</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6</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砷</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7</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汞</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8</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铅</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9</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镉</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10</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铁</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11</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锰</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12</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vertAlign w:val="baseline"/>
                <w:lang w:val="en-US" w:eastAsia="zh-CN"/>
              </w:rPr>
              <w:t>碳酸根</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13</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vertAlign w:val="baseline"/>
                <w:lang w:val="en-US" w:eastAsia="zh-CN"/>
              </w:rPr>
              <w:t>重碳酸根</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14</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vertAlign w:val="baseline"/>
                <w:lang w:val="en-US" w:eastAsia="zh-CN"/>
              </w:rPr>
              <w:t>总硬度</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15</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vertAlign w:val="baseline"/>
                <w:lang w:val="en-US" w:eastAsia="zh-CN"/>
              </w:rPr>
              <w:t>氨氮</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16</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rPr>
              <w:t>氰化物</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17</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挥发酚</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18</w:t>
            </w:r>
          </w:p>
        </w:tc>
        <w:tc>
          <w:tcPr>
            <w:tcW w:w="24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b w:val="0"/>
                <w:bCs w:val="0"/>
                <w:color w:val="000000" w:themeColor="text1"/>
                <w:sz w:val="21"/>
                <w:szCs w:val="21"/>
                <w:highlight w:val="none"/>
                <w:lang w:eastAsia="zh-CN"/>
              </w:rPr>
              <w:t>六价铬</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19</w:t>
            </w:r>
          </w:p>
        </w:tc>
        <w:tc>
          <w:tcPr>
            <w:tcW w:w="2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color w:val="000000" w:themeColor="text1"/>
                <w:sz w:val="21"/>
                <w:szCs w:val="21"/>
                <w:highlight w:val="none"/>
              </w:rPr>
              <w:t>亚硝酸盐</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w:t>
            </w:r>
          </w:p>
        </w:tc>
        <w:tc>
          <w:tcPr>
            <w:tcW w:w="2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color w:val="000000" w:themeColor="text1"/>
                <w:sz w:val="21"/>
                <w:szCs w:val="21"/>
                <w:highlight w:val="none"/>
                <w:lang w:eastAsia="zh-CN"/>
              </w:rPr>
              <w:t>溶解性总固体</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w:t>
            </w:r>
          </w:p>
        </w:tc>
        <w:tc>
          <w:tcPr>
            <w:tcW w:w="2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color w:val="000000" w:themeColor="text1"/>
                <w:sz w:val="21"/>
                <w:szCs w:val="21"/>
                <w:highlight w:val="none"/>
                <w:lang w:eastAsia="zh-CN"/>
              </w:rPr>
              <w:t>氟</w:t>
            </w:r>
            <w:r>
              <w:rPr>
                <w:rFonts w:hint="default" w:ascii="Times New Roman" w:hAnsi="Times New Roman" w:cs="Times New Roman"/>
                <w:color w:val="000000" w:themeColor="text1"/>
                <w:sz w:val="21"/>
                <w:szCs w:val="21"/>
                <w:highlight w:val="none"/>
                <w:lang w:val="en-US" w:eastAsia="zh-CN"/>
              </w:rPr>
              <w:t>化物（F</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val="en-US" w:eastAsia="zh-CN"/>
              </w:rPr>
              <w:t>）</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w:t>
            </w:r>
          </w:p>
        </w:tc>
        <w:tc>
          <w:tcPr>
            <w:tcW w:w="2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color w:val="000000" w:themeColor="text1"/>
                <w:sz w:val="21"/>
                <w:szCs w:val="21"/>
                <w:highlight w:val="none"/>
              </w:rPr>
              <w:t>硝酸盐</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23</w:t>
            </w:r>
          </w:p>
        </w:tc>
        <w:tc>
          <w:tcPr>
            <w:tcW w:w="2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cs="Times New Roman"/>
                <w:color w:val="000000" w:themeColor="text1"/>
                <w:sz w:val="21"/>
                <w:szCs w:val="21"/>
                <w:highlight w:val="none"/>
                <w:lang w:eastAsia="zh-CN"/>
              </w:rPr>
              <w:t>硫酸盐（</w:t>
            </w:r>
            <w:r>
              <w:rPr>
                <w:rFonts w:hint="default" w:ascii="Times New Roman" w:hAnsi="Times New Roman" w:cs="Times New Roman"/>
                <w:color w:val="000000" w:themeColor="text1"/>
                <w:sz w:val="21"/>
                <w:szCs w:val="21"/>
                <w:highlight w:val="none"/>
                <w:lang w:val="en-US" w:eastAsia="zh-CN"/>
              </w:rPr>
              <w:t>SO</w:t>
            </w:r>
            <w:r>
              <w:rPr>
                <w:rFonts w:hint="default" w:ascii="Times New Roman" w:hAnsi="Times New Roman" w:cs="Times New Roman"/>
                <w:color w:val="000000" w:themeColor="text1"/>
                <w:sz w:val="21"/>
                <w:szCs w:val="21"/>
                <w:highlight w:val="none"/>
                <w:vertAlign w:val="subscript"/>
                <w:lang w:val="en-US" w:eastAsia="zh-CN"/>
              </w:rPr>
              <w:t>4</w:t>
            </w:r>
            <w:r>
              <w:rPr>
                <w:rFonts w:hint="default" w:ascii="Times New Roman" w:hAnsi="Times New Roman" w:cs="Times New Roman"/>
                <w:color w:val="000000" w:themeColor="text1"/>
                <w:sz w:val="21"/>
                <w:szCs w:val="21"/>
                <w:highlight w:val="none"/>
                <w:vertAlign w:val="superscript"/>
                <w:lang w:val="en-US" w:eastAsia="zh-CN"/>
              </w:rPr>
              <w:t>2-</w:t>
            </w:r>
            <w:r>
              <w:rPr>
                <w:rFonts w:hint="default" w:ascii="Times New Roman" w:hAnsi="Times New Roman" w:cs="Times New Roman"/>
                <w:color w:val="000000" w:themeColor="text1"/>
                <w:sz w:val="21"/>
                <w:szCs w:val="21"/>
                <w:highlight w:val="none"/>
                <w:lang w:eastAsia="zh-CN"/>
              </w:rPr>
              <w:t>）</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24</w:t>
            </w:r>
          </w:p>
        </w:tc>
        <w:tc>
          <w:tcPr>
            <w:tcW w:w="2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氯化物（</w:t>
            </w:r>
            <w:r>
              <w:rPr>
                <w:rFonts w:hint="default" w:ascii="Times New Roman" w:hAnsi="Times New Roman" w:cs="Times New Roman"/>
                <w:color w:val="000000" w:themeColor="text1"/>
                <w:sz w:val="21"/>
                <w:szCs w:val="21"/>
                <w:highlight w:val="none"/>
                <w:lang w:val="en-US" w:eastAsia="zh-CN"/>
              </w:rPr>
              <w:t>Cl</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eastAsia="zh-CN"/>
              </w:rPr>
              <w:t>）</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25</w:t>
            </w:r>
          </w:p>
        </w:tc>
        <w:tc>
          <w:tcPr>
            <w:tcW w:w="24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color w:val="000000" w:themeColor="text1"/>
                <w:sz w:val="21"/>
                <w:szCs w:val="21"/>
                <w:highlight w:val="none"/>
                <w:lang w:eastAsia="zh-CN"/>
              </w:rPr>
            </w:pPr>
            <w:r>
              <w:rPr>
                <w:rFonts w:hint="eastAsia" w:ascii="Times New Roman" w:hAnsi="Times New Roman" w:cs="Times New Roman"/>
                <w:color w:val="000000" w:themeColor="text1"/>
                <w:kern w:val="2"/>
                <w:sz w:val="21"/>
                <w:szCs w:val="21"/>
                <w:highlight w:val="none"/>
                <w:lang w:val="en-US" w:eastAsia="zh-CN" w:bidi="ar-SA"/>
              </w:rPr>
              <w:t>钡</w:t>
            </w:r>
          </w:p>
        </w:tc>
        <w:tc>
          <w:tcPr>
            <w:tcW w:w="2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mg/L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26</w:t>
            </w:r>
          </w:p>
        </w:tc>
        <w:tc>
          <w:tcPr>
            <w:tcW w:w="24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rPr>
              <w:t>细菌总数</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CFU/mL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27</w:t>
            </w:r>
          </w:p>
        </w:tc>
        <w:tc>
          <w:tcPr>
            <w:tcW w:w="241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总大肠菌群</w:t>
            </w:r>
          </w:p>
        </w:tc>
        <w:tc>
          <w:tcPr>
            <w:tcW w:w="241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MPN/100mL</w:t>
            </w:r>
          </w:p>
        </w:tc>
        <w:tc>
          <w:tcPr>
            <w:tcW w:w="2839"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3</w:t>
            </w:r>
            <w:r>
              <w:rPr>
                <w:rFonts w:hint="eastAsia" w:ascii="Times New Roman" w:hAnsi="Times New Roman" w:eastAsia="宋体" w:cs="Times New Roman"/>
                <w:color w:val="000000" w:themeColor="text1"/>
                <w:lang w:val="en-US" w:eastAsia="zh-CN"/>
              </w:rPr>
              <w:t>.0</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bookmarkStart w:id="133" w:name="_Toc5237"/>
      <w:bookmarkStart w:id="134" w:name="_Toc6211"/>
      <w:bookmarkStart w:id="135" w:name="_Toc8356"/>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3</w:t>
      </w:r>
      <w:r>
        <w:rPr>
          <w:rFonts w:hint="default"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本项目所在区域声环境功能区划为</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类功能区，声环境质量执行《声环境质量标准》（GB3096-2008）</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类标准，见表2.4-</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w:t>
      </w:r>
    </w:p>
    <w:p>
      <w:pPr>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表2.4-</w:t>
      </w:r>
      <w:r>
        <w:rPr>
          <w:rFonts w:hint="eastAsia" w:ascii="Times New Roman" w:hAnsi="Times New Roman" w:eastAsia="宋体" w:cs="Times New Roman"/>
          <w:b/>
          <w:bCs/>
          <w:color w:val="000000" w:themeColor="text1"/>
          <w:sz w:val="21"/>
          <w:szCs w:val="21"/>
          <w:lang w:val="en-US" w:eastAsia="zh-CN"/>
        </w:rPr>
        <w:t xml:space="preserve">3 </w:t>
      </w:r>
      <w:r>
        <w:rPr>
          <w:rFonts w:hint="default" w:ascii="Times New Roman" w:hAnsi="Times New Roman" w:eastAsia="宋体" w:cs="Times New Roman"/>
          <w:b/>
          <w:bCs/>
          <w:color w:val="000000" w:themeColor="text1"/>
          <w:sz w:val="21"/>
          <w:szCs w:val="21"/>
        </w:rPr>
        <w:t xml:space="preserve"> 声环境质量标准         单位：dB(A)</w:t>
      </w:r>
    </w:p>
    <w:tbl>
      <w:tblPr>
        <w:tblStyle w:val="39"/>
        <w:tblW w:w="8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486"/>
        <w:gridCol w:w="1009"/>
        <w:gridCol w:w="1461"/>
        <w:gridCol w:w="1120"/>
        <w:gridCol w:w="1120"/>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67" w:hRule="atLeast"/>
          <w:tblHeader/>
          <w:jc w:val="center"/>
        </w:trPr>
        <w:tc>
          <w:tcPr>
            <w:tcW w:w="1401"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标准名称</w:t>
            </w:r>
          </w:p>
        </w:tc>
        <w:tc>
          <w:tcPr>
            <w:tcW w:w="1486"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标准号</w:t>
            </w:r>
          </w:p>
        </w:tc>
        <w:tc>
          <w:tcPr>
            <w:tcW w:w="1009"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执行标准</w:t>
            </w:r>
          </w:p>
        </w:tc>
        <w:tc>
          <w:tcPr>
            <w:tcW w:w="1461"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项目</w:t>
            </w:r>
          </w:p>
        </w:tc>
        <w:tc>
          <w:tcPr>
            <w:tcW w:w="3603" w:type="dxa"/>
            <w:gridSpan w:val="3"/>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7" w:hRule="atLeast"/>
          <w:tblHeader/>
          <w:jc w:val="center"/>
        </w:trPr>
        <w:tc>
          <w:tcPr>
            <w:tcW w:w="1401"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486"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009"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461"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120"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类别</w:t>
            </w:r>
          </w:p>
        </w:tc>
        <w:tc>
          <w:tcPr>
            <w:tcW w:w="1120"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限值</w:t>
            </w:r>
          </w:p>
        </w:tc>
        <w:tc>
          <w:tcPr>
            <w:tcW w:w="1363"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 w:hRule="atLeast"/>
          <w:jc w:val="center"/>
        </w:trPr>
        <w:tc>
          <w:tcPr>
            <w:tcW w:w="1401"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《声环境质量标准》</w:t>
            </w:r>
          </w:p>
        </w:tc>
        <w:tc>
          <w:tcPr>
            <w:tcW w:w="1486"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GB3096-2008</w:t>
            </w:r>
          </w:p>
        </w:tc>
        <w:tc>
          <w:tcPr>
            <w:tcW w:w="1009"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eastAsia" w:ascii="Times New Roman" w:hAnsi="Times New Roman" w:eastAsia="宋体" w:cs="Times New Roman"/>
                <w:bCs/>
                <w:color w:val="000000" w:themeColor="text1"/>
                <w:lang w:val="en-US" w:eastAsia="zh-CN"/>
              </w:rPr>
              <w:t>2</w:t>
            </w:r>
            <w:r>
              <w:rPr>
                <w:rFonts w:hint="default" w:ascii="Times New Roman" w:hAnsi="Times New Roman" w:eastAsia="宋体" w:cs="Times New Roman"/>
                <w:bCs/>
                <w:color w:val="000000" w:themeColor="text1"/>
              </w:rPr>
              <w:t>类</w:t>
            </w:r>
          </w:p>
        </w:tc>
        <w:tc>
          <w:tcPr>
            <w:tcW w:w="1461"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等效A声级</w:t>
            </w:r>
          </w:p>
        </w:tc>
        <w:tc>
          <w:tcPr>
            <w:tcW w:w="1120"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昼间</w:t>
            </w:r>
          </w:p>
        </w:tc>
        <w:tc>
          <w:tcPr>
            <w:tcW w:w="1120" w:type="dxa"/>
            <w:tcBorders>
              <w:tl2br w:val="nil"/>
              <w:tr2bl w:val="nil"/>
            </w:tcBorders>
            <w:vAlign w:val="center"/>
          </w:tcPr>
          <w:p>
            <w:pPr>
              <w:pStyle w:val="42"/>
              <w:rPr>
                <w:rFonts w:hint="eastAsia" w:ascii="Times New Roman" w:hAnsi="Times New Roman" w:eastAsia="宋体" w:cs="Times New Roman"/>
                <w:bCs/>
                <w:color w:val="000000" w:themeColor="text1"/>
                <w:lang w:val="en-US" w:eastAsia="zh-CN"/>
              </w:rPr>
            </w:pPr>
            <w:r>
              <w:rPr>
                <w:rFonts w:hint="eastAsia" w:ascii="Times New Roman" w:hAnsi="Times New Roman" w:eastAsia="宋体" w:cs="Times New Roman"/>
                <w:bCs/>
                <w:color w:val="000000" w:themeColor="text1"/>
                <w:lang w:val="en-US" w:eastAsia="zh-CN"/>
              </w:rPr>
              <w:t>60</w:t>
            </w:r>
          </w:p>
        </w:tc>
        <w:tc>
          <w:tcPr>
            <w:tcW w:w="1363" w:type="dxa"/>
            <w:vMerge w:val="restart"/>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1401"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486"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009"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461"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c>
          <w:tcPr>
            <w:tcW w:w="1120"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夜间</w:t>
            </w:r>
          </w:p>
        </w:tc>
        <w:tc>
          <w:tcPr>
            <w:tcW w:w="1120" w:type="dxa"/>
            <w:tcBorders>
              <w:tl2br w:val="nil"/>
              <w:tr2bl w:val="nil"/>
            </w:tcBorders>
            <w:vAlign w:val="center"/>
          </w:tcPr>
          <w:p>
            <w:pPr>
              <w:pStyle w:val="42"/>
              <w:rPr>
                <w:rFonts w:hint="eastAsia" w:ascii="Times New Roman" w:hAnsi="Times New Roman" w:eastAsia="宋体" w:cs="Times New Roman"/>
                <w:bCs/>
                <w:color w:val="000000" w:themeColor="text1"/>
                <w:lang w:val="en-US" w:eastAsia="zh-CN"/>
              </w:rPr>
            </w:pPr>
            <w:r>
              <w:rPr>
                <w:rFonts w:hint="eastAsia" w:ascii="Times New Roman" w:hAnsi="Times New Roman" w:eastAsia="宋体" w:cs="Times New Roman"/>
                <w:bCs/>
                <w:color w:val="000000" w:themeColor="text1"/>
                <w:lang w:val="en-US" w:eastAsia="zh-CN"/>
              </w:rPr>
              <w:t>50</w:t>
            </w:r>
          </w:p>
        </w:tc>
        <w:tc>
          <w:tcPr>
            <w:tcW w:w="1363" w:type="dxa"/>
            <w:vMerge w:val="continue"/>
            <w:tcBorders>
              <w:tl2br w:val="nil"/>
              <w:tr2bl w:val="nil"/>
            </w:tcBorders>
            <w:vAlign w:val="center"/>
          </w:tcPr>
          <w:p>
            <w:pPr>
              <w:pStyle w:val="42"/>
              <w:rPr>
                <w:rFonts w:hint="default" w:ascii="Times New Roman" w:hAnsi="Times New Roman" w:eastAsia="宋体" w:cs="Times New Roman"/>
                <w:bCs/>
                <w:color w:val="000000" w:themeColor="text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本项目属于工业区，应该满足《城市区域环境振动标准》（GB10070-88）标准，见表2.4-</w:t>
      </w:r>
      <w:r>
        <w:rPr>
          <w:rFonts w:hint="eastAsia"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rPr>
        <w:t>。</w:t>
      </w:r>
    </w:p>
    <w:p>
      <w:pPr>
        <w:ind w:firstLine="0" w:firstLineChars="0"/>
        <w:jc w:val="center"/>
        <w:rPr>
          <w:rFonts w:hint="default" w:ascii="Times New Roman" w:hAnsi="Times New Roman" w:eastAsia="宋体" w:cs="Times New Roman"/>
          <w:b/>
          <w:bCs/>
          <w:color w:val="000000" w:themeColor="text1"/>
          <w:sz w:val="21"/>
          <w:szCs w:val="21"/>
        </w:rPr>
      </w:pPr>
      <w:bookmarkStart w:id="136" w:name="_Toc10966"/>
      <w:r>
        <w:rPr>
          <w:rFonts w:ascii="Times New Roman" w:hAnsi="Times New Roman"/>
          <w:b/>
          <w:bCs w:val="0"/>
          <w:color w:val="000000" w:themeColor="text1"/>
          <w:kern w:val="28"/>
          <w:sz w:val="21"/>
          <w:szCs w:val="21"/>
        </w:rPr>
        <w:t>表2.4-</w:t>
      </w:r>
      <w:r>
        <w:rPr>
          <w:rFonts w:hint="eastAsia" w:ascii="Times New Roman" w:hAnsi="Times New Roman"/>
          <w:b/>
          <w:bCs w:val="0"/>
          <w:color w:val="000000" w:themeColor="text1"/>
          <w:kern w:val="28"/>
          <w:sz w:val="21"/>
          <w:szCs w:val="21"/>
          <w:lang w:val="en-US" w:eastAsia="zh-CN"/>
        </w:rPr>
        <w:t>4</w:t>
      </w:r>
      <w:r>
        <w:rPr>
          <w:rFonts w:ascii="Times New Roman" w:hAnsi="Times New Roman"/>
          <w:b/>
          <w:bCs w:val="0"/>
          <w:color w:val="000000" w:themeColor="text1"/>
          <w:kern w:val="28"/>
          <w:sz w:val="21"/>
          <w:szCs w:val="21"/>
        </w:rPr>
        <w:t xml:space="preserve"> 城市各类区域垂向Z振级标准值</w:t>
      </w:r>
      <w:bookmarkEnd w:id="136"/>
      <w:r>
        <w:rPr>
          <w:rFonts w:hint="eastAsia"/>
          <w:b/>
          <w:bCs w:val="0"/>
          <w:color w:val="000000" w:themeColor="text1"/>
          <w:kern w:val="28"/>
          <w:sz w:val="21"/>
          <w:szCs w:val="21"/>
          <w:lang w:val="en-US" w:eastAsia="zh-CN"/>
        </w:rPr>
        <w:t xml:space="preserve">  </w:t>
      </w:r>
      <w:r>
        <w:rPr>
          <w:rFonts w:hint="default" w:ascii="Times New Roman" w:hAnsi="Times New Roman" w:eastAsia="宋体" w:cs="Times New Roman"/>
          <w:b/>
          <w:bCs/>
          <w:color w:val="000000" w:themeColor="text1"/>
          <w:sz w:val="21"/>
          <w:szCs w:val="21"/>
        </w:rPr>
        <w:t>单位：dB(A)</w:t>
      </w:r>
    </w:p>
    <w:tbl>
      <w:tblPr>
        <w:tblStyle w:val="40"/>
        <w:tblW w:w="88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6"/>
        <w:gridCol w:w="2866"/>
        <w:gridCol w:w="3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2866" w:type="dxa"/>
            <w:tcBorders>
              <w:tl2br w:val="nil"/>
              <w:tr2bl w:val="nil"/>
            </w:tcBorders>
            <w:vAlign w:val="center"/>
          </w:tcPr>
          <w:p>
            <w:pPr>
              <w:keepNext/>
              <w:keepLines/>
              <w:pageBreakBefore w:val="0"/>
              <w:widowControl w:val="0"/>
              <w:numPr>
                <w:ilvl w:val="1"/>
                <w:numId w:val="0"/>
              </w:numPr>
              <w:kinsoku/>
              <w:wordWrap/>
              <w:overflowPunct/>
              <w:topLinePunct w:val="0"/>
              <w:autoSpaceDE/>
              <w:autoSpaceDN/>
              <w:bidi w:val="0"/>
              <w:adjustRightInd w:val="0"/>
              <w:snapToGrid w:val="0"/>
              <w:spacing w:before="0" w:beforeLines="0" w:after="0" w:line="240" w:lineRule="auto"/>
              <w:jc w:val="center"/>
              <w:textAlignment w:val="auto"/>
              <w:outlineLvl w:val="9"/>
              <w:rPr>
                <w:rFonts w:hint="default" w:ascii="Times New Roman" w:hAnsi="Times New Roman" w:eastAsia="宋体" w:cs="Times New Roman"/>
                <w:b w:val="0"/>
                <w:bCs w:val="0"/>
                <w:color w:val="000000" w:themeColor="text1"/>
                <w:kern w:val="28"/>
                <w:sz w:val="21"/>
                <w:szCs w:val="21"/>
              </w:rPr>
            </w:pPr>
            <w:bookmarkStart w:id="137" w:name="_Toc26070"/>
            <w:r>
              <w:rPr>
                <w:rFonts w:hint="default" w:ascii="Times New Roman" w:hAnsi="Times New Roman" w:eastAsia="宋体" w:cs="Times New Roman"/>
                <w:b w:val="0"/>
                <w:bCs w:val="0"/>
                <w:color w:val="000000" w:themeColor="text1"/>
                <w:kern w:val="28"/>
                <w:sz w:val="21"/>
                <w:szCs w:val="21"/>
              </w:rPr>
              <w:t>适用地带范围</w:t>
            </w:r>
            <w:bookmarkEnd w:id="137"/>
          </w:p>
        </w:tc>
        <w:tc>
          <w:tcPr>
            <w:tcW w:w="2866" w:type="dxa"/>
            <w:tcBorders>
              <w:tl2br w:val="nil"/>
              <w:tr2bl w:val="nil"/>
            </w:tcBorders>
            <w:vAlign w:val="center"/>
          </w:tcPr>
          <w:p>
            <w:pPr>
              <w:keepNext/>
              <w:keepLines/>
              <w:pageBreakBefore w:val="0"/>
              <w:widowControl w:val="0"/>
              <w:numPr>
                <w:ilvl w:val="1"/>
                <w:numId w:val="0"/>
              </w:numPr>
              <w:kinsoku/>
              <w:wordWrap/>
              <w:overflowPunct/>
              <w:topLinePunct w:val="0"/>
              <w:autoSpaceDE/>
              <w:autoSpaceDN/>
              <w:bidi w:val="0"/>
              <w:adjustRightInd w:val="0"/>
              <w:snapToGrid w:val="0"/>
              <w:spacing w:before="0" w:beforeLines="0" w:after="0" w:line="240" w:lineRule="auto"/>
              <w:jc w:val="center"/>
              <w:textAlignment w:val="auto"/>
              <w:outlineLvl w:val="9"/>
              <w:rPr>
                <w:rFonts w:hint="default" w:ascii="Times New Roman" w:hAnsi="Times New Roman" w:eastAsia="宋体" w:cs="Times New Roman"/>
                <w:b w:val="0"/>
                <w:bCs w:val="0"/>
                <w:color w:val="000000" w:themeColor="text1"/>
                <w:kern w:val="28"/>
                <w:sz w:val="21"/>
                <w:szCs w:val="21"/>
              </w:rPr>
            </w:pPr>
            <w:bookmarkStart w:id="138" w:name="_Toc14715"/>
            <w:r>
              <w:rPr>
                <w:rFonts w:hint="default" w:ascii="Times New Roman" w:hAnsi="Times New Roman" w:eastAsia="宋体" w:cs="Times New Roman"/>
                <w:b w:val="0"/>
                <w:bCs w:val="0"/>
                <w:color w:val="000000" w:themeColor="text1"/>
                <w:kern w:val="28"/>
                <w:sz w:val="21"/>
                <w:szCs w:val="21"/>
              </w:rPr>
              <w:t>昼间</w:t>
            </w:r>
            <w:bookmarkEnd w:id="138"/>
          </w:p>
        </w:tc>
        <w:tc>
          <w:tcPr>
            <w:tcW w:w="3130" w:type="dxa"/>
            <w:tcBorders>
              <w:tl2br w:val="nil"/>
              <w:tr2bl w:val="nil"/>
            </w:tcBorders>
            <w:vAlign w:val="center"/>
          </w:tcPr>
          <w:p>
            <w:pPr>
              <w:keepNext/>
              <w:keepLines/>
              <w:pageBreakBefore w:val="0"/>
              <w:widowControl w:val="0"/>
              <w:numPr>
                <w:ilvl w:val="1"/>
                <w:numId w:val="0"/>
              </w:numPr>
              <w:kinsoku/>
              <w:wordWrap/>
              <w:overflowPunct/>
              <w:topLinePunct w:val="0"/>
              <w:autoSpaceDE/>
              <w:autoSpaceDN/>
              <w:bidi w:val="0"/>
              <w:adjustRightInd w:val="0"/>
              <w:snapToGrid w:val="0"/>
              <w:spacing w:before="0" w:beforeLines="0" w:after="0" w:line="240" w:lineRule="auto"/>
              <w:jc w:val="center"/>
              <w:textAlignment w:val="auto"/>
              <w:outlineLvl w:val="9"/>
              <w:rPr>
                <w:rFonts w:hint="default" w:ascii="Times New Roman" w:hAnsi="Times New Roman" w:eastAsia="宋体" w:cs="Times New Roman"/>
                <w:b w:val="0"/>
                <w:bCs w:val="0"/>
                <w:color w:val="000000" w:themeColor="text1"/>
                <w:kern w:val="28"/>
                <w:sz w:val="21"/>
                <w:szCs w:val="21"/>
              </w:rPr>
            </w:pPr>
            <w:bookmarkStart w:id="139" w:name="_Toc7884"/>
            <w:r>
              <w:rPr>
                <w:rFonts w:hint="default" w:ascii="Times New Roman" w:hAnsi="Times New Roman" w:eastAsia="宋体" w:cs="Times New Roman"/>
                <w:b w:val="0"/>
                <w:bCs w:val="0"/>
                <w:color w:val="000000" w:themeColor="text1"/>
                <w:kern w:val="28"/>
                <w:sz w:val="21"/>
                <w:szCs w:val="21"/>
              </w:rPr>
              <w:t>夜间</w:t>
            </w:r>
            <w:bookmarkEnd w:id="1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866" w:type="dxa"/>
            <w:tcBorders>
              <w:tl2br w:val="nil"/>
              <w:tr2bl w:val="nil"/>
            </w:tcBorders>
            <w:vAlign w:val="center"/>
          </w:tcPr>
          <w:p>
            <w:pPr>
              <w:keepNext/>
              <w:keepLines/>
              <w:pageBreakBefore w:val="0"/>
              <w:widowControl w:val="0"/>
              <w:numPr>
                <w:ilvl w:val="1"/>
                <w:numId w:val="0"/>
              </w:numPr>
              <w:kinsoku/>
              <w:wordWrap/>
              <w:overflowPunct/>
              <w:topLinePunct w:val="0"/>
              <w:autoSpaceDE/>
              <w:autoSpaceDN/>
              <w:bidi w:val="0"/>
              <w:adjustRightInd w:val="0"/>
              <w:snapToGrid w:val="0"/>
              <w:spacing w:before="0" w:beforeLines="0" w:after="0" w:line="240" w:lineRule="auto"/>
              <w:jc w:val="center"/>
              <w:textAlignment w:val="auto"/>
              <w:outlineLvl w:val="9"/>
              <w:rPr>
                <w:rFonts w:hint="default" w:ascii="Times New Roman" w:hAnsi="Times New Roman" w:eastAsia="宋体" w:cs="Times New Roman"/>
                <w:b w:val="0"/>
                <w:bCs w:val="0"/>
                <w:color w:val="000000" w:themeColor="text1"/>
                <w:kern w:val="28"/>
                <w:sz w:val="21"/>
                <w:szCs w:val="21"/>
              </w:rPr>
            </w:pPr>
            <w:bookmarkStart w:id="140" w:name="_Toc17292"/>
            <w:r>
              <w:rPr>
                <w:rFonts w:hint="default" w:ascii="Times New Roman" w:hAnsi="Times New Roman" w:eastAsia="宋体" w:cs="Times New Roman"/>
                <w:b w:val="0"/>
                <w:bCs w:val="0"/>
                <w:color w:val="000000" w:themeColor="text1"/>
                <w:kern w:val="28"/>
                <w:sz w:val="21"/>
                <w:szCs w:val="21"/>
              </w:rPr>
              <w:t>工业集中区</w:t>
            </w:r>
            <w:bookmarkEnd w:id="140"/>
          </w:p>
        </w:tc>
        <w:tc>
          <w:tcPr>
            <w:tcW w:w="2866" w:type="dxa"/>
            <w:tcBorders>
              <w:tl2br w:val="nil"/>
              <w:tr2bl w:val="nil"/>
            </w:tcBorders>
            <w:vAlign w:val="center"/>
          </w:tcPr>
          <w:p>
            <w:pPr>
              <w:keepNext/>
              <w:keepLines/>
              <w:pageBreakBefore w:val="0"/>
              <w:widowControl w:val="0"/>
              <w:numPr>
                <w:ilvl w:val="1"/>
                <w:numId w:val="0"/>
              </w:numPr>
              <w:kinsoku/>
              <w:wordWrap/>
              <w:overflowPunct/>
              <w:topLinePunct w:val="0"/>
              <w:autoSpaceDE/>
              <w:autoSpaceDN/>
              <w:bidi w:val="0"/>
              <w:adjustRightInd w:val="0"/>
              <w:snapToGrid w:val="0"/>
              <w:spacing w:before="0" w:beforeLines="0" w:after="0" w:line="240" w:lineRule="auto"/>
              <w:jc w:val="center"/>
              <w:textAlignment w:val="auto"/>
              <w:outlineLvl w:val="9"/>
              <w:rPr>
                <w:rFonts w:hint="default" w:ascii="Times New Roman" w:hAnsi="Times New Roman" w:eastAsia="宋体" w:cs="Times New Roman"/>
                <w:b w:val="0"/>
                <w:bCs w:val="0"/>
                <w:color w:val="000000" w:themeColor="text1"/>
                <w:kern w:val="28"/>
                <w:sz w:val="21"/>
                <w:szCs w:val="21"/>
              </w:rPr>
            </w:pPr>
            <w:bookmarkStart w:id="141" w:name="_Toc14048"/>
            <w:r>
              <w:rPr>
                <w:rFonts w:hint="default" w:ascii="Times New Roman" w:hAnsi="Times New Roman" w:eastAsia="宋体" w:cs="Times New Roman"/>
                <w:b w:val="0"/>
                <w:bCs w:val="0"/>
                <w:color w:val="000000" w:themeColor="text1"/>
                <w:kern w:val="28"/>
                <w:sz w:val="21"/>
                <w:szCs w:val="21"/>
              </w:rPr>
              <w:t>75</w:t>
            </w:r>
            <w:bookmarkEnd w:id="141"/>
          </w:p>
        </w:tc>
        <w:tc>
          <w:tcPr>
            <w:tcW w:w="3130" w:type="dxa"/>
            <w:tcBorders>
              <w:tl2br w:val="nil"/>
              <w:tr2bl w:val="nil"/>
            </w:tcBorders>
            <w:vAlign w:val="center"/>
          </w:tcPr>
          <w:p>
            <w:pPr>
              <w:keepNext/>
              <w:keepLines/>
              <w:pageBreakBefore w:val="0"/>
              <w:widowControl w:val="0"/>
              <w:numPr>
                <w:ilvl w:val="1"/>
                <w:numId w:val="0"/>
              </w:numPr>
              <w:kinsoku/>
              <w:wordWrap/>
              <w:overflowPunct/>
              <w:topLinePunct w:val="0"/>
              <w:autoSpaceDE/>
              <w:autoSpaceDN/>
              <w:bidi w:val="0"/>
              <w:adjustRightInd w:val="0"/>
              <w:snapToGrid w:val="0"/>
              <w:spacing w:before="0" w:beforeLines="0" w:after="0" w:line="240" w:lineRule="auto"/>
              <w:jc w:val="center"/>
              <w:textAlignment w:val="auto"/>
              <w:outlineLvl w:val="9"/>
              <w:rPr>
                <w:rFonts w:hint="default" w:ascii="Times New Roman" w:hAnsi="Times New Roman" w:eastAsia="宋体" w:cs="Times New Roman"/>
                <w:b w:val="0"/>
                <w:bCs w:val="0"/>
                <w:color w:val="000000" w:themeColor="text1"/>
                <w:kern w:val="28"/>
                <w:sz w:val="21"/>
                <w:szCs w:val="21"/>
              </w:rPr>
            </w:pPr>
            <w:bookmarkStart w:id="142" w:name="_Toc22811"/>
            <w:r>
              <w:rPr>
                <w:rFonts w:hint="default" w:ascii="Times New Roman" w:hAnsi="Times New Roman" w:eastAsia="宋体" w:cs="Times New Roman"/>
                <w:b w:val="0"/>
                <w:bCs w:val="0"/>
                <w:color w:val="000000" w:themeColor="text1"/>
                <w:kern w:val="28"/>
                <w:sz w:val="21"/>
                <w:szCs w:val="21"/>
              </w:rPr>
              <w:t>72</w:t>
            </w:r>
            <w:bookmarkEnd w:id="142"/>
          </w:p>
        </w:tc>
      </w:tr>
    </w:tbl>
    <w:p>
      <w:pPr>
        <w:pStyle w:val="6"/>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4</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土壤环境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Theme="minorEastAsia"/>
          <w:color w:val="000000" w:themeColor="text1"/>
          <w:sz w:val="24"/>
          <w:szCs w:val="24"/>
          <w:lang w:val="en-US" w:eastAsia="zh-CN"/>
        </w:rPr>
      </w:pPr>
      <w:r>
        <w:rPr>
          <w:rFonts w:hint="default" w:ascii="Times New Roman" w:hAnsi="Times New Roman" w:eastAsia="宋体" w:cs="Times New Roman"/>
          <w:color w:val="000000" w:themeColor="text1"/>
          <w:sz w:val="24"/>
          <w:szCs w:val="24"/>
        </w:rPr>
        <w:t>土壤环境质量执行《土壤环境质量 建设用地土壤污染风险管控标准》（试行）（GB36600-2018）中第二类用地筛选值</w:t>
      </w:r>
      <w:r>
        <w:rPr>
          <w:rFonts w:hint="eastAsia" w:ascii="Times New Roman" w:hAnsi="Times New Roman" w:eastAsia="宋体" w:cs="Times New Roman"/>
          <w:color w:val="000000" w:themeColor="text1"/>
          <w:sz w:val="24"/>
          <w:szCs w:val="24"/>
          <w:lang w:eastAsia="zh-CN"/>
        </w:rPr>
        <w:t>。</w:t>
      </w:r>
    </w:p>
    <w:p>
      <w:pPr>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表2.4-</w:t>
      </w:r>
      <w:r>
        <w:rPr>
          <w:rFonts w:hint="eastAsia" w:ascii="Times New Roman" w:hAnsi="Times New Roman" w:eastAsia="宋体" w:cs="Times New Roman"/>
          <w:b/>
          <w:bCs/>
          <w:color w:val="000000" w:themeColor="text1"/>
          <w:sz w:val="21"/>
          <w:szCs w:val="21"/>
          <w:lang w:val="en-US" w:eastAsia="zh-CN"/>
        </w:rPr>
        <w:t>5</w:t>
      </w:r>
      <w:r>
        <w:rPr>
          <w:rFonts w:hint="default" w:ascii="Times New Roman" w:hAnsi="Times New Roman" w:eastAsia="宋体" w:cs="Times New Roman"/>
          <w:b/>
          <w:bCs/>
          <w:color w:val="000000" w:themeColor="text1"/>
          <w:sz w:val="21"/>
          <w:szCs w:val="21"/>
        </w:rPr>
        <w:t xml:space="preserve"> 建设用地土壤污染风险筛选值和管控值（基本项目）单位：mg/kg</w:t>
      </w:r>
    </w:p>
    <w:tbl>
      <w:tblPr>
        <w:tblStyle w:val="40"/>
        <w:tblW w:w="89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71"/>
        <w:gridCol w:w="1895"/>
        <w:gridCol w:w="1037"/>
        <w:gridCol w:w="1118"/>
        <w:gridCol w:w="963"/>
        <w:gridCol w:w="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序号</w:t>
            </w:r>
          </w:p>
        </w:tc>
        <w:tc>
          <w:tcPr>
            <w:tcW w:w="2271"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污染物项目</w:t>
            </w:r>
          </w:p>
        </w:tc>
        <w:tc>
          <w:tcPr>
            <w:tcW w:w="1895"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CAS编号</w:t>
            </w:r>
          </w:p>
        </w:tc>
        <w:tc>
          <w:tcPr>
            <w:tcW w:w="2155"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筛选值</w:t>
            </w:r>
          </w:p>
        </w:tc>
        <w:tc>
          <w:tcPr>
            <w:tcW w:w="1950"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2271"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895"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第一类用地</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第二类用地</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第一类用地</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7440-38-2</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w:t>
            </w:r>
            <w:r>
              <w:rPr>
                <w:rFonts w:hint="default" w:ascii="Times New Roman" w:hAnsi="Times New Roman" w:eastAsia="宋体" w:cs="Times New Roman"/>
                <w:bCs/>
                <w:color w:val="000000" w:themeColor="text1"/>
                <w:sz w:val="21"/>
                <w:szCs w:val="21"/>
                <w:vertAlign w:val="superscript"/>
              </w:rPr>
              <w:fldChar w:fldCharType="begin"/>
            </w:r>
            <w:r>
              <w:rPr>
                <w:rFonts w:hint="default" w:ascii="Times New Roman" w:hAnsi="Times New Roman" w:eastAsia="宋体" w:cs="Times New Roman"/>
                <w:bCs/>
                <w:color w:val="000000" w:themeColor="text1"/>
                <w:sz w:val="21"/>
                <w:szCs w:val="21"/>
                <w:vertAlign w:val="superscript"/>
              </w:rPr>
              <w:instrText xml:space="preserve"> = 1 \* GB3 \* MERGEFORMAT </w:instrText>
            </w:r>
            <w:r>
              <w:rPr>
                <w:rFonts w:hint="default" w:ascii="Times New Roman" w:hAnsi="Times New Roman" w:eastAsia="宋体" w:cs="Times New Roman"/>
                <w:bCs/>
                <w:color w:val="000000" w:themeColor="text1"/>
                <w:sz w:val="21"/>
                <w:szCs w:val="21"/>
                <w:vertAlign w:val="superscript"/>
              </w:rPr>
              <w:fldChar w:fldCharType="separate"/>
            </w:r>
            <w:r>
              <w:rPr>
                <w:rFonts w:hint="default" w:ascii="Times New Roman" w:hAnsi="Times New Roman" w:eastAsia="宋体" w:cs="Times New Roman"/>
                <w:bCs/>
                <w:color w:val="000000" w:themeColor="text1"/>
                <w:vertAlign w:val="superscript"/>
              </w:rPr>
              <w:t>①</w:t>
            </w:r>
            <w:r>
              <w:rPr>
                <w:rFonts w:hint="default" w:ascii="Times New Roman" w:hAnsi="Times New Roman" w:eastAsia="宋体" w:cs="Times New Roman"/>
                <w:bCs/>
                <w:color w:val="000000" w:themeColor="text1"/>
                <w:sz w:val="21"/>
                <w:szCs w:val="21"/>
                <w:vertAlign w:val="superscript"/>
              </w:rPr>
              <w:fldChar w:fldCharType="end"/>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60</w:t>
            </w:r>
            <w:r>
              <w:rPr>
                <w:rFonts w:hint="default" w:ascii="Times New Roman" w:hAnsi="Times New Roman" w:eastAsia="宋体" w:cs="Times New Roman"/>
                <w:bCs/>
                <w:color w:val="000000" w:themeColor="text1"/>
                <w:sz w:val="21"/>
                <w:szCs w:val="21"/>
                <w:vertAlign w:val="superscript"/>
              </w:rPr>
              <w:fldChar w:fldCharType="begin"/>
            </w:r>
            <w:r>
              <w:rPr>
                <w:rFonts w:hint="default" w:ascii="Times New Roman" w:hAnsi="Times New Roman" w:eastAsia="宋体" w:cs="Times New Roman"/>
                <w:bCs/>
                <w:color w:val="000000" w:themeColor="text1"/>
                <w:sz w:val="21"/>
                <w:szCs w:val="21"/>
                <w:vertAlign w:val="superscript"/>
              </w:rPr>
              <w:instrText xml:space="preserve"> = 1 \* GB3 \* MERGEFORMAT </w:instrText>
            </w:r>
            <w:r>
              <w:rPr>
                <w:rFonts w:hint="default" w:ascii="Times New Roman" w:hAnsi="Times New Roman" w:eastAsia="宋体" w:cs="Times New Roman"/>
                <w:bCs/>
                <w:color w:val="000000" w:themeColor="text1"/>
                <w:sz w:val="21"/>
                <w:szCs w:val="21"/>
                <w:vertAlign w:val="superscript"/>
              </w:rPr>
              <w:fldChar w:fldCharType="separate"/>
            </w:r>
            <w:r>
              <w:rPr>
                <w:rFonts w:hint="default" w:ascii="Times New Roman" w:hAnsi="Times New Roman" w:eastAsia="宋体" w:cs="Times New Roman"/>
                <w:bCs/>
                <w:color w:val="000000" w:themeColor="text1"/>
                <w:vertAlign w:val="superscript"/>
              </w:rPr>
              <w:t>①</w:t>
            </w:r>
            <w:r>
              <w:rPr>
                <w:rFonts w:hint="default" w:ascii="Times New Roman" w:hAnsi="Times New Roman" w:eastAsia="宋体" w:cs="Times New Roman"/>
                <w:bCs/>
                <w:color w:val="000000" w:themeColor="text1"/>
                <w:sz w:val="21"/>
                <w:szCs w:val="21"/>
                <w:vertAlign w:val="superscript"/>
              </w:rPr>
              <w:fldChar w:fldCharType="end"/>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镉</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7440-43-9</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47</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铬（六价）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18540-29-9</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5.7</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铜</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7440-50-8</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18000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8000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铅</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7439-92-1</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400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800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汞</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7439-97-6</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38</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33</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镍</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7440-02-0</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900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四氯化碳</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56-23-5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0.9</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2.8</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氯仿</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67-66-3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0.3</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0.9</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氯甲烷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74-87-3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37</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21</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1,1-二氯乙烷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75-34-3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1,2-二氯乙烷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107-06-2</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0.52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13</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1,1-二氯乙烯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75-35-4</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66</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14</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顺-1,2-二氯乙烯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156-59-2</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66</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596</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反-1,2-二氯乙烯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156-60-5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54</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31</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16</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二氯甲烷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75-09-2</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94</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616</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17</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1,2-二氯丙烷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78-87-5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18</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1,1,1,2-四氯乙烷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630-20-6</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2.6</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26</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19</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1,1,2,2-四氯乙烷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79-34-5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1.6</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6.8</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14</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四氯乙烯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127-18-4</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53</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34</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21</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1,1,1-三氯乙烷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71-55-6</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701</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840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840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22</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1,1,2-三氯乙烷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79-00-5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0.6</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2.8</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23</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三氯乙烯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79-01-6</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0.7</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2.8</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24</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1,2,3-三氯丙烷</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96-18-4</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25</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75-01-4</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0.12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0.43</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26</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71-43-2</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27</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氯苯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108-90-7</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68</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270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28</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1,2-二氯苯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95-50-1</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29</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1,4-二氯苯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106-46-7</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30</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乙苯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100-41-4</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28</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72</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31</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苯乙烯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100-42-5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32</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甲苯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108-88-3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1200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1200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33</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间二甲苯+对二甲苯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108-38-3，</w:t>
            </w:r>
          </w:p>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106-42-3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163</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570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34</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邻二甲苯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95-47-6</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222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640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640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35</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硝基苯</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98-95-3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34</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76</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190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36</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苯胺</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62-53-3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92</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260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211</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37</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2-氯酚</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95-57-8</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250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2256</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38</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苯并[a]蒽</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56-55-3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39</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苯并[a]芘</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50-32-8</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0.55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40</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苯并[b]荧蒽</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205-99-2</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41</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苯并[k]荧蒽</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207-08-9</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151</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42</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䓛</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218-01-9</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490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1293</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4900</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43</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二苯并[a,h]蒽</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53-70-3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0.55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44</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茚并[1,2,3-cd]芘</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193-39-5</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45</w:t>
            </w:r>
          </w:p>
        </w:tc>
        <w:tc>
          <w:tcPr>
            <w:tcW w:w="22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萘</w:t>
            </w:r>
          </w:p>
        </w:tc>
        <w:tc>
          <w:tcPr>
            <w:tcW w:w="189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91-20-3</w:t>
            </w:r>
          </w:p>
        </w:tc>
        <w:tc>
          <w:tcPr>
            <w:tcW w:w="10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70</w:t>
            </w:r>
          </w:p>
        </w:tc>
        <w:tc>
          <w:tcPr>
            <w:tcW w:w="96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255</w:t>
            </w:r>
          </w:p>
        </w:tc>
        <w:tc>
          <w:tcPr>
            <w:tcW w:w="98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6" w:type="dxa"/>
            <w:gridSpan w:val="7"/>
            <w:tcBorders>
              <w:tl2br w:val="nil"/>
              <w:tr2bl w:val="nil"/>
            </w:tcBorders>
            <w:vAlign w:val="center"/>
          </w:tcPr>
          <w:p>
            <w:pPr>
              <w:adjustRightInd w:val="0"/>
              <w:snapToGrid w:val="0"/>
              <w:spacing w:line="240" w:lineRule="auto"/>
              <w:ind w:firstLine="0" w:firstLineChars="0"/>
              <w:jc w:val="left"/>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注：</w:t>
            </w:r>
            <w:r>
              <w:rPr>
                <w:rFonts w:hint="default" w:ascii="Times New Roman" w:hAnsi="Times New Roman" w:eastAsia="宋体" w:cs="Times New Roman"/>
                <w:bCs/>
                <w:color w:val="000000" w:themeColor="text1"/>
                <w:sz w:val="21"/>
                <w:szCs w:val="21"/>
              </w:rPr>
              <w:fldChar w:fldCharType="begin"/>
            </w:r>
            <w:r>
              <w:rPr>
                <w:rFonts w:hint="default" w:ascii="Times New Roman" w:hAnsi="Times New Roman" w:eastAsia="宋体" w:cs="Times New Roman"/>
                <w:bCs/>
                <w:color w:val="000000" w:themeColor="text1"/>
                <w:sz w:val="21"/>
                <w:szCs w:val="21"/>
              </w:rPr>
              <w:instrText xml:space="preserve"> = 1 \* GB3 \* MERGEFORMAT </w:instrText>
            </w:r>
            <w:r>
              <w:rPr>
                <w:rFonts w:hint="default" w:ascii="Times New Roman" w:hAnsi="Times New Roman" w:eastAsia="宋体" w:cs="Times New Roman"/>
                <w:bCs/>
                <w:color w:val="000000" w:themeColor="text1"/>
                <w:sz w:val="21"/>
                <w:szCs w:val="21"/>
              </w:rPr>
              <w:fldChar w:fldCharType="separate"/>
            </w:r>
            <w:r>
              <w:rPr>
                <w:rFonts w:hint="default" w:ascii="Times New Roman" w:hAnsi="Times New Roman" w:eastAsia="宋体" w:cs="Times New Roman"/>
                <w:bCs/>
                <w:color w:val="000000" w:themeColor="text1"/>
                <w:sz w:val="21"/>
                <w:szCs w:val="21"/>
              </w:rPr>
              <w:t>①</w:t>
            </w:r>
            <w:r>
              <w:rPr>
                <w:rFonts w:hint="default" w:ascii="Times New Roman" w:hAnsi="Times New Roman" w:eastAsia="宋体" w:cs="Times New Roman"/>
                <w:bCs/>
                <w:color w:val="000000" w:themeColor="text1"/>
                <w:sz w:val="21"/>
                <w:szCs w:val="21"/>
              </w:rPr>
              <w:fldChar w:fldCharType="end"/>
            </w:r>
            <w:r>
              <w:rPr>
                <w:rFonts w:hint="default" w:ascii="Times New Roman" w:hAnsi="Times New Roman" w:eastAsia="宋体" w:cs="Times New Roman"/>
                <w:bCs/>
                <w:color w:val="000000" w:themeColor="text1"/>
                <w:sz w:val="21"/>
                <w:szCs w:val="21"/>
              </w:rPr>
              <w:t>具体地块土壤中污染检测含量超过筛选值，但等于或者低于土壤环境背景值（见3.6）水平的，不纳入污染地块管理。</w:t>
            </w:r>
          </w:p>
        </w:tc>
      </w:tr>
    </w:tbl>
    <w:p>
      <w:pPr>
        <w:pStyle w:val="5"/>
        <w:keepNext/>
        <w:keepLines/>
        <w:pageBreakBefore w:val="0"/>
        <w:widowControl w:val="0"/>
        <w:kinsoku/>
        <w:wordWrap/>
        <w:overflowPunct/>
        <w:topLinePunct w:val="0"/>
        <w:autoSpaceDE/>
        <w:autoSpaceDN/>
        <w:bidi w:val="0"/>
        <w:adjustRightInd w:val="0"/>
        <w:snapToGrid w:val="0"/>
        <w:spacing w:line="360" w:lineRule="auto"/>
        <w:ind w:left="0" w:firstLine="643" w:firstLineChars="200"/>
        <w:jc w:val="left"/>
        <w:textAlignment w:val="auto"/>
        <w:rPr>
          <w:rFonts w:hint="default" w:ascii="Times New Roman" w:hAnsi="Times New Roman" w:eastAsia="宋体" w:cs="Times New Roman"/>
          <w:color w:val="000000" w:themeColor="text1"/>
        </w:rPr>
      </w:pPr>
      <w:bookmarkStart w:id="143" w:name="_Toc26250"/>
      <w:bookmarkStart w:id="144" w:name="_Toc4025_WPSOffice_Level3"/>
      <w:r>
        <w:rPr>
          <w:rFonts w:hint="default" w:ascii="Times New Roman" w:hAnsi="Times New Roman" w:eastAsia="宋体" w:cs="Times New Roman"/>
          <w:color w:val="000000" w:themeColor="text1"/>
        </w:rPr>
        <w:t>污染物排放标准</w:t>
      </w:r>
      <w:bookmarkEnd w:id="133"/>
      <w:bookmarkEnd w:id="134"/>
      <w:bookmarkEnd w:id="135"/>
      <w:bookmarkEnd w:id="143"/>
      <w:bookmarkEnd w:id="144"/>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bCs/>
          <w:color w:val="000000" w:themeColor="text1"/>
          <w:sz w:val="24"/>
          <w:szCs w:val="24"/>
        </w:rPr>
        <w:t>施工期场界扬尘污染物排放执行《施工场界扬尘排放限值》（DB61/1078-2017）中的相关要求；运营期大气污染物排放执行《大气污染物综合排放标准》（GB16297-1996）</w:t>
      </w:r>
      <w:r>
        <w:rPr>
          <w:rFonts w:hint="default" w:ascii="Times New Roman" w:hAnsi="Times New Roman" w:eastAsia="宋体" w:cs="Times New Roman"/>
          <w:color w:val="000000" w:themeColor="text1"/>
          <w:sz w:val="24"/>
          <w:szCs w:val="24"/>
        </w:rPr>
        <w:t>表2中无组织排放限值，餐厅油烟排放执行《饮食业油烟排放标准》（试行）（GB18483-2001）中相关规定。见表2.4-</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FF0000"/>
          <w:sz w:val="24"/>
          <w:szCs w:val="24"/>
          <w:lang w:eastAsia="zh-CN"/>
        </w:rPr>
        <w:t>非道路移动机械执行《非道路移动机械用柴油机排气污染物排放限值及测量方法（中国第三、四阶段）》（</w:t>
      </w:r>
      <w:r>
        <w:rPr>
          <w:rFonts w:hint="eastAsia" w:ascii="Times New Roman" w:hAnsi="Times New Roman" w:eastAsia="宋体" w:cs="Times New Roman"/>
          <w:color w:val="FF0000"/>
          <w:sz w:val="24"/>
          <w:szCs w:val="24"/>
          <w:lang w:val="en-US" w:eastAsia="zh-CN"/>
        </w:rPr>
        <w:t>GB20891-2014</w:t>
      </w:r>
      <w:r>
        <w:rPr>
          <w:rFonts w:hint="eastAsia" w:ascii="Times New Roman" w:hAnsi="Times New Roman" w:eastAsia="宋体" w:cs="Times New Roman"/>
          <w:color w:val="FF0000"/>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表2.4-</w:t>
      </w:r>
      <w:r>
        <w:rPr>
          <w:rFonts w:hint="eastAsia" w:ascii="Times New Roman" w:hAnsi="Times New Roman" w:eastAsia="宋体" w:cs="Times New Roman"/>
          <w:b/>
          <w:bCs w:val="0"/>
          <w:color w:val="000000" w:themeColor="text1"/>
          <w:sz w:val="21"/>
          <w:szCs w:val="21"/>
          <w:lang w:val="en-US" w:eastAsia="zh-CN"/>
        </w:rPr>
        <w:t>6</w:t>
      </w:r>
      <w:r>
        <w:rPr>
          <w:rFonts w:hint="default" w:ascii="Times New Roman" w:hAnsi="Times New Roman" w:eastAsia="宋体" w:cs="Times New Roman"/>
          <w:b/>
          <w:bCs w:val="0"/>
          <w:color w:val="000000" w:themeColor="text1"/>
          <w:sz w:val="21"/>
          <w:szCs w:val="21"/>
        </w:rPr>
        <w:t xml:space="preserve">  大气污染物排放标准限值</w:t>
      </w:r>
    </w:p>
    <w:tbl>
      <w:tblPr>
        <w:tblStyle w:val="39"/>
        <w:tblW w:w="898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
      <w:tblGrid>
        <w:gridCol w:w="776"/>
        <w:gridCol w:w="1200"/>
        <w:gridCol w:w="2004"/>
        <w:gridCol w:w="1882"/>
        <w:gridCol w:w="1009"/>
        <w:gridCol w:w="1050"/>
        <w:gridCol w:w="1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318" w:hRule="atLeast"/>
          <w:jc w:val="center"/>
        </w:trPr>
        <w:tc>
          <w:tcPr>
            <w:tcW w:w="77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运行时期</w:t>
            </w:r>
          </w:p>
        </w:tc>
        <w:tc>
          <w:tcPr>
            <w:tcW w:w="1200"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污染</w:t>
            </w:r>
          </w:p>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类型</w:t>
            </w:r>
          </w:p>
        </w:tc>
        <w:tc>
          <w:tcPr>
            <w:tcW w:w="2004"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标准名称</w:t>
            </w:r>
          </w:p>
        </w:tc>
        <w:tc>
          <w:tcPr>
            <w:tcW w:w="1882"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级(类)别</w:t>
            </w:r>
          </w:p>
        </w:tc>
        <w:tc>
          <w:tcPr>
            <w:tcW w:w="100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污染因子</w:t>
            </w:r>
          </w:p>
        </w:tc>
        <w:tc>
          <w:tcPr>
            <w:tcW w:w="2114" w:type="dxa"/>
            <w:gridSpan w:val="2"/>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354" w:hRule="atLeast"/>
          <w:jc w:val="center"/>
        </w:trPr>
        <w:tc>
          <w:tcPr>
            <w:tcW w:w="77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200"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2004"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882"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00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05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单位</w:t>
            </w:r>
          </w:p>
        </w:tc>
        <w:tc>
          <w:tcPr>
            <w:tcW w:w="106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431" w:hRule="atLeast"/>
          <w:jc w:val="center"/>
        </w:trPr>
        <w:tc>
          <w:tcPr>
            <w:tcW w:w="77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施工期</w:t>
            </w:r>
          </w:p>
        </w:tc>
        <w:tc>
          <w:tcPr>
            <w:tcW w:w="1200"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施工扬尘</w:t>
            </w:r>
          </w:p>
        </w:tc>
        <w:tc>
          <w:tcPr>
            <w:tcW w:w="2004"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《施工场界扬尘排放限值》</w:t>
            </w:r>
          </w:p>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eastAsia="zh-CN"/>
              </w:rPr>
              <w:t>（</w:t>
            </w:r>
            <w:r>
              <w:rPr>
                <w:rFonts w:hint="default" w:ascii="Times New Roman" w:hAnsi="Times New Roman" w:eastAsia="宋体" w:cs="Times New Roman"/>
                <w:color w:val="000000" w:themeColor="text1"/>
                <w:szCs w:val="21"/>
              </w:rPr>
              <w:t>DB61/1078-2017</w:t>
            </w:r>
            <w:r>
              <w:rPr>
                <w:rFonts w:hint="eastAsia" w:ascii="Times New Roman" w:hAnsi="Times New Roman" w:eastAsia="宋体" w:cs="Times New Roman"/>
                <w:color w:val="000000" w:themeColor="text1"/>
                <w:szCs w:val="21"/>
                <w:lang w:eastAsia="zh-CN"/>
              </w:rPr>
              <w:t>）</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土方工程</w:t>
            </w:r>
          </w:p>
        </w:tc>
        <w:tc>
          <w:tcPr>
            <w:tcW w:w="1009"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TSP</w:t>
            </w: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395" w:hRule="atLeast"/>
          <w:jc w:val="center"/>
        </w:trPr>
        <w:tc>
          <w:tcPr>
            <w:tcW w:w="77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200"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2004"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主体及装饰</w:t>
            </w:r>
          </w:p>
        </w:tc>
        <w:tc>
          <w:tcPr>
            <w:tcW w:w="1009"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TSP</w:t>
            </w: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395" w:hRule="atLeast"/>
          <w:jc w:val="center"/>
        </w:trPr>
        <w:tc>
          <w:tcPr>
            <w:tcW w:w="77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200"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餐饮油烟</w:t>
            </w:r>
          </w:p>
        </w:tc>
        <w:tc>
          <w:tcPr>
            <w:tcW w:w="2004"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Cs/>
                <w:color w:val="000000" w:themeColor="text1"/>
                <w:szCs w:val="21"/>
              </w:rPr>
            </w:pPr>
            <w:r>
              <w:rPr>
                <w:rFonts w:hint="default" w:ascii="Times New Roman" w:hAnsi="Times New Roman" w:eastAsia="宋体" w:cs="Times New Roman"/>
                <w:color w:val="000000" w:themeColor="text1"/>
                <w:szCs w:val="21"/>
              </w:rPr>
              <w:t>《饮食业油烟排放标准》（试行）</w:t>
            </w:r>
          </w:p>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eastAsia="zh-CN"/>
              </w:rPr>
              <w:t>（</w:t>
            </w:r>
            <w:r>
              <w:rPr>
                <w:rFonts w:hint="default" w:ascii="Times New Roman" w:hAnsi="Times New Roman" w:eastAsia="宋体" w:cs="Times New Roman"/>
                <w:color w:val="000000" w:themeColor="text1"/>
                <w:szCs w:val="21"/>
              </w:rPr>
              <w:t>GB18483-2001</w:t>
            </w:r>
            <w:r>
              <w:rPr>
                <w:rFonts w:hint="eastAsia" w:ascii="Times New Roman" w:hAnsi="Times New Roman" w:eastAsia="宋体" w:cs="Times New Roman"/>
                <w:color w:val="000000" w:themeColor="text1"/>
                <w:szCs w:val="21"/>
                <w:lang w:eastAsia="zh-CN"/>
              </w:rPr>
              <w:t>）</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允许排放浓度</w:t>
            </w:r>
          </w:p>
        </w:tc>
        <w:tc>
          <w:tcPr>
            <w:tcW w:w="1009" w:type="dxa"/>
            <w:vMerge w:val="restart"/>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油烟</w:t>
            </w: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395" w:hRule="atLeast"/>
          <w:jc w:val="center"/>
        </w:trPr>
        <w:tc>
          <w:tcPr>
            <w:tcW w:w="77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200"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Cs w:val="21"/>
                <w:lang w:val="en-US" w:eastAsia="zh-CN"/>
              </w:rPr>
            </w:pPr>
          </w:p>
        </w:tc>
        <w:tc>
          <w:tcPr>
            <w:tcW w:w="2004"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Cs w:val="21"/>
                <w:lang w:eastAsia="zh-CN"/>
              </w:rPr>
            </w:pP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净化设施最低去除效率（小型）</w:t>
            </w:r>
          </w:p>
        </w:tc>
        <w:tc>
          <w:tcPr>
            <w:tcW w:w="1009" w:type="dxa"/>
            <w:vMerge w:val="continue"/>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563" w:hRule="atLeast"/>
          <w:jc w:val="center"/>
        </w:trPr>
        <w:tc>
          <w:tcPr>
            <w:tcW w:w="77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运行期</w:t>
            </w:r>
          </w:p>
        </w:tc>
        <w:tc>
          <w:tcPr>
            <w:tcW w:w="120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井下污风</w:t>
            </w: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矿</w:t>
            </w:r>
            <w:r>
              <w:rPr>
                <w:rFonts w:hint="default" w:ascii="Times New Roman" w:hAnsi="Times New Roman" w:eastAsia="宋体" w:cs="Times New Roman"/>
                <w:color w:val="000000" w:themeColor="text1"/>
                <w:szCs w:val="21"/>
              </w:rPr>
              <w:t>石堆</w:t>
            </w:r>
            <w:r>
              <w:rPr>
                <w:rFonts w:hint="eastAsia" w:ascii="Times New Roman" w:hAnsi="Times New Roman" w:eastAsia="宋体" w:cs="Times New Roman"/>
                <w:color w:val="000000" w:themeColor="text1"/>
                <w:szCs w:val="21"/>
                <w:lang w:val="en-US" w:eastAsia="zh-CN"/>
              </w:rPr>
              <w:t>场</w:t>
            </w:r>
            <w:r>
              <w:rPr>
                <w:rFonts w:hint="default" w:ascii="Times New Roman" w:hAnsi="Times New Roman" w:eastAsia="宋体" w:cs="Times New Roman"/>
                <w:color w:val="000000" w:themeColor="text1"/>
                <w:szCs w:val="21"/>
              </w:rPr>
              <w:t>扬尘</w:t>
            </w:r>
            <w:r>
              <w:rPr>
                <w:rFonts w:hint="eastAsia" w:ascii="Times New Roman" w:hAnsi="Times New Roman" w:eastAsia="宋体" w:cs="Times New Roman"/>
                <w:color w:val="000000" w:themeColor="text1"/>
                <w:szCs w:val="21"/>
                <w:lang w:val="en-US" w:eastAsia="zh-CN"/>
              </w:rPr>
              <w:t>等</w:t>
            </w:r>
          </w:p>
        </w:tc>
        <w:tc>
          <w:tcPr>
            <w:tcW w:w="200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default" w:ascii="Times New Roman" w:hAnsi="Times New Roman" w:eastAsia="宋体" w:cs="Times New Roman"/>
                <w:bCs/>
                <w:color w:val="000000" w:themeColor="text1"/>
                <w:szCs w:val="21"/>
              </w:rPr>
              <w:t>《大气污染物综合排放标准》</w:t>
            </w:r>
          </w:p>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r>
              <w:rPr>
                <w:rFonts w:hint="eastAsia" w:ascii="Times New Roman" w:hAnsi="Times New Roman" w:eastAsia="宋体" w:cs="Times New Roman"/>
                <w:bCs/>
                <w:color w:val="000000" w:themeColor="text1"/>
                <w:szCs w:val="21"/>
                <w:lang w:eastAsia="zh-CN"/>
              </w:rPr>
              <w:t>（</w:t>
            </w:r>
            <w:r>
              <w:rPr>
                <w:rFonts w:hint="default" w:ascii="Times New Roman" w:hAnsi="Times New Roman" w:eastAsia="宋体" w:cs="Times New Roman"/>
                <w:bCs/>
                <w:color w:val="000000" w:themeColor="text1"/>
                <w:szCs w:val="21"/>
              </w:rPr>
              <w:t>GB16297-1996</w:t>
            </w:r>
            <w:r>
              <w:rPr>
                <w:rFonts w:hint="eastAsia" w:ascii="Times New Roman" w:hAnsi="Times New Roman" w:eastAsia="宋体" w:cs="Times New Roman"/>
                <w:bCs/>
                <w:color w:val="000000" w:themeColor="text1"/>
                <w:szCs w:val="21"/>
                <w:lang w:eastAsia="zh-CN"/>
              </w:rPr>
              <w:t>）</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周界外浓度</w:t>
            </w:r>
          </w:p>
        </w:tc>
        <w:tc>
          <w:tcPr>
            <w:tcW w:w="1009"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TSP</w:t>
            </w: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425" w:hRule="atLeast"/>
          <w:jc w:val="center"/>
        </w:trPr>
        <w:tc>
          <w:tcPr>
            <w:tcW w:w="77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200"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餐饮油烟</w:t>
            </w:r>
          </w:p>
        </w:tc>
        <w:tc>
          <w:tcPr>
            <w:tcW w:w="2004"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Cs/>
                <w:color w:val="000000" w:themeColor="text1"/>
                <w:szCs w:val="21"/>
              </w:rPr>
            </w:pPr>
            <w:r>
              <w:rPr>
                <w:rFonts w:hint="default" w:ascii="Times New Roman" w:hAnsi="Times New Roman" w:eastAsia="宋体" w:cs="Times New Roman"/>
                <w:color w:val="000000" w:themeColor="text1"/>
                <w:szCs w:val="21"/>
              </w:rPr>
              <w:t>《饮食业油烟排放标准》（试行）</w:t>
            </w:r>
          </w:p>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Cs/>
                <w:color w:val="000000" w:themeColor="text1"/>
                <w:szCs w:val="21"/>
              </w:rPr>
            </w:pPr>
            <w:r>
              <w:rPr>
                <w:rFonts w:hint="eastAsia" w:ascii="Times New Roman" w:hAnsi="Times New Roman" w:eastAsia="宋体" w:cs="Times New Roman"/>
                <w:color w:val="000000" w:themeColor="text1"/>
                <w:szCs w:val="21"/>
                <w:lang w:eastAsia="zh-CN"/>
              </w:rPr>
              <w:t>（</w:t>
            </w:r>
            <w:r>
              <w:rPr>
                <w:rFonts w:hint="default" w:ascii="Times New Roman" w:hAnsi="Times New Roman" w:eastAsia="宋体" w:cs="Times New Roman"/>
                <w:color w:val="000000" w:themeColor="text1"/>
                <w:szCs w:val="21"/>
              </w:rPr>
              <w:t>GB18483-2001</w:t>
            </w:r>
            <w:r>
              <w:rPr>
                <w:rFonts w:hint="eastAsia" w:ascii="Times New Roman" w:hAnsi="Times New Roman" w:eastAsia="宋体" w:cs="Times New Roman"/>
                <w:color w:val="000000" w:themeColor="text1"/>
                <w:szCs w:val="21"/>
                <w:lang w:eastAsia="zh-CN"/>
              </w:rPr>
              <w:t>）</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允许排放浓度</w:t>
            </w:r>
          </w:p>
        </w:tc>
        <w:tc>
          <w:tcPr>
            <w:tcW w:w="1009" w:type="dxa"/>
            <w:vMerge w:val="restart"/>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Ex>
        <w:trPr>
          <w:cantSplit/>
          <w:trHeight w:val="621" w:hRule="atLeast"/>
          <w:jc w:val="center"/>
        </w:trPr>
        <w:tc>
          <w:tcPr>
            <w:tcW w:w="77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200"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2004"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Cs w:val="21"/>
              </w:rPr>
            </w:pP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净化设施最低去除效率（小型）</w:t>
            </w:r>
          </w:p>
        </w:tc>
        <w:tc>
          <w:tcPr>
            <w:tcW w:w="1009" w:type="dxa"/>
            <w:vMerge w:val="continue"/>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050" w:type="dxa"/>
            <w:tcBorders>
              <w:tl2br w:val="nil"/>
              <w:tr2bl w:val="nil"/>
            </w:tcBorders>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r>
    </w:tbl>
    <w:p>
      <w:pPr>
        <w:pStyle w:val="121"/>
        <w:keepNext w:val="0"/>
        <w:keepLines w:val="0"/>
        <w:pageBreakBefore w:val="0"/>
        <w:widowControl w:val="0"/>
        <w:kinsoku/>
        <w:wordWrap/>
        <w:overflowPunct w:val="0"/>
        <w:topLinePunct w:val="0"/>
        <w:autoSpaceDE/>
        <w:autoSpaceDN/>
        <w:bidi w:val="0"/>
        <w:adjustRightInd w:val="0"/>
        <w:snapToGrid w:val="0"/>
        <w:spacing w:after="48" w:afterLines="20" w:line="480" w:lineRule="exact"/>
        <w:jc w:val="center"/>
        <w:textAlignment w:val="auto"/>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rPr>
        <w:t>表</w:t>
      </w:r>
      <w:r>
        <w:rPr>
          <w:rFonts w:hint="default" w:ascii="Times New Roman" w:hAnsi="Times New Roman" w:eastAsia="宋体" w:cs="Times New Roman"/>
          <w:color w:val="FF0000"/>
          <w:highlight w:val="none"/>
        </w:rPr>
        <w:t>2.</w:t>
      </w:r>
      <w:r>
        <w:rPr>
          <w:rFonts w:hint="default" w:ascii="Times New Roman" w:hAnsi="Times New Roman" w:eastAsia="宋体" w:cs="Times New Roman"/>
          <w:color w:val="FF0000"/>
          <w:highlight w:val="none"/>
          <w:lang w:val="en-US" w:eastAsia="zh-CN"/>
        </w:rPr>
        <w:t>4</w:t>
      </w:r>
      <w:r>
        <w:rPr>
          <w:rFonts w:hint="eastAsia" w:ascii="Times New Roman" w:hAnsi="Times New Roman" w:eastAsia="宋体" w:cs="Times New Roman"/>
          <w:color w:val="FF0000"/>
          <w:highlight w:val="none"/>
          <w:lang w:val="en-US" w:eastAsia="zh-CN"/>
        </w:rPr>
        <w:t>-7</w:t>
      </w:r>
      <w:r>
        <w:rPr>
          <w:rFonts w:hint="default" w:ascii="Times New Roman" w:hAnsi="Times New Roman" w:eastAsia="宋体" w:cs="Times New Roman"/>
          <w:color w:val="FF0000"/>
          <w:highlight w:val="none"/>
        </w:rPr>
        <w:t xml:space="preserve"> </w:t>
      </w:r>
      <w:r>
        <w:rPr>
          <w:rFonts w:hint="eastAsia" w:ascii="Times New Roman" w:hAnsi="Times New Roman" w:eastAsia="宋体" w:cs="Times New Roman"/>
          <w:color w:val="FF0000"/>
          <w:highlight w:val="none"/>
          <w:lang w:val="en-US" w:eastAsia="zh-CN"/>
        </w:rPr>
        <w:t xml:space="preserve">  </w:t>
      </w:r>
      <w:r>
        <w:rPr>
          <w:rFonts w:hint="eastAsia" w:ascii="Times New Roman" w:hAnsi="Times New Roman" w:eastAsia="宋体" w:cs="Times New Roman"/>
          <w:color w:val="FF0000"/>
          <w:highlight w:val="none"/>
        </w:rPr>
        <w:t>非道路移动机械用柴油机排气污染物排放限值一览表</w:t>
      </w:r>
    </w:p>
    <w:tbl>
      <w:tblPr>
        <w:tblStyle w:val="39"/>
        <w:tblW w:w="89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39"/>
        <w:gridCol w:w="1241"/>
        <w:gridCol w:w="1029"/>
        <w:gridCol w:w="1030"/>
        <w:gridCol w:w="1029"/>
        <w:gridCol w:w="1089"/>
        <w:gridCol w:w="1030"/>
        <w:gridCol w:w="818"/>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39" w:hRule="atLeast"/>
          <w:jc w:val="center"/>
        </w:trPr>
        <w:tc>
          <w:tcPr>
            <w:tcW w:w="63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阶</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段</w:t>
            </w: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额定净功</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w:t>
            </w:r>
            <w:r>
              <w:rPr>
                <w:rFonts w:ascii="Times New Roman" w:hAnsi="Times New Roman"/>
                <w:snapToGrid w:val="0"/>
                <w:color w:val="FF0000"/>
                <w:sz w:val="21"/>
                <w:szCs w:val="21"/>
                <w:vertAlign w:val="subscript"/>
              </w:rPr>
              <w:t>max</w:t>
            </w:r>
            <w:r>
              <w:rPr>
                <w:rFonts w:hint="eastAsia" w:ascii="Times New Roman" w:hAnsi="Times New Roman"/>
                <w:snapToGrid w:val="0"/>
                <w:color w:val="FF0000"/>
                <w:sz w:val="21"/>
                <w:szCs w:val="21"/>
              </w:rPr>
              <w:t>）</w:t>
            </w:r>
            <w:r>
              <w:rPr>
                <w:rFonts w:ascii="Times New Roman" w:hAnsi="Times New Roman"/>
                <w:snapToGrid w:val="0"/>
                <w:color w:val="FF0000"/>
                <w:sz w:val="21"/>
                <w:szCs w:val="21"/>
              </w:rPr>
              <w:t>kW</w:t>
            </w:r>
          </w:p>
        </w:tc>
        <w:tc>
          <w:tcPr>
            <w:tcW w:w="1029" w:type="dxa"/>
            <w:tcBorders>
              <w:tl2br w:val="nil"/>
              <w:tr2bl w:val="nil"/>
            </w:tcBorders>
            <w:noWrap w:val="0"/>
            <w:vAlign w:val="center"/>
          </w:tcPr>
          <w:p>
            <w:pPr>
              <w:pStyle w:val="127"/>
              <w:tabs>
                <w:tab w:val="left" w:pos="472"/>
              </w:tabs>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CO</w:t>
            </w:r>
          </w:p>
          <w:p>
            <w:pPr>
              <w:pStyle w:val="127"/>
              <w:kinsoku w:val="0"/>
              <w:overflowPunct w:val="0"/>
              <w:adjustRightInd w:val="0"/>
              <w:snapToGrid w:val="0"/>
              <w:spacing w:line="240" w:lineRule="atLeast"/>
              <w:jc w:val="center"/>
              <w:rPr>
                <w:rFonts w:ascii="Times New Roman" w:hAnsi="Times New Roman"/>
                <w:snapToGrid w:val="0"/>
                <w:color w:val="FF0000"/>
                <w:spacing w:val="-6"/>
                <w:sz w:val="21"/>
                <w:szCs w:val="21"/>
              </w:rPr>
            </w:pPr>
            <w:r>
              <w:rPr>
                <w:rFonts w:ascii="Times New Roman" w:hAnsi="Times New Roman"/>
                <w:snapToGrid w:val="0"/>
                <w:color w:val="FF0000"/>
                <w:spacing w:val="-6"/>
                <w:sz w:val="21"/>
                <w:szCs w:val="21"/>
              </w:rPr>
              <w:t>（g/kW·h）</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HC</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pacing w:val="-6"/>
                <w:sz w:val="21"/>
                <w:szCs w:val="21"/>
              </w:rPr>
              <w:t>（g/kW·h）</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NOx</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pacing w:val="-6"/>
                <w:sz w:val="21"/>
                <w:szCs w:val="21"/>
              </w:rPr>
              <w:t>（g/kW·h）</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HC+ NOx</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（g/kW·h）</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PM</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pacing w:val="-6"/>
                <w:sz w:val="21"/>
                <w:szCs w:val="21"/>
              </w:rPr>
              <w:t>（g/kW·h）</w:t>
            </w:r>
          </w:p>
        </w:tc>
        <w:tc>
          <w:tcPr>
            <w:tcW w:w="818"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NH</w:t>
            </w:r>
            <w:r>
              <w:rPr>
                <w:rFonts w:ascii="Times New Roman" w:hAnsi="Times New Roman"/>
                <w:snapToGrid w:val="0"/>
                <w:color w:val="FF0000"/>
                <w:sz w:val="21"/>
                <w:szCs w:val="21"/>
                <w:vertAlign w:val="subscript"/>
              </w:rPr>
              <w:t>3</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（ppm）</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PN</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（#/kW·h）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639" w:type="dxa"/>
            <w:vMerge w:val="restart"/>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第</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三阶</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段</w:t>
            </w: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＞560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6.4</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0.20</w:t>
            </w:r>
          </w:p>
        </w:tc>
        <w:tc>
          <w:tcPr>
            <w:tcW w:w="818"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130≤P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≤560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4.0</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0.20</w:t>
            </w:r>
          </w:p>
        </w:tc>
        <w:tc>
          <w:tcPr>
            <w:tcW w:w="818"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89"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75≤P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＜130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5.0</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4.0</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0.30</w:t>
            </w:r>
          </w:p>
        </w:tc>
        <w:tc>
          <w:tcPr>
            <w:tcW w:w="818"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37≤P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＜75</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5.0</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4.7</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0.40</w:t>
            </w:r>
          </w:p>
        </w:tc>
        <w:tc>
          <w:tcPr>
            <w:tcW w:w="818"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＜37</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7.5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0.60</w:t>
            </w:r>
          </w:p>
        </w:tc>
        <w:tc>
          <w:tcPr>
            <w:tcW w:w="818"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639" w:type="dxa"/>
            <w:vMerge w:val="restart"/>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第</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四阶</w:t>
            </w:r>
          </w:p>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段</w:t>
            </w: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＞560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0.40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3.5，0.67</w:t>
            </w:r>
            <w:r>
              <w:rPr>
                <w:rFonts w:ascii="Times New Roman" w:hAnsi="Times New Roman"/>
                <w:snapToGrid w:val="0"/>
                <w:color w:val="FF0000"/>
                <w:sz w:val="21"/>
                <w:szCs w:val="21"/>
                <w:vertAlign w:val="superscript"/>
              </w:rPr>
              <w:t>a</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0.10</w:t>
            </w:r>
          </w:p>
        </w:tc>
        <w:tc>
          <w:tcPr>
            <w:tcW w:w="818" w:type="dxa"/>
            <w:vMerge w:val="restart"/>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25</w:t>
            </w:r>
            <w:r>
              <w:rPr>
                <w:rFonts w:ascii="Times New Roman" w:hAnsi="Times New Roman"/>
                <w:snapToGrid w:val="0"/>
                <w:color w:val="FF0000"/>
                <w:sz w:val="21"/>
                <w:szCs w:val="21"/>
                <w:vertAlign w:val="superscript"/>
              </w:rPr>
              <w:t>b</w:t>
            </w: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130≤P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≤560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0.19</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2.0</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0.025</w:t>
            </w:r>
          </w:p>
        </w:tc>
        <w:tc>
          <w:tcPr>
            <w:tcW w:w="818"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081" w:type="dxa"/>
            <w:vMerge w:val="restart"/>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89"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56≤P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＜130</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5.0</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0.19</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3.3</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0.025</w:t>
            </w:r>
          </w:p>
        </w:tc>
        <w:tc>
          <w:tcPr>
            <w:tcW w:w="818"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081"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37≤P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＜56</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5.0</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4.7</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0.025</w:t>
            </w:r>
          </w:p>
        </w:tc>
        <w:tc>
          <w:tcPr>
            <w:tcW w:w="818"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081"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639"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24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＜37</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5.5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2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c>
          <w:tcPr>
            <w:tcW w:w="1089"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7.5</w:t>
            </w:r>
          </w:p>
        </w:tc>
        <w:tc>
          <w:tcPr>
            <w:tcW w:w="1030"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0.60</w:t>
            </w:r>
          </w:p>
        </w:tc>
        <w:tc>
          <w:tcPr>
            <w:tcW w:w="818" w:type="dxa"/>
            <w:vMerge w:val="continue"/>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p>
        </w:tc>
        <w:tc>
          <w:tcPr>
            <w:tcW w:w="1081" w:type="dxa"/>
            <w:tcBorders>
              <w:tl2br w:val="nil"/>
              <w:tr2bl w:val="nil"/>
            </w:tcBorders>
            <w:noWrap w:val="0"/>
            <w:vAlign w:val="center"/>
          </w:tcPr>
          <w:p>
            <w:pPr>
              <w:pStyle w:val="127"/>
              <w:kinsoku w:val="0"/>
              <w:overflowPunct w:val="0"/>
              <w:adjustRightInd w:val="0"/>
              <w:snapToGrid w:val="0"/>
              <w:spacing w:line="240" w:lineRule="atLeast"/>
              <w:jc w:val="center"/>
              <w:rPr>
                <w:rFonts w:ascii="Times New Roman" w:hAnsi="Times New Roman"/>
                <w:snapToGrid w:val="0"/>
                <w:color w:val="FF0000"/>
                <w:sz w:val="21"/>
                <w:szCs w:val="21"/>
              </w:rPr>
            </w:pPr>
            <w:r>
              <w:rPr>
                <w:rFonts w:ascii="Times New Roman" w:hAnsi="Times New Roman"/>
                <w:snapToGrid w:val="0"/>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2" w:hRule="atLeast"/>
          <w:jc w:val="center"/>
        </w:trPr>
        <w:tc>
          <w:tcPr>
            <w:tcW w:w="8986" w:type="dxa"/>
            <w:gridSpan w:val="9"/>
            <w:tcBorders>
              <w:tl2br w:val="nil"/>
              <w:tr2bl w:val="nil"/>
            </w:tcBorders>
            <w:noWrap w:val="0"/>
            <w:vAlign w:val="center"/>
          </w:tcPr>
          <w:p>
            <w:pPr>
              <w:pStyle w:val="127"/>
              <w:kinsoku w:val="0"/>
              <w:overflowPunct w:val="0"/>
              <w:adjustRightInd w:val="0"/>
              <w:snapToGrid w:val="0"/>
              <w:spacing w:line="240" w:lineRule="atLeast"/>
              <w:ind w:firstLine="42" w:firstLineChars="20"/>
              <w:rPr>
                <w:rFonts w:ascii="Times New Roman" w:hAnsi="Times New Roman"/>
                <w:snapToGrid w:val="0"/>
                <w:color w:val="FF0000"/>
                <w:sz w:val="21"/>
                <w:szCs w:val="21"/>
              </w:rPr>
            </w:pPr>
            <w:r>
              <w:rPr>
                <w:rFonts w:ascii="Times New Roman" w:hAnsi="Times New Roman"/>
                <w:snapToGrid w:val="0"/>
                <w:color w:val="FF0000"/>
                <w:sz w:val="21"/>
                <w:szCs w:val="21"/>
              </w:rPr>
              <w:t>a 适用于可移动式发电机组用 P</w:t>
            </w:r>
            <w:r>
              <w:rPr>
                <w:rFonts w:ascii="Times New Roman" w:hAnsi="Times New Roman"/>
                <w:snapToGrid w:val="0"/>
                <w:color w:val="FF0000"/>
                <w:sz w:val="21"/>
                <w:szCs w:val="21"/>
                <w:vertAlign w:val="subscript"/>
              </w:rPr>
              <w:t>max</w:t>
            </w:r>
            <w:r>
              <w:rPr>
                <w:rFonts w:ascii="Times New Roman" w:hAnsi="Times New Roman"/>
                <w:snapToGrid w:val="0"/>
                <w:color w:val="FF0000"/>
                <w:sz w:val="21"/>
                <w:szCs w:val="21"/>
              </w:rPr>
              <w:t xml:space="preserve"> ＞900kW 的柴油机。b适用于使用反应剂的柴油机。</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jc w:val="left"/>
        <w:textAlignment w:val="auto"/>
        <w:outlineLvl w:val="9"/>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val="en-US" w:eastAsia="zh-CN"/>
        </w:rPr>
        <w:t xml:space="preserve"> </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噪声</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项目施工期噪声执行《建筑施工场界环境噪声排放标准》（GB12523-2011）</w:t>
      </w:r>
      <w:r>
        <w:rPr>
          <w:rFonts w:hint="eastAsia" w:ascii="Times New Roman" w:hAnsi="Times New Roman" w:eastAsia="宋体" w:cs="Times New Roman"/>
          <w:color w:val="000000" w:themeColor="text1"/>
          <w:sz w:val="24"/>
          <w:szCs w:val="24"/>
          <w:lang w:eastAsia="zh-CN"/>
        </w:rPr>
        <w:t>。</w:t>
      </w:r>
    </w:p>
    <w:p>
      <w:pPr>
        <w:ind w:firstLine="0" w:firstLineChars="0"/>
        <w:jc w:val="center"/>
        <w:rPr>
          <w:rFonts w:hint="default" w:ascii="Times New Roman" w:hAnsi="Times New Roman" w:eastAsia="宋体" w:cs="Times New Roman"/>
          <w:b/>
          <w:color w:val="000000" w:themeColor="text1"/>
          <w:kern w:val="28"/>
          <w:sz w:val="21"/>
          <w:szCs w:val="21"/>
        </w:rPr>
      </w:pPr>
      <w:r>
        <w:rPr>
          <w:rFonts w:hint="default" w:ascii="Times New Roman" w:hAnsi="Times New Roman" w:eastAsia="宋体" w:cs="Times New Roman"/>
          <w:b/>
          <w:color w:val="000000" w:themeColor="text1"/>
          <w:kern w:val="28"/>
          <w:sz w:val="21"/>
          <w:szCs w:val="21"/>
        </w:rPr>
        <w:t>表2.4-</w:t>
      </w:r>
      <w:r>
        <w:rPr>
          <w:rFonts w:hint="eastAsia" w:ascii="Times New Roman" w:hAnsi="Times New Roman" w:eastAsia="宋体" w:cs="Times New Roman"/>
          <w:b/>
          <w:color w:val="000000" w:themeColor="text1"/>
          <w:kern w:val="28"/>
          <w:sz w:val="21"/>
          <w:szCs w:val="21"/>
          <w:lang w:val="en-US" w:eastAsia="zh-CN"/>
        </w:rPr>
        <w:t xml:space="preserve">8 </w:t>
      </w:r>
      <w:r>
        <w:rPr>
          <w:rFonts w:hint="default" w:ascii="Times New Roman" w:hAnsi="Times New Roman" w:eastAsia="宋体" w:cs="Times New Roman"/>
          <w:b/>
          <w:color w:val="000000" w:themeColor="text1"/>
          <w:kern w:val="28"/>
          <w:sz w:val="21"/>
          <w:szCs w:val="21"/>
        </w:rPr>
        <w:t xml:space="preserve"> 建筑施工场界环境噪声排放限值  单位：dB（A）</w:t>
      </w:r>
    </w:p>
    <w:tbl>
      <w:tblPr>
        <w:tblStyle w:val="40"/>
        <w:tblW w:w="896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4"/>
        <w:gridCol w:w="4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昼间</w:t>
            </w:r>
          </w:p>
        </w:tc>
        <w:tc>
          <w:tcPr>
            <w:tcW w:w="44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44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55</w:t>
            </w:r>
          </w:p>
        </w:tc>
      </w:tr>
    </w:tbl>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项目运营期厂界噪声执行《工业企业厂界环境噪声排放标准》（GB12348-2008）中的</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类标准，见表2.4-</w:t>
      </w:r>
      <w:r>
        <w:rPr>
          <w:rFonts w:hint="eastAsia" w:ascii="Times New Roman" w:hAnsi="Times New Roman" w:eastAsia="宋体" w:cs="Times New Roman"/>
          <w:color w:val="000000" w:themeColor="text1"/>
          <w:sz w:val="24"/>
          <w:szCs w:val="24"/>
          <w:lang w:val="en-US" w:eastAsia="zh-CN"/>
        </w:rPr>
        <w:t>9</w:t>
      </w:r>
      <w:r>
        <w:rPr>
          <w:rFonts w:hint="default" w:ascii="Times New Roman" w:hAnsi="Times New Roman" w:eastAsia="宋体" w:cs="Times New Roman"/>
          <w:color w:val="000000" w:themeColor="text1"/>
          <w:sz w:val="24"/>
          <w:szCs w:val="24"/>
        </w:rPr>
        <w:t>。</w:t>
      </w:r>
    </w:p>
    <w:p>
      <w:pPr>
        <w:pStyle w:val="25"/>
        <w:spacing w:before="240" w:after="120"/>
        <w:jc w:val="both"/>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default" w:ascii="Times New Roman" w:hAnsi="Times New Roman" w:eastAsia="宋体" w:cs="Times New Roman"/>
          <w:b/>
          <w:bCs w:val="0"/>
          <w:color w:val="000000" w:themeColor="text1"/>
          <w:sz w:val="21"/>
          <w:szCs w:val="21"/>
        </w:rPr>
        <w:t>表2.4-</w:t>
      </w:r>
      <w:r>
        <w:rPr>
          <w:rFonts w:hint="eastAsia" w:ascii="Times New Roman" w:hAnsi="Times New Roman" w:eastAsia="宋体" w:cs="Times New Roman"/>
          <w:b/>
          <w:bCs w:val="0"/>
          <w:color w:val="000000" w:themeColor="text1"/>
          <w:sz w:val="21"/>
          <w:szCs w:val="21"/>
          <w:lang w:val="en-US" w:eastAsia="zh-CN"/>
        </w:rPr>
        <w:t>9</w:t>
      </w:r>
      <w:r>
        <w:rPr>
          <w:rFonts w:hint="default" w:ascii="Times New Roman" w:hAnsi="Times New Roman" w:eastAsia="宋体" w:cs="Times New Roman"/>
          <w:b/>
          <w:bCs w:val="0"/>
          <w:color w:val="000000" w:themeColor="text1"/>
          <w:sz w:val="21"/>
          <w:szCs w:val="21"/>
        </w:rPr>
        <w:t xml:space="preserve">  工业企业厂界环境噪声排放标准       单位：dB（A）</w:t>
      </w:r>
    </w:p>
    <w:tbl>
      <w:tblPr>
        <w:tblStyle w:val="39"/>
        <w:tblW w:w="897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3432"/>
        <w:gridCol w:w="3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2364"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分类</w:t>
            </w:r>
          </w:p>
        </w:tc>
        <w:tc>
          <w:tcPr>
            <w:tcW w:w="6614" w:type="dxa"/>
            <w:gridSpan w:val="2"/>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2364"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000000" w:themeColor="text1"/>
              </w:rPr>
            </w:pPr>
          </w:p>
        </w:tc>
        <w:tc>
          <w:tcPr>
            <w:tcW w:w="343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昼间</w:t>
            </w:r>
          </w:p>
        </w:tc>
        <w:tc>
          <w:tcPr>
            <w:tcW w:w="318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6" w:hRule="atLeast"/>
          <w:jc w:val="center"/>
        </w:trPr>
        <w:tc>
          <w:tcPr>
            <w:tcW w:w="236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000000" w:themeColor="text1"/>
              </w:rPr>
            </w:pPr>
            <w:r>
              <w:rPr>
                <w:rFonts w:hint="eastAsia" w:ascii="Times New Roman" w:hAnsi="Times New Roman" w:eastAsia="宋体" w:cs="Times New Roman"/>
                <w:b w:val="0"/>
                <w:bCs/>
                <w:color w:val="000000" w:themeColor="text1"/>
                <w:lang w:val="en-US" w:eastAsia="zh-CN"/>
              </w:rPr>
              <w:t>2</w:t>
            </w:r>
            <w:r>
              <w:rPr>
                <w:rFonts w:hint="default" w:ascii="Times New Roman" w:hAnsi="Times New Roman" w:eastAsia="宋体" w:cs="Times New Roman"/>
                <w:b w:val="0"/>
                <w:bCs/>
                <w:color w:val="000000" w:themeColor="text1"/>
              </w:rPr>
              <w:t>类区</w:t>
            </w:r>
          </w:p>
        </w:tc>
        <w:tc>
          <w:tcPr>
            <w:tcW w:w="343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60</w:t>
            </w:r>
          </w:p>
        </w:tc>
        <w:tc>
          <w:tcPr>
            <w:tcW w:w="318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50</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3</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本项目生产废水经过沉淀池后回用于生产，生活废水经</w:t>
      </w:r>
      <w:r>
        <w:rPr>
          <w:rFonts w:hint="eastAsia" w:ascii="Times New Roman" w:hAnsi="Times New Roman" w:eastAsia="宋体" w:cs="Times New Roman"/>
          <w:color w:val="000000" w:themeColor="text1"/>
          <w:sz w:val="24"/>
          <w:szCs w:val="24"/>
          <w:lang w:val="en-US" w:eastAsia="zh-CN"/>
        </w:rPr>
        <w:t>化粪池处理后肥田</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本项目年生产</w:t>
      </w:r>
      <w:r>
        <w:rPr>
          <w:rFonts w:hint="eastAsia" w:ascii="Times New Roman" w:hAnsi="Times New Roman" w:eastAsia="宋体" w:cs="Times New Roman"/>
          <w:color w:val="000000" w:themeColor="text1"/>
          <w:sz w:val="24"/>
          <w:szCs w:val="24"/>
          <w:lang w:val="en-US" w:eastAsia="zh-CN"/>
        </w:rPr>
        <w:t>300天，</w:t>
      </w:r>
      <w:r>
        <w:rPr>
          <w:rFonts w:hint="eastAsia" w:ascii="Times New Roman" w:hAnsi="Times New Roman" w:eastAsia="宋体" w:cs="Times New Roman"/>
          <w:color w:val="000000" w:themeColor="text1"/>
          <w:sz w:val="24"/>
          <w:szCs w:val="24"/>
          <w:lang w:eastAsia="zh-CN"/>
        </w:rPr>
        <w:t>冬季由于天气寒冷，交通运输等原因，根据当地实际情况，</w:t>
      </w:r>
      <w:r>
        <w:rPr>
          <w:rFonts w:hint="eastAsia" w:ascii="Times New Roman" w:hAnsi="Times New Roman" w:eastAsia="宋体" w:cs="Times New Roman"/>
          <w:color w:val="000000" w:themeColor="text1"/>
          <w:sz w:val="24"/>
          <w:szCs w:val="24"/>
          <w:lang w:val="en-US" w:eastAsia="zh-CN"/>
        </w:rPr>
        <w:t>12月和1月</w:t>
      </w:r>
      <w:r>
        <w:rPr>
          <w:rFonts w:hint="eastAsia" w:ascii="Times New Roman" w:hAnsi="Times New Roman" w:eastAsia="宋体" w:cs="Times New Roman"/>
          <w:color w:val="000000" w:themeColor="text1"/>
          <w:sz w:val="24"/>
          <w:szCs w:val="24"/>
          <w:lang w:eastAsia="zh-CN"/>
        </w:rPr>
        <w:t>不生产，不会产生生活废水。</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val="0"/>
          <w:i w:val="0"/>
          <w:iCs w:val="0"/>
          <w:color w:val="000000" w:themeColor="text1"/>
          <w:kern w:val="28"/>
          <w:sz w:val="21"/>
          <w:szCs w:val="21"/>
        </w:rPr>
      </w:pPr>
      <w:r>
        <w:rPr>
          <w:rFonts w:hint="default" w:ascii="Times New Roman" w:hAnsi="Times New Roman" w:eastAsia="宋体" w:cs="Times New Roman"/>
          <w:b/>
          <w:bCs w:val="0"/>
          <w:i w:val="0"/>
          <w:iCs w:val="0"/>
          <w:color w:val="000000" w:themeColor="text1"/>
          <w:kern w:val="28"/>
          <w:sz w:val="21"/>
          <w:szCs w:val="21"/>
        </w:rPr>
        <w:t>表2.4-</w:t>
      </w:r>
      <w:r>
        <w:rPr>
          <w:rFonts w:hint="eastAsia" w:ascii="Times New Roman" w:hAnsi="Times New Roman" w:eastAsia="宋体" w:cs="Times New Roman"/>
          <w:b/>
          <w:bCs w:val="0"/>
          <w:i w:val="0"/>
          <w:iCs w:val="0"/>
          <w:color w:val="000000" w:themeColor="text1"/>
          <w:kern w:val="28"/>
          <w:sz w:val="21"/>
          <w:szCs w:val="21"/>
          <w:lang w:val="en-US" w:eastAsia="zh-CN"/>
        </w:rPr>
        <w:t>10</w:t>
      </w:r>
      <w:r>
        <w:rPr>
          <w:rFonts w:hint="default" w:ascii="Times New Roman" w:hAnsi="Times New Roman" w:eastAsia="宋体" w:cs="Times New Roman"/>
          <w:b/>
          <w:bCs w:val="0"/>
          <w:i w:val="0"/>
          <w:iCs w:val="0"/>
          <w:color w:val="000000" w:themeColor="text1"/>
          <w:kern w:val="28"/>
          <w:sz w:val="21"/>
          <w:szCs w:val="21"/>
        </w:rPr>
        <w:t xml:space="preserve"> </w:t>
      </w:r>
      <w:r>
        <w:rPr>
          <w:rFonts w:hint="default" w:ascii="Times New Roman" w:hAnsi="Times New Roman" w:eastAsia="宋体" w:cs="Times New Roman"/>
          <w:b/>
          <w:bCs w:val="0"/>
          <w:i w:val="0"/>
          <w:iCs w:val="0"/>
          <w:color w:val="000000" w:themeColor="text1"/>
          <w:kern w:val="28"/>
          <w:sz w:val="21"/>
          <w:szCs w:val="21"/>
          <w:lang w:val="en-US" w:eastAsia="zh-CN"/>
        </w:rPr>
        <w:t xml:space="preserve"> </w:t>
      </w:r>
      <w:r>
        <w:rPr>
          <w:rFonts w:hint="default" w:ascii="Times New Roman" w:hAnsi="Times New Roman" w:eastAsia="宋体" w:cs="Times New Roman"/>
          <w:b/>
          <w:bCs w:val="0"/>
          <w:i w:val="0"/>
          <w:iCs w:val="0"/>
          <w:color w:val="000000" w:themeColor="text1"/>
          <w:kern w:val="28"/>
          <w:sz w:val="21"/>
          <w:szCs w:val="21"/>
        </w:rPr>
        <w:t>城市污水再生利用 城市杂用水水质标准（节选）</w:t>
      </w:r>
    </w:p>
    <w:tbl>
      <w:tblPr>
        <w:tblStyle w:val="40"/>
        <w:tblW w:w="883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2660"/>
        <w:gridCol w:w="2545"/>
        <w:gridCol w:w="2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道路清扫</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6.0~9.0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色度≤</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嗅</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无不快感</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无不快感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浊度/NTU≤</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溶解性总固体/（mg/L）≤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五日生化需氧量（BOD</w:t>
            </w:r>
            <w:r>
              <w:rPr>
                <w:rFonts w:hint="default" w:ascii="Times New Roman" w:hAnsi="Times New Roman" w:eastAsia="宋体" w:cs="Times New Roman"/>
                <w:color w:val="000000" w:themeColor="text1"/>
                <w:sz w:val="21"/>
                <w:szCs w:val="21"/>
                <w:vertAlign w:val="subscript"/>
              </w:rPr>
              <w:t>5</w:t>
            </w:r>
            <w:r>
              <w:rPr>
                <w:rFonts w:hint="default" w:ascii="Times New Roman" w:hAnsi="Times New Roman" w:eastAsia="宋体" w:cs="Times New Roman"/>
                <w:color w:val="000000" w:themeColor="text1"/>
                <w:sz w:val="21"/>
                <w:szCs w:val="21"/>
              </w:rPr>
              <w:t>）/（mg/L）≤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阴离子表面活性剂/（mg/L）≤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铁/（mg/L）≤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锰/（mg/L）≤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溶解氧/（mg/L）≥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总余氯/（mg/L）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接触30min后≥1.0，管网末端≥0.2</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接触30min后≥1.0，管网末端≥0.2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0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总大肠菌群/（个/L）≤</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2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val="en-US" w:eastAsia="zh-CN"/>
        </w:rPr>
        <w:t xml:space="preserve">（4） </w:t>
      </w:r>
      <w:r>
        <w:rPr>
          <w:rFonts w:hint="default" w:ascii="Times New Roman" w:hAnsi="Times New Roman" w:eastAsia="宋体" w:cs="Times New Roman"/>
          <w:b w:val="0"/>
          <w:bCs w:val="0"/>
          <w:color w:val="000000" w:themeColor="text1"/>
          <w:sz w:val="24"/>
          <w:szCs w:val="24"/>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一般固体废物排放执行《一般工业固体废物贮存</w:t>
      </w:r>
      <w:r>
        <w:rPr>
          <w:rFonts w:hint="default" w:ascii="Times New Roman" w:hAnsi="Times New Roman" w:eastAsia="宋体" w:cs="Times New Roman"/>
          <w:color w:val="000000" w:themeColor="text1"/>
          <w:sz w:val="24"/>
          <w:szCs w:val="24"/>
          <w:lang w:eastAsia="zh-CN"/>
        </w:rPr>
        <w:t>和填埋</w:t>
      </w:r>
      <w:r>
        <w:rPr>
          <w:rFonts w:hint="default" w:ascii="Times New Roman" w:hAnsi="Times New Roman" w:eastAsia="宋体" w:cs="Times New Roman"/>
          <w:color w:val="000000" w:themeColor="text1"/>
          <w:sz w:val="24"/>
          <w:szCs w:val="24"/>
        </w:rPr>
        <w:t>污染控制标准》（GB18599-</w:t>
      </w:r>
      <w:r>
        <w:rPr>
          <w:rFonts w:hint="default" w:ascii="Times New Roman" w:hAnsi="Times New Roman" w:eastAsia="宋体" w:cs="Times New Roman"/>
          <w:color w:val="000000" w:themeColor="text1"/>
          <w:sz w:val="24"/>
          <w:szCs w:val="24"/>
          <w:lang w:val="en-US" w:eastAsia="zh-CN"/>
        </w:rPr>
        <w:t>2020</w:t>
      </w:r>
      <w:r>
        <w:rPr>
          <w:rFonts w:hint="default" w:ascii="Times New Roman" w:hAnsi="Times New Roman" w:eastAsia="宋体" w:cs="Times New Roman"/>
          <w:color w:val="000000" w:themeColor="text1"/>
          <w:sz w:val="24"/>
          <w:szCs w:val="24"/>
        </w:rPr>
        <w:t>）；危险废物执行《危险废物贮存污染控制标准》（GB18597-2001）及2013修改单中的相关要求。</w:t>
      </w:r>
    </w:p>
    <w:p>
      <w:pPr>
        <w:pStyle w:val="4"/>
        <w:spacing w:before="120"/>
        <w:rPr>
          <w:color w:val="000000" w:themeColor="text1"/>
        </w:rPr>
      </w:pPr>
      <w:bookmarkStart w:id="145" w:name="_Toc12068"/>
      <w:bookmarkStart w:id="146" w:name="_Toc9799"/>
      <w:bookmarkStart w:id="147" w:name="_Toc5266_WPSOffice_Level2"/>
      <w:bookmarkStart w:id="148" w:name="_Toc30518"/>
      <w:bookmarkStart w:id="149" w:name="_Toc13854"/>
      <w:r>
        <w:rPr>
          <w:color w:val="000000" w:themeColor="text1"/>
        </w:rPr>
        <w:t>评价等级</w:t>
      </w:r>
      <w:bookmarkEnd w:id="145"/>
      <w:bookmarkEnd w:id="146"/>
      <w:bookmarkEnd w:id="147"/>
      <w:bookmarkEnd w:id="148"/>
      <w:bookmarkEnd w:id="149"/>
    </w:p>
    <w:p>
      <w:pPr>
        <w:pStyle w:val="5"/>
        <w:rPr>
          <w:rFonts w:hint="default"/>
          <w:color w:val="000000" w:themeColor="text1"/>
        </w:rPr>
      </w:pPr>
      <w:bookmarkStart w:id="150" w:name="_Toc9417_WPSOffice_Level3"/>
      <w:r>
        <w:rPr>
          <w:rFonts w:hint="default"/>
          <w:color w:val="000000" w:themeColor="text1"/>
        </w:rPr>
        <w:t>生态评价</w:t>
      </w:r>
      <w:r>
        <w:rPr>
          <w:rFonts w:hint="default"/>
          <w:color w:val="000000" w:themeColor="text1"/>
          <w:lang w:val="en-US" w:eastAsia="zh-CN"/>
        </w:rPr>
        <w:t>等级</w:t>
      </w:r>
      <w:bookmarkEnd w:id="15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根据《环境影响评价技术导则-生态影响》（HJ19-20</w:t>
      </w:r>
      <w:r>
        <w:rPr>
          <w:rFonts w:hint="default" w:ascii="Times New Roman" w:hAnsi="Times New Roman" w:eastAsia="宋体" w:cs="Times New Roman"/>
          <w:color w:val="FF0000"/>
          <w:sz w:val="24"/>
          <w:szCs w:val="24"/>
          <w:lang w:val="en-US"/>
        </w:rPr>
        <w:t>22</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评价等级的确定原则“在矿山开采可能导致矿区土地利用类型明显改变，或拦河闸坝建设可能明显改变水文情势等情况下，评价等级应上调一级。”</w:t>
      </w:r>
      <w:r>
        <w:rPr>
          <w:rFonts w:ascii="Times New Roman" w:cs="Times New Roman"/>
          <w:color w:val="FF0000"/>
          <w:sz w:val="24"/>
          <w:szCs w:val="24"/>
        </w:rPr>
        <w:t>地下开采</w:t>
      </w:r>
      <w:r>
        <w:rPr>
          <w:rFonts w:hint="eastAsia" w:ascii="Times New Roman" w:cs="Times New Roman"/>
          <w:color w:val="FF0000"/>
          <w:sz w:val="24"/>
          <w:szCs w:val="24"/>
          <w:lang w:eastAsia="zh-CN"/>
        </w:rPr>
        <w:t>项目</w:t>
      </w:r>
      <w:r>
        <w:rPr>
          <w:rFonts w:ascii="Times New Roman" w:cs="Times New Roman"/>
          <w:color w:val="FF0000"/>
          <w:sz w:val="24"/>
          <w:szCs w:val="24"/>
        </w:rPr>
        <w:t>对生态环境破坏主要是</w:t>
      </w:r>
      <w:r>
        <w:rPr>
          <w:rFonts w:hint="eastAsia" w:ascii="Times New Roman" w:cs="Times New Roman"/>
          <w:color w:val="FF0000"/>
          <w:sz w:val="24"/>
          <w:szCs w:val="24"/>
          <w:lang w:eastAsia="zh-CN"/>
        </w:rPr>
        <w:t>废石</w:t>
      </w:r>
      <w:r>
        <w:rPr>
          <w:rFonts w:ascii="Times New Roman" w:cs="Times New Roman"/>
          <w:color w:val="FF0000"/>
          <w:sz w:val="24"/>
          <w:szCs w:val="24"/>
        </w:rPr>
        <w:t>场、采矿工业场地</w:t>
      </w:r>
      <w:r>
        <w:rPr>
          <w:rFonts w:hint="eastAsia" w:ascii="Times New Roman" w:cs="Times New Roman"/>
          <w:color w:val="FF0000"/>
          <w:sz w:val="24"/>
          <w:szCs w:val="24"/>
          <w:lang w:eastAsia="zh-CN"/>
        </w:rPr>
        <w:t>。运输道路</w:t>
      </w:r>
      <w:r>
        <w:rPr>
          <w:rFonts w:ascii="Times New Roman" w:cs="Times New Roman"/>
          <w:color w:val="FF0000"/>
          <w:sz w:val="24"/>
          <w:szCs w:val="24"/>
        </w:rPr>
        <w:t>等占压土地及植被</w:t>
      </w:r>
      <w:r>
        <w:rPr>
          <w:rFonts w:hint="eastAsia" w:ascii="Times New Roman" w:cs="Times New Roman"/>
          <w:color w:val="FF0000"/>
          <w:sz w:val="24"/>
          <w:szCs w:val="24"/>
          <w:lang w:eastAsia="zh-CN"/>
        </w:rPr>
        <w:t>，以及塌陷引起的地表沉陷影响。根据本项目的安全设施设计方案可知，</w:t>
      </w:r>
      <w:r>
        <w:rPr>
          <w:rFonts w:hint="eastAsia" w:ascii="仿宋_GB2312"/>
          <w:color w:val="FF0000"/>
          <w:sz w:val="24"/>
          <w:szCs w:val="24"/>
          <w:lang w:eastAsia="zh-CN"/>
        </w:rPr>
        <w:t>本</w:t>
      </w:r>
      <w:r>
        <w:rPr>
          <w:rFonts w:hint="eastAsia" w:ascii="仿宋_GB2312"/>
          <w:color w:val="FF0000"/>
          <w:sz w:val="24"/>
          <w:szCs w:val="24"/>
        </w:rPr>
        <w:t>项目地质构造、工程地质为简单类型，单轴饱和抗压强度大</w:t>
      </w:r>
      <w:r>
        <w:rPr>
          <w:rFonts w:hint="default" w:ascii="Times New Roman" w:hAnsi="Times New Roman" w:eastAsia="宋体" w:cs="Times New Roman"/>
          <w:color w:val="FF0000"/>
          <w:sz w:val="24"/>
          <w:szCs w:val="24"/>
        </w:rPr>
        <w:t>于60Mpa</w:t>
      </w:r>
      <w:r>
        <w:rPr>
          <w:rFonts w:hint="eastAsia" w:ascii="仿宋_GB2312"/>
          <w:color w:val="FF0000"/>
          <w:sz w:val="24"/>
          <w:szCs w:val="24"/>
        </w:rPr>
        <w:t>，属较硬岩，工程稳定性较好。本次设计主要巷道均沿矿体底板布置于岩层中，不易坍塌</w:t>
      </w:r>
      <w:r>
        <w:rPr>
          <w:rFonts w:hint="eastAsia" w:ascii="仿宋_GB2312"/>
          <w:color w:val="FF0000"/>
          <w:sz w:val="24"/>
          <w:szCs w:val="24"/>
          <w:lang w:eastAsia="zh-CN"/>
        </w:rPr>
        <w:t>，再加上通过留有安全矿柱，采取支护措施等可进一步减少坍塌事故的发生，因此，本项目对生态的影响主要以工业场地的工程占地以及植被破坏为主。</w:t>
      </w:r>
      <w:r>
        <w:rPr>
          <w:rFonts w:hint="eastAsia" w:eastAsia="宋体"/>
          <w:color w:val="FF0000"/>
          <w:sz w:val="24"/>
          <w:szCs w:val="24"/>
          <w:lang w:val="en-US" w:eastAsia="zh-CN"/>
        </w:rPr>
        <w:t>本项目为改扩建项目，</w:t>
      </w:r>
      <w:r>
        <w:rPr>
          <w:rFonts w:hint="default" w:ascii="Times New Roman" w:hAnsi="Times New Roman" w:eastAsia="宋体" w:cs="Times New Roman"/>
          <w:color w:val="FF0000"/>
          <w:sz w:val="24"/>
          <w:szCs w:val="24"/>
          <w:lang w:val="en-US" w:eastAsia="zh-CN"/>
        </w:rPr>
        <w:t>K1</w:t>
      </w:r>
      <w:r>
        <w:rPr>
          <w:rFonts w:hint="eastAsia" w:ascii="Times New Roman" w:hAnsi="Times New Roman" w:eastAsia="宋体" w:cs="Times New Roman"/>
          <w:color w:val="FF0000"/>
          <w:sz w:val="24"/>
          <w:szCs w:val="24"/>
          <w:lang w:val="en-US" w:eastAsia="zh-CN"/>
        </w:rPr>
        <w:t>矿体在原有占地范围内进行，本次扩建不新增占地；K2矿体需要新增占地7540</w:t>
      </w:r>
      <w:r>
        <w:rPr>
          <w:rFonts w:hint="default" w:ascii="Times New Roman" w:hAnsi="Times New Roman" w:eastAsia="宋体" w:cs="Times New Roman"/>
          <w:bCs/>
          <w:color w:val="FF0000"/>
          <w:sz w:val="24"/>
          <w:szCs w:val="24"/>
        </w:rPr>
        <w:t>m</w:t>
      </w:r>
      <w:r>
        <w:rPr>
          <w:rFonts w:hint="default" w:ascii="Times New Roman" w:hAnsi="Times New Roman" w:eastAsia="宋体" w:cs="Times New Roman"/>
          <w:bCs/>
          <w:color w:val="FF0000"/>
          <w:sz w:val="24"/>
          <w:szCs w:val="24"/>
          <w:vertAlign w:val="superscript"/>
        </w:rPr>
        <w:t>2</w:t>
      </w:r>
      <w:r>
        <w:rPr>
          <w:rFonts w:hint="eastAsia" w:ascii="Times New Roman" w:hAnsi="Times New Roman" w:eastAsia="宋体" w:cs="Times New Roman"/>
          <w:bCs/>
          <w:color w:val="FF0000"/>
          <w:sz w:val="24"/>
          <w:szCs w:val="24"/>
          <w:vertAlign w:val="baseline"/>
          <w:lang w:eastAsia="zh-CN"/>
        </w:rPr>
        <w:t>，占地面积较小，不会导致矿区土地利用类型明显改变</w:t>
      </w:r>
      <w:r>
        <w:rPr>
          <w:rFonts w:hint="eastAsia" w:ascii="Times New Roman" w:hAnsi="Times New Roman" w:eastAsia="宋体" w:cs="Times New Roman"/>
          <w:bCs/>
          <w:color w:val="FF0000"/>
          <w:sz w:val="24"/>
          <w:szCs w:val="24"/>
          <w:vertAlign w:val="baseline"/>
          <w:lang w:val="en-US" w:eastAsia="zh-CN"/>
        </w:rPr>
        <w:t>。因此，本项目不需要上调评价等级。</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FF0000"/>
          <w:sz w:val="21"/>
          <w:szCs w:val="21"/>
          <w:vertAlign w:val="baseline"/>
          <w:lang w:val="en-US" w:eastAsia="zh-CN"/>
        </w:rPr>
      </w:pPr>
      <w:bookmarkStart w:id="151" w:name="_Toc19870_WPSOffice_Level3"/>
      <w:r>
        <w:rPr>
          <w:rFonts w:hint="default" w:ascii="Times New Roman" w:hAnsi="Times New Roman" w:eastAsia="宋体" w:cs="Times New Roman"/>
          <w:b/>
          <w:bCs/>
          <w:color w:val="FF0000"/>
          <w:sz w:val="21"/>
          <w:szCs w:val="21"/>
          <w:lang w:val="en-US" w:eastAsia="zh-CN"/>
        </w:rPr>
        <w:t>表</w:t>
      </w:r>
      <w:r>
        <w:rPr>
          <w:rFonts w:hint="eastAsia" w:ascii="Times New Roman" w:hAnsi="Times New Roman" w:eastAsia="宋体" w:cs="Times New Roman"/>
          <w:b/>
          <w:bCs/>
          <w:color w:val="FF0000"/>
          <w:sz w:val="21"/>
          <w:szCs w:val="21"/>
          <w:lang w:val="en-US" w:eastAsia="zh-CN"/>
        </w:rPr>
        <w:t xml:space="preserve">2.5-1 </w:t>
      </w:r>
      <w:r>
        <w:rPr>
          <w:rFonts w:hint="default" w:ascii="Times New Roman" w:hAnsi="Times New Roman" w:eastAsia="宋体" w:cs="Times New Roman"/>
          <w:b/>
          <w:bCs/>
          <w:color w:val="FF0000"/>
          <w:sz w:val="21"/>
          <w:szCs w:val="21"/>
          <w:lang w:val="en-US" w:eastAsia="zh-CN"/>
        </w:rPr>
        <w:t xml:space="preserve"> 生态评价等级判定</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93"/>
        <w:gridCol w:w="1983"/>
        <w:gridCol w:w="1040"/>
        <w:gridCol w:w="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rPr>
              <w:t>《环境影响评价技术导则-生态影响》（HJ19-20</w:t>
            </w:r>
            <w:r>
              <w:rPr>
                <w:rFonts w:hint="default" w:ascii="Times New Roman" w:hAnsi="Times New Roman" w:eastAsia="宋体" w:cs="Times New Roman"/>
                <w:b w:val="0"/>
                <w:bCs w:val="0"/>
                <w:color w:val="FF0000"/>
                <w:sz w:val="21"/>
                <w:szCs w:val="21"/>
                <w:lang w:val="en-US"/>
              </w:rPr>
              <w:t>22</w:t>
            </w:r>
            <w:r>
              <w:rPr>
                <w:rFonts w:hint="default" w:ascii="Times New Roman" w:hAnsi="Times New Roman" w:eastAsia="宋体" w:cs="Times New Roman"/>
                <w:b w:val="0"/>
                <w:bCs w:val="0"/>
                <w:color w:val="FF0000"/>
                <w:sz w:val="21"/>
                <w:szCs w:val="21"/>
              </w:rPr>
              <w:t>）</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本项目</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等级划分</w:t>
            </w:r>
          </w:p>
        </w:tc>
        <w:tc>
          <w:tcPr>
            <w:tcW w:w="741"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涉及国家公园、自然保护区、世界自然遗产、重要生境时，评价等级为一级；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不涉及</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w:t>
            </w:r>
          </w:p>
        </w:tc>
        <w:tc>
          <w:tcPr>
            <w:tcW w:w="741" w:type="dxa"/>
            <w:vMerge w:val="restart"/>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涉及自然公园时，评价等级为二级；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不涉及</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涉及生态保护红线时，评价等级不低于二级；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本项目所处的铜钱关镇涉及水源涵养生态保护红线区和水土流失生态保护红线区</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二级</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根据 HJ 2.3 判断属于水文要素影响型且地表水评价等级不低于二级的建设项目，生态影响评价等级不低于二级；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不涉及</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根据 HJ 610、HJ 964 判断地下水水位或土壤影响范围内分布有天然林、公益林、湿地等生态保护目标的建设项目，生态影响评价等级不低于二级；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本项目涉及地方公益林</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二级</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当工程占地规模大于 20 km 2 时（包括永久和临时占用陆域和水域），评价等级不低于二级；改扩建项目的占地范围以新增占地（包括陆域和水域）确定；</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不涉及</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当评价等级判定同时符合上述多种情况时，应采用其中最高的评价等级。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二级</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二级</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建设项目涉及经论证对保护生物多样性具有重要意义的区域时，可适当上调评价等级。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不涉及</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在矿山开采可能导致矿区土地利用类型明显改变，或拦河闸坝建设可能明显改变水文情势等情况下，评价等级应上调一级。</w:t>
            </w:r>
          </w:p>
        </w:tc>
        <w:tc>
          <w:tcPr>
            <w:tcW w:w="1983"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本项目矿山开采不</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会导致矿区土地利</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用类型明显改变</w:t>
            </w:r>
          </w:p>
        </w:tc>
        <w:tc>
          <w:tcPr>
            <w:tcW w:w="1040" w:type="dxa"/>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w:t>
            </w:r>
          </w:p>
        </w:tc>
        <w:tc>
          <w:tcPr>
            <w:tcW w:w="741" w:type="dxa"/>
            <w:vMerge w:val="continue"/>
            <w:tcBorders>
              <w:tl2br w:val="nil"/>
              <w:tr2bl w:val="nil"/>
            </w:tcBorders>
            <w:vAlign w:val="center"/>
          </w:tcPr>
          <w:p>
            <w:pPr>
              <w:pStyle w:val="5"/>
              <w:keepNext/>
              <w:keepLines/>
              <w:pageBreakBefore w:val="0"/>
              <w:widowControl w:val="0"/>
              <w:numPr>
                <w:ilvl w:val="2"/>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r>
    </w:tbl>
    <w:p>
      <w:pPr>
        <w:pStyle w:val="5"/>
        <w:rPr>
          <w:rFonts w:hint="default"/>
          <w:color w:val="000000" w:themeColor="text1"/>
        </w:rPr>
      </w:pPr>
      <w:r>
        <w:rPr>
          <w:rFonts w:hint="default"/>
          <w:color w:val="000000" w:themeColor="text1"/>
        </w:rPr>
        <w:t>环境空气评价工作等级</w:t>
      </w:r>
      <w:bookmarkEnd w:id="15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依据《环境影响评价技术导则-大气环境》</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HJ2.2-2018</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480" w:lineRule="exact"/>
        <w:ind w:firstLine="422" w:firstLineChars="176"/>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P</w:t>
      </w:r>
      <w:r>
        <w:rPr>
          <w:rFonts w:hint="default" w:ascii="Times New Roman" w:hAnsi="Times New Roman" w:eastAsia="宋体" w:cs="Times New Roman"/>
          <w:color w:val="000000" w:themeColor="text1"/>
          <w:sz w:val="24"/>
          <w:szCs w:val="24"/>
          <w:vertAlign w:val="subscript"/>
        </w:rPr>
        <w:t>max</w:t>
      </w:r>
      <w:r>
        <w:rPr>
          <w:rFonts w:hint="default" w:ascii="Times New Roman" w:hAnsi="Times New Roman" w:eastAsia="宋体" w:cs="Times New Roman"/>
          <w:color w:val="000000" w:themeColor="text1"/>
          <w:sz w:val="24"/>
          <w:szCs w:val="24"/>
        </w:rPr>
        <w:t>及D</w:t>
      </w:r>
      <w:r>
        <w:rPr>
          <w:rFonts w:hint="default" w:ascii="Times New Roman" w:hAnsi="Times New Roman" w:eastAsia="宋体" w:cs="Times New Roman"/>
          <w:color w:val="000000" w:themeColor="text1"/>
          <w:sz w:val="24"/>
          <w:szCs w:val="24"/>
          <w:vertAlign w:val="subscript"/>
        </w:rPr>
        <w:t>10%</w:t>
      </w:r>
      <w:r>
        <w:rPr>
          <w:rFonts w:hint="default" w:ascii="Times New Roman" w:hAnsi="Times New Roman" w:eastAsia="宋体" w:cs="Times New Roman"/>
          <w:color w:val="000000" w:themeColor="text1"/>
          <w:sz w:val="24"/>
          <w:szCs w:val="24"/>
        </w:rPr>
        <w:t>的确定</w:t>
      </w:r>
    </w:p>
    <w:p>
      <w:pPr>
        <w:spacing w:line="480" w:lineRule="exact"/>
        <w:ind w:firstLine="422" w:firstLineChars="176"/>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依据《环境影响评价技术导则 大气环境》(HJ2.2-2018)中最大地面浓度占标率P</w:t>
      </w:r>
      <w:r>
        <w:rPr>
          <w:rFonts w:hint="default" w:ascii="Times New Roman" w:hAnsi="Times New Roman" w:eastAsia="宋体" w:cs="Times New Roman"/>
          <w:i/>
          <w:color w:val="000000" w:themeColor="text1"/>
          <w:sz w:val="24"/>
          <w:szCs w:val="24"/>
        </w:rPr>
        <w:t>i</w:t>
      </w:r>
      <w:r>
        <w:rPr>
          <w:rFonts w:hint="default" w:ascii="Times New Roman" w:hAnsi="Times New Roman" w:eastAsia="宋体" w:cs="Times New Roman"/>
          <w:color w:val="000000" w:themeColor="text1"/>
          <w:sz w:val="24"/>
          <w:szCs w:val="24"/>
        </w:rPr>
        <w:t>定义如下：</w:t>
      </w:r>
    </w:p>
    <w:p>
      <w:pPr>
        <w:spacing w:line="276" w:lineRule="auto"/>
        <w:ind w:firstLine="422" w:firstLineChars="176"/>
        <w:jc w:val="center"/>
        <w:rPr>
          <w:rFonts w:hint="default" w:ascii="Times New Roman" w:hAnsi="Times New Roman" w:eastAsia="宋体" w:cs="Times New Roman"/>
          <w:color w:val="000000" w:themeColor="text1"/>
          <w:sz w:val="24"/>
          <w:szCs w:val="24"/>
        </w:rPr>
      </w:pPr>
      <m:oMathPara>
        <m:oMath>
          <m:sSub>
            <m:sSubPr>
              <m:ctrlPr>
                <w:rPr>
                  <w:rFonts w:hint="default" w:ascii="Cambria Math" w:hAnsi="Cambria Math" w:eastAsia="宋体" w:cs="Times New Roman"/>
                  <w:color w:val="000000" w:themeColor="text1"/>
                  <w:sz w:val="24"/>
                  <w:szCs w:val="24"/>
                </w:rPr>
              </m:ctrlPr>
            </m:sSubPr>
            <m:e>
              <m:r>
                <w:rPr>
                  <w:rFonts w:hint="default" w:ascii="Cambria Math" w:hAnsi="Cambria Math" w:eastAsia="宋体" w:cs="Times New Roman"/>
                  <w:color w:val="000000" w:themeColor="text1"/>
                  <w:sz w:val="24"/>
                  <w:szCs w:val="24"/>
                </w:rPr>
                <m:t>P</m:t>
              </m:r>
              <m:ctrlPr>
                <w:rPr>
                  <w:rFonts w:hint="default" w:ascii="Cambria Math" w:hAnsi="Cambria Math" w:eastAsia="宋体" w:cs="Times New Roman"/>
                  <w:color w:val="000000" w:themeColor="text1"/>
                  <w:sz w:val="24"/>
                  <w:szCs w:val="24"/>
                </w:rPr>
              </m:ctrlPr>
            </m:e>
            <m:sub>
              <m:r>
                <w:rPr>
                  <w:rFonts w:hint="default" w:ascii="Cambria Math" w:hAnsi="Cambria Math" w:eastAsia="宋体" w:cs="Times New Roman"/>
                  <w:color w:val="000000" w:themeColor="text1"/>
                  <w:sz w:val="24"/>
                  <w:szCs w:val="24"/>
                </w:rPr>
                <m:t>i</m:t>
              </m:r>
              <m:ctrlPr>
                <w:rPr>
                  <w:rFonts w:hint="default" w:ascii="Cambria Math" w:hAnsi="Cambria Math" w:eastAsia="宋体" w:cs="Times New Roman"/>
                  <w:color w:val="000000" w:themeColor="text1"/>
                  <w:sz w:val="24"/>
                  <w:szCs w:val="24"/>
                </w:rPr>
              </m:ctrlPr>
            </m:sub>
          </m:sSub>
          <m:r>
            <m:rPr>
              <m:sty m:val="p"/>
            </m:rPr>
            <w:rPr>
              <w:rFonts w:hint="default" w:ascii="Cambria Math" w:hAnsi="Cambria Math" w:eastAsia="宋体" w:cs="Times New Roman"/>
              <w:color w:val="000000" w:themeColor="text1"/>
              <w:sz w:val="24"/>
              <w:szCs w:val="24"/>
            </w:rPr>
            <m:t>=</m:t>
          </m:r>
          <m:f>
            <m:fPr>
              <m:ctrlPr>
                <w:rPr>
                  <w:rFonts w:hint="default" w:ascii="Cambria Math" w:hAnsi="Cambria Math" w:eastAsia="宋体" w:cs="Times New Roman"/>
                  <w:color w:val="000000" w:themeColor="text1"/>
                  <w:sz w:val="24"/>
                  <w:szCs w:val="24"/>
                </w:rPr>
              </m:ctrlPr>
            </m:fPr>
            <m:num>
              <m:sSub>
                <m:sSubPr>
                  <m:ctrlPr>
                    <w:rPr>
                      <w:rFonts w:hint="default" w:ascii="Cambria Math" w:hAnsi="Cambria Math" w:eastAsia="宋体" w:cs="Times New Roman"/>
                      <w:i/>
                      <w:color w:val="000000" w:themeColor="text1"/>
                      <w:sz w:val="24"/>
                      <w:szCs w:val="24"/>
                    </w:rPr>
                  </m:ctrlPr>
                </m:sSubPr>
                <m:e>
                  <m:r>
                    <w:rPr>
                      <w:rFonts w:hint="default" w:ascii="Cambria Math" w:hAnsi="Cambria Math" w:eastAsia="宋体" w:cs="Times New Roman"/>
                      <w:color w:val="000000" w:themeColor="text1"/>
                      <w:sz w:val="24"/>
                      <w:szCs w:val="24"/>
                    </w:rPr>
                    <m:t>C</m:t>
                  </m:r>
                  <m:ctrlPr>
                    <w:rPr>
                      <w:rFonts w:hint="default" w:ascii="Cambria Math" w:hAnsi="Cambria Math" w:eastAsia="宋体" w:cs="Times New Roman"/>
                      <w:i/>
                      <w:color w:val="000000" w:themeColor="text1"/>
                      <w:sz w:val="24"/>
                      <w:szCs w:val="24"/>
                    </w:rPr>
                  </m:ctrlPr>
                </m:e>
                <m:sub>
                  <m:r>
                    <w:rPr>
                      <w:rFonts w:hint="default" w:ascii="Cambria Math" w:hAnsi="Cambria Math" w:eastAsia="宋体" w:cs="Times New Roman"/>
                      <w:color w:val="000000" w:themeColor="text1"/>
                      <w:sz w:val="24"/>
                      <w:szCs w:val="24"/>
                    </w:rPr>
                    <m:t>i</m:t>
                  </m:r>
                  <m:ctrlPr>
                    <w:rPr>
                      <w:rFonts w:hint="default" w:ascii="Cambria Math" w:hAnsi="Cambria Math" w:eastAsia="宋体" w:cs="Times New Roman"/>
                      <w:i/>
                      <w:color w:val="000000" w:themeColor="text1"/>
                      <w:sz w:val="24"/>
                      <w:szCs w:val="24"/>
                    </w:rPr>
                  </m:ctrlPr>
                </m:sub>
              </m:sSub>
              <m:ctrlPr>
                <w:rPr>
                  <w:rFonts w:hint="default" w:ascii="Cambria Math" w:hAnsi="Cambria Math" w:eastAsia="宋体" w:cs="Times New Roman"/>
                  <w:color w:val="000000" w:themeColor="text1"/>
                  <w:sz w:val="24"/>
                  <w:szCs w:val="24"/>
                </w:rPr>
              </m:ctrlPr>
            </m:num>
            <m:den>
              <m:sSub>
                <m:sSubPr>
                  <m:ctrlPr>
                    <w:rPr>
                      <w:rFonts w:hint="default" w:ascii="Cambria Math" w:hAnsi="Cambria Math" w:eastAsia="宋体" w:cs="Times New Roman"/>
                      <w:i/>
                      <w:color w:val="000000" w:themeColor="text1"/>
                      <w:sz w:val="24"/>
                      <w:szCs w:val="24"/>
                    </w:rPr>
                  </m:ctrlPr>
                </m:sSubPr>
                <m:e>
                  <m:r>
                    <w:rPr>
                      <w:rFonts w:hint="default" w:ascii="Cambria Math" w:hAnsi="Cambria Math" w:eastAsia="宋体" w:cs="Times New Roman"/>
                      <w:color w:val="000000" w:themeColor="text1"/>
                      <w:sz w:val="24"/>
                      <w:szCs w:val="24"/>
                    </w:rPr>
                    <m:t>C</m:t>
                  </m:r>
                  <m:ctrlPr>
                    <w:rPr>
                      <w:rFonts w:hint="default" w:ascii="Cambria Math" w:hAnsi="Cambria Math" w:eastAsia="宋体" w:cs="Times New Roman"/>
                      <w:i/>
                      <w:color w:val="000000" w:themeColor="text1"/>
                      <w:sz w:val="24"/>
                      <w:szCs w:val="24"/>
                    </w:rPr>
                  </m:ctrlPr>
                </m:e>
                <m:sub>
                  <m:r>
                    <w:rPr>
                      <w:rFonts w:hint="default" w:ascii="Cambria Math" w:hAnsi="Cambria Math" w:eastAsia="宋体" w:cs="Times New Roman"/>
                      <w:color w:val="000000" w:themeColor="text1"/>
                      <w:sz w:val="24"/>
                      <w:szCs w:val="24"/>
                    </w:rPr>
                    <m:t>0i</m:t>
                  </m:r>
                  <m:ctrlPr>
                    <w:rPr>
                      <w:rFonts w:hint="default" w:ascii="Cambria Math" w:hAnsi="Cambria Math" w:eastAsia="宋体" w:cs="Times New Roman"/>
                      <w:i/>
                      <w:color w:val="000000" w:themeColor="text1"/>
                      <w:sz w:val="24"/>
                      <w:szCs w:val="24"/>
                    </w:rPr>
                  </m:ctrlPr>
                </m:sub>
              </m:sSub>
              <m:ctrlPr>
                <w:rPr>
                  <w:rFonts w:hint="default" w:ascii="Cambria Math" w:hAnsi="Cambria Math" w:eastAsia="宋体" w:cs="Times New Roman"/>
                  <w:color w:val="000000" w:themeColor="text1"/>
                  <w:sz w:val="24"/>
                  <w:szCs w:val="24"/>
                </w:rPr>
              </m:ctrlPr>
            </m:den>
          </m:f>
          <m:r>
            <w:rPr>
              <w:rFonts w:hint="default" w:ascii="Cambria Math" w:hAnsi="Cambria Math" w:eastAsia="宋体" w:cs="Times New Roman"/>
              <w:color w:val="000000" w:themeColor="text1"/>
              <w:sz w:val="24"/>
              <w:szCs w:val="24"/>
            </w:rPr>
            <m:t>×100%</m:t>
          </m:r>
        </m:oMath>
      </m:oMathPara>
    </w:p>
    <w:p>
      <w:pPr>
        <w:spacing w:line="480" w:lineRule="exact"/>
        <w:ind w:firstLine="422" w:firstLineChars="176"/>
        <w:jc w:val="left"/>
        <w:rPr>
          <w:rFonts w:hint="default" w:ascii="Times New Roman" w:hAnsi="Times New Roman" w:eastAsia="宋体" w:cs="Times New Roman"/>
          <w:color w:val="000000" w:themeColor="text1"/>
          <w:sz w:val="24"/>
          <w:szCs w:val="24"/>
        </w:rPr>
      </w:pPr>
      <m:oMath>
        <m:sSub>
          <m:sSubPr>
            <m:ctrlPr>
              <w:rPr>
                <w:rFonts w:hint="default" w:ascii="Cambria Math" w:hAnsi="Cambria Math" w:eastAsia="宋体" w:cs="Times New Roman"/>
                <w:color w:val="000000" w:themeColor="text1"/>
                <w:sz w:val="24"/>
                <w:szCs w:val="24"/>
              </w:rPr>
            </m:ctrlPr>
          </m:sSubPr>
          <m:e>
            <m:r>
              <w:rPr>
                <w:rFonts w:hint="default" w:ascii="Cambria Math" w:hAnsi="Cambria Math" w:eastAsia="宋体" w:cs="Times New Roman"/>
                <w:color w:val="000000" w:themeColor="text1"/>
                <w:sz w:val="24"/>
                <w:szCs w:val="24"/>
              </w:rPr>
              <m:t>P</m:t>
            </m:r>
            <m:ctrlPr>
              <w:rPr>
                <w:rFonts w:hint="default" w:ascii="Cambria Math" w:hAnsi="Cambria Math" w:eastAsia="宋体" w:cs="Times New Roman"/>
                <w:color w:val="000000" w:themeColor="text1"/>
                <w:sz w:val="24"/>
                <w:szCs w:val="24"/>
              </w:rPr>
            </m:ctrlPr>
          </m:e>
          <m:sub>
            <m:r>
              <w:rPr>
                <w:rFonts w:hint="default" w:ascii="Cambria Math" w:hAnsi="Cambria Math" w:eastAsia="宋体" w:cs="Times New Roman"/>
                <w:color w:val="000000" w:themeColor="text1"/>
                <w:sz w:val="24"/>
                <w:szCs w:val="24"/>
              </w:rPr>
              <m:t>i</m:t>
            </m:r>
            <m:ctrlPr>
              <w:rPr>
                <w:rFonts w:hint="default" w:ascii="Cambria Math" w:hAnsi="Cambria Math" w:eastAsia="宋体" w:cs="Times New Roman"/>
                <w:color w:val="000000" w:themeColor="text1"/>
                <w:sz w:val="24"/>
                <w:szCs w:val="24"/>
              </w:rPr>
            </m:ctrlPr>
          </m:sub>
        </m:sSub>
      </m:oMath>
      <w:r>
        <w:rPr>
          <w:rFonts w:hint="default" w:ascii="Times New Roman" w:hAnsi="Times New Roman" w:eastAsia="宋体" w:cs="Times New Roman"/>
          <w:color w:val="000000" w:themeColor="text1"/>
          <w:sz w:val="24"/>
          <w:szCs w:val="24"/>
        </w:rPr>
        <w:t xml:space="preserve"> ——第i个污染物的最大地面空气质量浓度 占标率，%；</w:t>
      </w:r>
    </w:p>
    <w:p>
      <w:pPr>
        <w:spacing w:line="480" w:lineRule="exact"/>
        <w:ind w:firstLine="422" w:firstLineChars="176"/>
        <w:jc w:val="left"/>
        <w:rPr>
          <w:rFonts w:hint="default" w:ascii="Times New Roman" w:hAnsi="Times New Roman" w:eastAsia="宋体" w:cs="Times New Roman"/>
          <w:color w:val="000000" w:themeColor="text1"/>
          <w:sz w:val="24"/>
          <w:szCs w:val="24"/>
        </w:rPr>
      </w:pPr>
      <m:oMath>
        <m:sSub>
          <m:sSubPr>
            <m:ctrlPr>
              <w:rPr>
                <w:rFonts w:hint="default" w:ascii="Cambria Math" w:hAnsi="Cambria Math" w:eastAsia="宋体" w:cs="Times New Roman"/>
                <w:i/>
                <w:color w:val="000000" w:themeColor="text1"/>
                <w:sz w:val="24"/>
                <w:szCs w:val="24"/>
              </w:rPr>
            </m:ctrlPr>
          </m:sSubPr>
          <m:e>
            <m:r>
              <w:rPr>
                <w:rFonts w:hint="default" w:ascii="Cambria Math" w:hAnsi="Cambria Math" w:eastAsia="宋体" w:cs="Times New Roman"/>
                <w:color w:val="000000" w:themeColor="text1"/>
                <w:sz w:val="24"/>
                <w:szCs w:val="24"/>
              </w:rPr>
              <m:t>C</m:t>
            </m:r>
            <m:ctrlPr>
              <w:rPr>
                <w:rFonts w:hint="default" w:ascii="Cambria Math" w:hAnsi="Cambria Math" w:eastAsia="宋体" w:cs="Times New Roman"/>
                <w:i/>
                <w:color w:val="000000" w:themeColor="text1"/>
                <w:sz w:val="24"/>
                <w:szCs w:val="24"/>
              </w:rPr>
            </m:ctrlPr>
          </m:e>
          <m:sub>
            <m:r>
              <w:rPr>
                <w:rFonts w:hint="default" w:ascii="Cambria Math" w:hAnsi="Cambria Math" w:eastAsia="宋体" w:cs="Times New Roman"/>
                <w:color w:val="000000" w:themeColor="text1"/>
                <w:sz w:val="24"/>
                <w:szCs w:val="24"/>
              </w:rPr>
              <m:t>i</m:t>
            </m:r>
            <m:ctrlPr>
              <w:rPr>
                <w:rFonts w:hint="default" w:ascii="Cambria Math" w:hAnsi="Cambria Math" w:eastAsia="宋体" w:cs="Times New Roman"/>
                <w:i/>
                <w:color w:val="000000" w:themeColor="text1"/>
                <w:sz w:val="24"/>
                <w:szCs w:val="24"/>
              </w:rPr>
            </m:ctrlPr>
          </m:sub>
        </m:sSub>
      </m:oMath>
      <w:r>
        <w:rPr>
          <w:rFonts w:hint="default" w:ascii="Times New Roman" w:hAnsi="Times New Roman" w:eastAsia="宋体" w:cs="Times New Roman"/>
          <w:color w:val="000000" w:themeColor="text1"/>
          <w:sz w:val="24"/>
          <w:szCs w:val="24"/>
        </w:rPr>
        <w:t>——采用估算模型计算出的第i个污染物的最大1h地面空气质量浓度，μg/m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p>
    <w:p>
      <w:pPr>
        <w:spacing w:line="480" w:lineRule="exact"/>
        <w:ind w:firstLine="422" w:firstLineChars="176"/>
        <w:jc w:val="left"/>
        <w:rPr>
          <w:rFonts w:hint="default" w:ascii="Times New Roman" w:hAnsi="Times New Roman" w:eastAsia="宋体" w:cs="Times New Roman"/>
          <w:color w:val="000000" w:themeColor="text1"/>
          <w:sz w:val="24"/>
          <w:szCs w:val="24"/>
        </w:rPr>
      </w:pPr>
      <m:oMath>
        <m:sSub>
          <m:sSubPr>
            <m:ctrlPr>
              <w:rPr>
                <w:rFonts w:hint="default" w:ascii="Cambria Math" w:hAnsi="Cambria Math" w:eastAsia="宋体" w:cs="Times New Roman"/>
                <w:i/>
                <w:color w:val="000000" w:themeColor="text1"/>
                <w:sz w:val="24"/>
                <w:szCs w:val="24"/>
              </w:rPr>
            </m:ctrlPr>
          </m:sSubPr>
          <m:e>
            <m:r>
              <w:rPr>
                <w:rFonts w:hint="default" w:ascii="Cambria Math" w:hAnsi="Cambria Math" w:eastAsia="宋体" w:cs="Times New Roman"/>
                <w:color w:val="000000" w:themeColor="text1"/>
                <w:sz w:val="24"/>
                <w:szCs w:val="24"/>
              </w:rPr>
              <m:t>C</m:t>
            </m:r>
            <m:ctrlPr>
              <w:rPr>
                <w:rFonts w:hint="default" w:ascii="Cambria Math" w:hAnsi="Cambria Math" w:eastAsia="宋体" w:cs="Times New Roman"/>
                <w:i/>
                <w:color w:val="000000" w:themeColor="text1"/>
                <w:sz w:val="24"/>
                <w:szCs w:val="24"/>
              </w:rPr>
            </m:ctrlPr>
          </m:e>
          <m:sub>
            <m:r>
              <w:rPr>
                <w:rFonts w:hint="default" w:ascii="Cambria Math" w:hAnsi="Cambria Math" w:eastAsia="宋体" w:cs="Times New Roman"/>
                <w:color w:val="000000" w:themeColor="text1"/>
                <w:sz w:val="24"/>
                <w:szCs w:val="24"/>
              </w:rPr>
              <m:t>0i</m:t>
            </m:r>
            <m:ctrlPr>
              <w:rPr>
                <w:rFonts w:hint="default" w:ascii="Cambria Math" w:hAnsi="Cambria Math" w:eastAsia="宋体" w:cs="Times New Roman"/>
                <w:i/>
                <w:color w:val="000000" w:themeColor="text1"/>
                <w:sz w:val="24"/>
                <w:szCs w:val="24"/>
              </w:rPr>
            </m:ctrlPr>
          </m:sub>
        </m:sSub>
      </m:oMath>
      <w:r>
        <w:rPr>
          <w:rFonts w:hint="default" w:ascii="Times New Roman" w:hAnsi="Times New Roman" w:eastAsia="宋体" w:cs="Times New Roman"/>
          <w:color w:val="000000" w:themeColor="text1"/>
          <w:sz w:val="24"/>
          <w:szCs w:val="24"/>
        </w:rPr>
        <w:t>——第i个污染物的环境空气质量浓度标准，μg/m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p>
    <w:p>
      <w:pPr>
        <w:spacing w:line="480" w:lineRule="exact"/>
        <w:ind w:firstLine="422" w:firstLineChars="176"/>
        <w:jc w:val="left"/>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评价等级判别表</w:t>
      </w:r>
    </w:p>
    <w:p>
      <w:pPr>
        <w:spacing w:line="480" w:lineRule="exact"/>
        <w:ind w:firstLine="422" w:firstLineChars="176"/>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评价等级按下表的分级判据进行划分</w:t>
      </w:r>
    </w:p>
    <w:p>
      <w:pPr>
        <w:pStyle w:val="25"/>
        <w:spacing w:beforeLines="0" w:afterLines="0"/>
        <w:rPr>
          <w:rFonts w:ascii="Times New Roman" w:hAnsi="Times New Roman"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表2.</w:t>
      </w:r>
      <w:r>
        <w:rPr>
          <w:rFonts w:hint="eastAsia" w:ascii="Times New Roman" w:hAnsi="Times New Roman" w:eastAsia="宋体" w:cs="Times New Roman"/>
          <w:b/>
          <w:bCs w:val="0"/>
          <w:color w:val="000000" w:themeColor="text1"/>
          <w:sz w:val="21"/>
          <w:szCs w:val="21"/>
          <w:lang w:val="en-US" w:eastAsia="zh-CN"/>
        </w:rPr>
        <w:t>5</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 xml:space="preserve"> 评价等级判别表</w:t>
      </w:r>
    </w:p>
    <w:tbl>
      <w:tblPr>
        <w:tblStyle w:val="40"/>
        <w:tblW w:w="898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574"/>
        <w:gridCol w:w="44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57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评价工作等级</w:t>
            </w:r>
          </w:p>
        </w:tc>
        <w:tc>
          <w:tcPr>
            <w:tcW w:w="441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jc w:val="center"/>
        </w:trPr>
        <w:tc>
          <w:tcPr>
            <w:tcW w:w="457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一级评价</w:t>
            </w:r>
          </w:p>
        </w:tc>
        <w:tc>
          <w:tcPr>
            <w:tcW w:w="441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Pmax</w:t>
            </w:r>
            <w:r>
              <w:rPr>
                <w:rFonts w:hint="default" w:ascii="Arial" w:hAnsi="Arial" w:eastAsia="宋体" w:cs="Arial"/>
                <w:color w:val="000000" w:themeColor="text1"/>
              </w:rPr>
              <w:t>≥</w:t>
            </w:r>
            <w:r>
              <w:rPr>
                <w:rFonts w:hint="default" w:ascii="Times New Roman" w:hAnsi="Times New Roman" w:eastAsia="宋体" w:cs="Times New Roman"/>
                <w:color w:val="000000" w:themeColor="text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46" w:hRule="atLeast"/>
          <w:jc w:val="center"/>
        </w:trPr>
        <w:tc>
          <w:tcPr>
            <w:tcW w:w="457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二级评价</w:t>
            </w:r>
          </w:p>
        </w:tc>
        <w:tc>
          <w:tcPr>
            <w:tcW w:w="441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r>
              <w:rPr>
                <w:rFonts w:hint="default" w:ascii="Arial" w:hAnsi="Arial" w:eastAsia="宋体" w:cs="Arial"/>
                <w:color w:val="000000" w:themeColor="text1"/>
              </w:rPr>
              <w:t>≤</w:t>
            </w:r>
            <w:r>
              <w:rPr>
                <w:rFonts w:hint="default" w:ascii="Times New Roman" w:hAnsi="Times New Roman" w:eastAsia="宋体" w:cs="Times New Roman"/>
                <w:color w:val="000000" w:themeColor="text1"/>
              </w:rPr>
              <w:t>Pmax&lt;10%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457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三级评价</w:t>
            </w:r>
          </w:p>
        </w:tc>
        <w:tc>
          <w:tcPr>
            <w:tcW w:w="441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Pmax&lt;1%</w:t>
            </w:r>
          </w:p>
        </w:tc>
      </w:tr>
    </w:tbl>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eastAsia="zh-CN"/>
        </w:rPr>
      </w:pPr>
      <w:r>
        <w:rPr>
          <w:rFonts w:hint="eastAsia" w:ascii="Times New Roman" w:hAnsi="Times New Roman" w:eastAsia="宋体" w:cs="Times New Roman"/>
          <w:b w:val="0"/>
          <w:bCs w:val="0"/>
          <w:color w:val="000000" w:themeColor="text1"/>
          <w:sz w:val="24"/>
          <w:szCs w:val="24"/>
          <w:lang w:val="en-US" w:eastAsia="zh-CN"/>
        </w:rPr>
        <w:t>根据工程分析可知，</w:t>
      </w:r>
      <w:r>
        <w:rPr>
          <w:rFonts w:hint="default" w:ascii="Times New Roman" w:hAnsi="Times New Roman" w:eastAsia="宋体" w:cs="Times New Roman"/>
          <w:b w:val="0"/>
          <w:bCs w:val="0"/>
          <w:color w:val="000000" w:themeColor="text1"/>
          <w:sz w:val="24"/>
          <w:szCs w:val="24"/>
        </w:rPr>
        <w:t>本项目正常工况下颗粒物最大落地浓度</w:t>
      </w:r>
      <w:r>
        <w:rPr>
          <w:rFonts w:hint="eastAsia" w:ascii="Times New Roman" w:hAnsi="Times New Roman"/>
          <w:b w:val="0"/>
          <w:bCs w:val="0"/>
          <w:color w:val="000000" w:themeColor="text1"/>
          <w:sz w:val="24"/>
          <w:szCs w:val="24"/>
          <w:lang w:val="en-US" w:eastAsia="zh-CN"/>
        </w:rPr>
        <w:t>63.44</w:t>
      </w:r>
      <w:r>
        <w:rPr>
          <w:rFonts w:hint="default" w:ascii="Times New Roman" w:hAnsi="Times New Roman" w:eastAsia="宋体" w:cs="Times New Roman"/>
          <w:b w:val="0"/>
          <w:bCs w:val="0"/>
          <w:color w:val="000000" w:themeColor="text1"/>
          <w:sz w:val="24"/>
          <w:szCs w:val="24"/>
        </w:rPr>
        <w:t>mg/m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，占标率</w:t>
      </w:r>
      <w:r>
        <w:rPr>
          <w:rFonts w:hint="eastAsia" w:ascii="Times New Roman" w:hAnsi="Times New Roman" w:eastAsia="宋体" w:cs="Times New Roman"/>
          <w:b w:val="0"/>
          <w:bCs w:val="0"/>
          <w:color w:val="000000" w:themeColor="text1"/>
          <w:sz w:val="24"/>
          <w:szCs w:val="24"/>
          <w:lang w:val="en-US" w:eastAsia="zh-CN"/>
        </w:rPr>
        <w:t>7.0489</w:t>
      </w:r>
      <w:r>
        <w:rPr>
          <w:rFonts w:hint="default" w:ascii="Times New Roman" w:hAnsi="Times New Roman" w:eastAsia="宋体" w:cs="Times New Roman"/>
          <w:b w:val="0"/>
          <w:bCs w:val="0"/>
          <w:color w:val="000000" w:themeColor="text1"/>
          <w:sz w:val="24"/>
          <w:szCs w:val="24"/>
        </w:rPr>
        <w:t>%。根据导则规定，1%≤Pmax&lt;10%</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评价等级为二级。</w:t>
      </w:r>
    </w:p>
    <w:p>
      <w:pPr>
        <w:pStyle w:val="5"/>
        <w:rPr>
          <w:rFonts w:hint="default"/>
          <w:color w:val="000000" w:themeColor="text1"/>
        </w:rPr>
      </w:pPr>
      <w:r>
        <w:rPr>
          <w:rFonts w:hint="default"/>
          <w:color w:val="000000" w:themeColor="text1"/>
        </w:rPr>
        <w:t>声环境影响评价工作等级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根据《环境影响评价技术导则—声环境》（HJ2.4-20</w:t>
      </w:r>
      <w:r>
        <w:rPr>
          <w:rFonts w:hint="eastAsia" w:ascii="Times New Roman" w:hAnsi="Times New Roman" w:eastAsia="宋体" w:cs="Times New Roman"/>
          <w:color w:val="000000" w:themeColor="text1"/>
          <w:sz w:val="24"/>
          <w:szCs w:val="24"/>
          <w:lang w:val="en-US" w:eastAsia="zh-CN"/>
        </w:rPr>
        <w:t>21</w:t>
      </w:r>
      <w:r>
        <w:rPr>
          <w:rFonts w:hint="default" w:ascii="Times New Roman" w:hAnsi="Times New Roman" w:eastAsia="宋体" w:cs="Times New Roman"/>
          <w:color w:val="000000" w:themeColor="text1"/>
          <w:sz w:val="24"/>
          <w:szCs w:val="24"/>
        </w:rPr>
        <w:t>）规定，本项目噪声环境影响评价工作等级判定依据见表2.</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w:t>
      </w:r>
    </w:p>
    <w:p>
      <w:pPr>
        <w:pStyle w:val="25"/>
        <w:spacing w:beforeLines="0" w:afterLines="0"/>
        <w:rPr>
          <w:rFonts w:hint="default" w:ascii="Times New Roman" w:hAnsi="Times New Roman" w:cs="Times New Roman" w:eastAsiaTheme="minorEastAsia"/>
          <w:b/>
          <w:bCs w:val="0"/>
          <w:color w:val="000000" w:themeColor="text1"/>
          <w:sz w:val="21"/>
          <w:szCs w:val="21"/>
        </w:rPr>
      </w:pPr>
      <w:r>
        <w:rPr>
          <w:rFonts w:hint="default" w:ascii="Times New Roman" w:hAnsi="Times New Roman" w:cs="Times New Roman" w:eastAsiaTheme="minorEastAsia"/>
          <w:b/>
          <w:bCs w:val="0"/>
          <w:color w:val="000000" w:themeColor="text1"/>
          <w:sz w:val="21"/>
          <w:szCs w:val="21"/>
        </w:rPr>
        <w:t>表2.</w:t>
      </w:r>
      <w:r>
        <w:rPr>
          <w:rFonts w:hint="eastAsia" w:ascii="Times New Roman" w:hAnsi="Times New Roman" w:cs="Times New Roman" w:eastAsiaTheme="minorEastAsia"/>
          <w:b/>
          <w:bCs w:val="0"/>
          <w:color w:val="000000" w:themeColor="text1"/>
          <w:sz w:val="21"/>
          <w:szCs w:val="21"/>
          <w:lang w:val="en-US" w:eastAsia="zh-CN"/>
        </w:rPr>
        <w:t>5</w:t>
      </w:r>
      <w:r>
        <w:rPr>
          <w:rFonts w:hint="default" w:ascii="Times New Roman" w:hAnsi="Times New Roman" w:cs="Times New Roman" w:eastAsiaTheme="minorEastAsia"/>
          <w:b/>
          <w:bCs w:val="0"/>
          <w:color w:val="000000" w:themeColor="text1"/>
          <w:sz w:val="21"/>
          <w:szCs w:val="21"/>
        </w:rPr>
        <w:t>-</w:t>
      </w:r>
      <w:r>
        <w:rPr>
          <w:rFonts w:hint="eastAsia" w:ascii="Times New Roman" w:hAnsi="Times New Roman" w:cs="Times New Roman" w:eastAsiaTheme="minorEastAsia"/>
          <w:b/>
          <w:bCs w:val="0"/>
          <w:color w:val="000000" w:themeColor="text1"/>
          <w:sz w:val="21"/>
          <w:szCs w:val="21"/>
          <w:lang w:val="en-US" w:eastAsia="zh-CN"/>
        </w:rPr>
        <w:t>3</w:t>
      </w:r>
      <w:r>
        <w:rPr>
          <w:rFonts w:hint="default" w:ascii="Times New Roman" w:hAnsi="Times New Roman" w:cs="Times New Roman" w:eastAsiaTheme="minorEastAsia"/>
          <w:b/>
          <w:bCs w:val="0"/>
          <w:color w:val="000000" w:themeColor="text1"/>
          <w:sz w:val="21"/>
          <w:szCs w:val="21"/>
        </w:rPr>
        <w:t xml:space="preserve">  环境噪声影响评价工作等级判定表</w:t>
      </w:r>
    </w:p>
    <w:tbl>
      <w:tblPr>
        <w:tblStyle w:val="39"/>
        <w:tblW w:w="8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357"/>
        <w:gridCol w:w="2383"/>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89"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color w:val="000000" w:themeColor="text1"/>
                <w:sz w:val="21"/>
              </w:rPr>
              <w:pict>
                <v:line id="_x0000_s2116" o:spid="_x0000_s2116" o:spt="20" style="position:absolute;left:0pt;margin-left:-5.45pt;margin-top:-0.2pt;height:28.65pt;width:104.3pt;z-index:251662336;mso-width-relative:page;mso-height-relative:page;" fillcolor="#FFFFFF" filled="t" stroked="t" coordsize="21600,21600">
                  <v:path arrowok="t"/>
                  <v:fill on="t" color2="#FFFFFF" focussize="0,0"/>
                  <v:stroke color="#000000"/>
                  <v:imagedata o:title=""/>
                  <o:lock v:ext="edit" aspectratio="f"/>
                </v:line>
              </w:pict>
            </w:r>
            <w:r>
              <w:rPr>
                <w:rFonts w:ascii="Times New Roman" w:hAnsi="Times New Roman" w:cs="Times New Roman"/>
                <w:bCs/>
                <w:color w:val="000000" w:themeColor="text1"/>
                <w:szCs w:val="21"/>
              </w:rPr>
              <w:t xml:space="preserve">         判定依据</w:t>
            </w:r>
          </w:p>
          <w:p>
            <w:pPr>
              <w:pStyle w:val="97"/>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评价等级</w:t>
            </w:r>
          </w:p>
        </w:tc>
        <w:tc>
          <w:tcPr>
            <w:tcW w:w="2357"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区域声环境功能区划</w:t>
            </w:r>
          </w:p>
        </w:tc>
        <w:tc>
          <w:tcPr>
            <w:tcW w:w="2383"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建设前后敏感目标噪声级增高量</w:t>
            </w:r>
          </w:p>
        </w:tc>
        <w:tc>
          <w:tcPr>
            <w:tcW w:w="2131"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受噪声影响范围内的人口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2089"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一级评价</w:t>
            </w:r>
          </w:p>
        </w:tc>
        <w:tc>
          <w:tcPr>
            <w:tcW w:w="2357"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0类</w:t>
            </w:r>
          </w:p>
        </w:tc>
        <w:tc>
          <w:tcPr>
            <w:tcW w:w="2383"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&gt;5dB（A）</w:t>
            </w:r>
          </w:p>
        </w:tc>
        <w:tc>
          <w:tcPr>
            <w:tcW w:w="2131"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显著增多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2089"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二级评价</w:t>
            </w:r>
          </w:p>
        </w:tc>
        <w:tc>
          <w:tcPr>
            <w:tcW w:w="2357"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1类、2类</w:t>
            </w:r>
          </w:p>
        </w:tc>
        <w:tc>
          <w:tcPr>
            <w:tcW w:w="2383"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3~5dB（A）</w:t>
            </w:r>
          </w:p>
        </w:tc>
        <w:tc>
          <w:tcPr>
            <w:tcW w:w="2131"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增加较多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089"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三级评价</w:t>
            </w:r>
          </w:p>
        </w:tc>
        <w:tc>
          <w:tcPr>
            <w:tcW w:w="2357"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3类、4类</w:t>
            </w:r>
          </w:p>
        </w:tc>
        <w:tc>
          <w:tcPr>
            <w:tcW w:w="2383"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&lt;3 dB（A）</w:t>
            </w:r>
          </w:p>
        </w:tc>
        <w:tc>
          <w:tcPr>
            <w:tcW w:w="2131"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变化不大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2089" w:type="dxa"/>
            <w:vMerge w:val="restar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本项目</w:t>
            </w:r>
          </w:p>
        </w:tc>
        <w:tc>
          <w:tcPr>
            <w:tcW w:w="2357"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hint="eastAsia" w:ascii="Times New Roman" w:hAnsi="Times New Roman" w:cs="Times New Roman"/>
                <w:bCs/>
                <w:color w:val="000000" w:themeColor="text1"/>
                <w:szCs w:val="21"/>
                <w:lang w:val="en-US" w:eastAsia="zh-CN"/>
              </w:rPr>
              <w:t>2</w:t>
            </w:r>
            <w:r>
              <w:rPr>
                <w:rFonts w:ascii="Times New Roman" w:hAnsi="Times New Roman" w:cs="Times New Roman"/>
                <w:bCs/>
                <w:color w:val="000000" w:themeColor="text1"/>
                <w:szCs w:val="21"/>
              </w:rPr>
              <w:t>类</w:t>
            </w:r>
          </w:p>
        </w:tc>
        <w:tc>
          <w:tcPr>
            <w:tcW w:w="2383"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&lt;3 dB（A）</w:t>
            </w:r>
          </w:p>
        </w:tc>
        <w:tc>
          <w:tcPr>
            <w:tcW w:w="2131" w:type="dxa"/>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变化不大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089" w:type="dxa"/>
            <w:vMerge w:val="continue"/>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p>
        </w:tc>
        <w:tc>
          <w:tcPr>
            <w:tcW w:w="6871" w:type="dxa"/>
            <w:gridSpan w:val="3"/>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olor w:val="000000" w:themeColor="text1"/>
                <w:szCs w:val="21"/>
              </w:rPr>
            </w:pPr>
            <w:r>
              <w:rPr>
                <w:rFonts w:ascii="Times New Roman" w:hAnsi="Times New Roman" w:cs="Times New Roman"/>
                <w:bCs/>
                <w:color w:val="000000" w:themeColor="text1"/>
                <w:szCs w:val="21"/>
              </w:rPr>
              <w:t>二级评价</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本项目区域声功能区划属于</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类区，建设前后敏感目标噪声增高量小于3dB（A），受噪声影响范围内人口变化不大，噪声环境影响评价工作等级为二级。</w:t>
      </w:r>
    </w:p>
    <w:p>
      <w:pPr>
        <w:pStyle w:val="5"/>
        <w:rPr>
          <w:rFonts w:hint="default"/>
          <w:color w:val="000000" w:themeColor="text1"/>
        </w:rPr>
      </w:pPr>
      <w:r>
        <w:rPr>
          <w:rFonts w:hint="default"/>
          <w:color w:val="000000" w:themeColor="text1"/>
        </w:rPr>
        <w:t>地表水环境评价等级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本项目</w:t>
      </w:r>
      <w:r>
        <w:rPr>
          <w:rFonts w:hint="default" w:ascii="Times New Roman" w:hAnsi="Times New Roman" w:eastAsia="宋体" w:cs="Times New Roman"/>
          <w:color w:val="000000" w:themeColor="text1"/>
          <w:sz w:val="24"/>
          <w:szCs w:val="24"/>
        </w:rPr>
        <w:t>废水主要是</w:t>
      </w:r>
      <w:r>
        <w:rPr>
          <w:rFonts w:hint="eastAsia" w:ascii="Times New Roman" w:hAnsi="Times New Roman" w:eastAsia="宋体" w:cs="Times New Roman"/>
          <w:color w:val="000000" w:themeColor="text1"/>
          <w:sz w:val="24"/>
          <w:szCs w:val="24"/>
          <w:lang w:val="en-US" w:eastAsia="zh-CN"/>
        </w:rPr>
        <w:t>除尘废水、</w:t>
      </w:r>
      <w:r>
        <w:rPr>
          <w:rFonts w:hint="default" w:ascii="Times New Roman" w:hAnsi="Times New Roman" w:eastAsia="宋体" w:cs="Times New Roman"/>
          <w:color w:val="000000" w:themeColor="text1"/>
          <w:sz w:val="24"/>
          <w:szCs w:val="24"/>
        </w:rPr>
        <w:t>生活污水，</w:t>
      </w:r>
      <w:r>
        <w:rPr>
          <w:rFonts w:hint="eastAsia" w:ascii="Times New Roman" w:hAnsi="Times New Roman" w:eastAsia="宋体" w:cs="Times New Roman"/>
          <w:color w:val="000000" w:themeColor="text1"/>
          <w:sz w:val="24"/>
          <w:szCs w:val="24"/>
          <w:lang w:val="en-US" w:eastAsia="zh-CN"/>
        </w:rPr>
        <w:t>产生量较</w:t>
      </w:r>
      <w:r>
        <w:rPr>
          <w:rFonts w:hint="default" w:ascii="Times New Roman" w:hAnsi="Times New Roman" w:eastAsia="宋体" w:cs="Times New Roman"/>
          <w:color w:val="000000" w:themeColor="text1"/>
          <w:sz w:val="24"/>
          <w:szCs w:val="24"/>
        </w:rPr>
        <w:t>小，</w:t>
      </w:r>
      <w:r>
        <w:rPr>
          <w:rFonts w:hint="eastAsia" w:ascii="Times New Roman" w:hAnsi="Times New Roman" w:eastAsia="宋体" w:cs="Times New Roman"/>
          <w:color w:val="000000" w:themeColor="text1"/>
          <w:sz w:val="24"/>
          <w:szCs w:val="24"/>
          <w:lang w:val="en-US" w:eastAsia="zh-CN"/>
        </w:rPr>
        <w:t>处理后回用，不外排</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依据《环境影响评价技术导则地表水环境》（HJ2.3-2018）中地表水环境影响评价工作分级判据，本项目地表水环境影响评价等级确定为三级B。</w:t>
      </w:r>
    </w:p>
    <w:p>
      <w:pPr>
        <w:pStyle w:val="5"/>
        <w:rPr>
          <w:rFonts w:hint="default"/>
          <w:color w:val="000000" w:themeColor="text1"/>
        </w:rPr>
      </w:pPr>
      <w:r>
        <w:rPr>
          <w:rFonts w:hint="default"/>
          <w:color w:val="000000" w:themeColor="text1"/>
        </w:rPr>
        <w:t>地下水评价工作等级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本项目为化学矿开采项目，根据《环境影响评价技术导则—地下水环境》（HJ610-2016）附录A，确定本项目的地下水环境影响评价项目类别为Ⅰ类建设项目。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建设项目的地下水环境敏感程度分为敏感、较敏感、不敏感三级，分级原则见表2.</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rPr>
        <w:t>。</w:t>
      </w:r>
    </w:p>
    <w:p>
      <w:pPr>
        <w:pStyle w:val="25"/>
        <w:spacing w:beforeLines="0" w:afterLines="0"/>
        <w:rPr>
          <w:rFonts w:hint="default" w:ascii="Times New Roman" w:hAnsi="Times New Roman" w:cs="Times New Roman" w:eastAsiaTheme="minorEastAsia"/>
          <w:b/>
          <w:bCs w:val="0"/>
          <w:color w:val="000000" w:themeColor="text1"/>
          <w:sz w:val="21"/>
          <w:szCs w:val="21"/>
        </w:rPr>
      </w:pPr>
      <w:r>
        <w:rPr>
          <w:rFonts w:hint="default" w:ascii="Times New Roman" w:hAnsi="Times New Roman" w:cs="Times New Roman" w:eastAsiaTheme="minorEastAsia"/>
          <w:b/>
          <w:bCs w:val="0"/>
          <w:color w:val="000000" w:themeColor="text1"/>
          <w:sz w:val="21"/>
          <w:szCs w:val="21"/>
        </w:rPr>
        <w:t>表2.</w:t>
      </w:r>
      <w:r>
        <w:rPr>
          <w:rFonts w:hint="eastAsia" w:ascii="Times New Roman" w:hAnsi="Times New Roman" w:cs="Times New Roman" w:eastAsiaTheme="minorEastAsia"/>
          <w:b/>
          <w:bCs w:val="0"/>
          <w:color w:val="000000" w:themeColor="text1"/>
          <w:sz w:val="21"/>
          <w:szCs w:val="21"/>
          <w:lang w:val="en-US" w:eastAsia="zh-CN"/>
        </w:rPr>
        <w:t>5</w:t>
      </w:r>
      <w:r>
        <w:rPr>
          <w:rFonts w:hint="default" w:ascii="Times New Roman" w:hAnsi="Times New Roman" w:cs="Times New Roman" w:eastAsiaTheme="minorEastAsia"/>
          <w:b/>
          <w:bCs w:val="0"/>
          <w:color w:val="000000" w:themeColor="text1"/>
          <w:sz w:val="21"/>
          <w:szCs w:val="21"/>
        </w:rPr>
        <w:t>-</w:t>
      </w:r>
      <w:r>
        <w:rPr>
          <w:rFonts w:hint="eastAsia" w:ascii="Times New Roman" w:hAnsi="Times New Roman" w:cs="Times New Roman" w:eastAsiaTheme="minorEastAsia"/>
          <w:b/>
          <w:bCs w:val="0"/>
          <w:color w:val="000000" w:themeColor="text1"/>
          <w:sz w:val="21"/>
          <w:szCs w:val="21"/>
          <w:lang w:val="en-US" w:eastAsia="zh-CN"/>
        </w:rPr>
        <w:t>4</w:t>
      </w:r>
      <w:r>
        <w:rPr>
          <w:rFonts w:hint="default" w:ascii="Times New Roman" w:hAnsi="Times New Roman" w:cs="Times New Roman" w:eastAsiaTheme="minorEastAsia"/>
          <w:b/>
          <w:bCs w:val="0"/>
          <w:color w:val="000000" w:themeColor="text1"/>
          <w:sz w:val="21"/>
          <w:szCs w:val="21"/>
        </w:rPr>
        <w:t xml:space="preserve">  地下水环境敏感程度分级表</w:t>
      </w:r>
    </w:p>
    <w:tbl>
      <w:tblPr>
        <w:tblStyle w:val="39"/>
        <w:tblW w:w="8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4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Cs/>
                <w:color w:val="000000" w:themeColor="text1"/>
                <w:sz w:val="21"/>
                <w:szCs w:val="21"/>
              </w:rPr>
            </w:pPr>
            <w:r>
              <w:rPr>
                <w:rFonts w:hint="eastAsia"/>
                <w:bCs/>
                <w:color w:val="000000" w:themeColor="text1"/>
                <w:sz w:val="21"/>
                <w:szCs w:val="21"/>
              </w:rPr>
              <w:t>敏感程度</w:t>
            </w:r>
          </w:p>
        </w:tc>
        <w:tc>
          <w:tcPr>
            <w:tcW w:w="7434"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Cs/>
                <w:color w:val="000000" w:themeColor="text1"/>
                <w:sz w:val="21"/>
                <w:szCs w:val="21"/>
              </w:rPr>
            </w:pPr>
            <w:r>
              <w:rPr>
                <w:rFonts w:hint="eastAsia"/>
                <w:bCs/>
                <w:color w:val="000000" w:themeColor="text1"/>
                <w:sz w:val="21"/>
                <w:szCs w:val="21"/>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Cs/>
                <w:color w:val="000000" w:themeColor="text1"/>
                <w:sz w:val="21"/>
                <w:szCs w:val="21"/>
              </w:rPr>
            </w:pPr>
            <w:r>
              <w:rPr>
                <w:rFonts w:hint="eastAsia"/>
                <w:bCs/>
                <w:color w:val="000000" w:themeColor="text1"/>
                <w:sz w:val="21"/>
                <w:szCs w:val="21"/>
              </w:rPr>
              <w:t>敏感</w:t>
            </w:r>
          </w:p>
        </w:tc>
        <w:tc>
          <w:tcPr>
            <w:tcW w:w="7434"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jc w:val="left"/>
              <w:textAlignment w:val="auto"/>
              <w:rPr>
                <w:bCs/>
                <w:color w:val="000000" w:themeColor="text1"/>
                <w:sz w:val="21"/>
                <w:szCs w:val="21"/>
              </w:rPr>
            </w:pPr>
            <w:r>
              <w:rPr>
                <w:rFonts w:hint="eastAsia"/>
                <w:bCs/>
                <w:color w:val="000000" w:themeColor="text1"/>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Cs/>
                <w:color w:val="000000" w:themeColor="text1"/>
                <w:sz w:val="21"/>
                <w:szCs w:val="21"/>
              </w:rPr>
            </w:pPr>
            <w:r>
              <w:rPr>
                <w:rFonts w:hint="eastAsia"/>
                <w:bCs/>
                <w:color w:val="000000" w:themeColor="text1"/>
                <w:sz w:val="21"/>
                <w:szCs w:val="21"/>
              </w:rPr>
              <w:t>较敏感</w:t>
            </w:r>
          </w:p>
        </w:tc>
        <w:tc>
          <w:tcPr>
            <w:tcW w:w="7434"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jc w:val="left"/>
              <w:textAlignment w:val="auto"/>
              <w:rPr>
                <w:bCs/>
                <w:color w:val="000000" w:themeColor="text1"/>
                <w:sz w:val="21"/>
                <w:szCs w:val="21"/>
              </w:rPr>
            </w:pPr>
            <w:r>
              <w:rPr>
                <w:rFonts w:hint="eastAsia"/>
                <w:bCs/>
                <w:color w:val="000000" w:themeColor="text1"/>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hint="eastAsia"/>
                <w:bCs/>
                <w:color w:val="000000" w:themeColor="text1"/>
                <w:sz w:val="21"/>
                <w:szCs w:val="21"/>
                <w:vertAlign w:val="superscript"/>
              </w:rPr>
              <w:t>a</w:t>
            </w:r>
            <w:r>
              <w:rPr>
                <w:rFonts w:hint="eastAsia"/>
                <w:bCs/>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Cs/>
                <w:color w:val="000000" w:themeColor="text1"/>
                <w:sz w:val="21"/>
                <w:szCs w:val="21"/>
              </w:rPr>
            </w:pPr>
            <w:r>
              <w:rPr>
                <w:rFonts w:hint="eastAsia"/>
                <w:bCs/>
                <w:color w:val="000000" w:themeColor="text1"/>
                <w:sz w:val="21"/>
                <w:szCs w:val="21"/>
              </w:rPr>
              <w:t>不敏感</w:t>
            </w:r>
          </w:p>
        </w:tc>
        <w:tc>
          <w:tcPr>
            <w:tcW w:w="7434" w:type="dxa"/>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jc w:val="left"/>
              <w:textAlignment w:val="auto"/>
              <w:rPr>
                <w:bCs/>
                <w:color w:val="000000" w:themeColor="text1"/>
                <w:sz w:val="21"/>
                <w:szCs w:val="21"/>
              </w:rPr>
            </w:pPr>
            <w:r>
              <w:rPr>
                <w:rFonts w:hint="eastAsia"/>
                <w:bCs/>
                <w:color w:val="000000" w:themeColor="text1"/>
                <w:sz w:val="21"/>
                <w:szCs w:val="21"/>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60" w:type="dxa"/>
            <w:gridSpan w:val="2"/>
            <w:tcBorders>
              <w:tl2br w:val="nil"/>
              <w:tr2bl w:val="nil"/>
            </w:tcBorders>
            <w:shd w:val="clear" w:color="auto" w:fill="auto"/>
            <w:vAlign w:val="center"/>
          </w:tcPr>
          <w:p>
            <w:pPr>
              <w:pStyle w:val="43"/>
              <w:keepNext w:val="0"/>
              <w:keepLines w:val="0"/>
              <w:pageBreakBefore w:val="0"/>
              <w:widowControl w:val="0"/>
              <w:kinsoku/>
              <w:wordWrap/>
              <w:overflowPunct/>
              <w:topLinePunct w:val="0"/>
              <w:autoSpaceDE/>
              <w:autoSpaceDN/>
              <w:bidi w:val="0"/>
              <w:adjustRightInd w:val="0"/>
              <w:snapToGrid w:val="0"/>
              <w:jc w:val="left"/>
              <w:textAlignment w:val="auto"/>
              <w:rPr>
                <w:bCs/>
                <w:color w:val="000000" w:themeColor="text1"/>
                <w:sz w:val="21"/>
                <w:szCs w:val="21"/>
              </w:rPr>
            </w:pPr>
            <w:r>
              <w:rPr>
                <w:rFonts w:hint="default" w:ascii="Times New Roman" w:hAnsi="Times New Roman" w:eastAsia="宋体" w:cs="Times New Roman"/>
                <w:bCs/>
                <w:color w:val="000000" w:themeColor="text1"/>
                <w:sz w:val="21"/>
                <w:szCs w:val="21"/>
              </w:rPr>
              <w:t>注：a</w:t>
            </w:r>
            <w:r>
              <w:rPr>
                <w:rFonts w:hint="eastAsia" w:ascii="Times New Roman" w:eastAsia="宋体"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环境敏感区</w:t>
            </w:r>
            <w:r>
              <w:rPr>
                <w:rFonts w:hint="eastAsia" w:ascii="Times New Roman" w:eastAsia="宋体"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指《建设项目环境影响评价分类管理名录》中所界定的涉及地下水的环境敏感区。</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根据现场勘查，项目所在区域不属于生活供水水源地准保护区、不属于热水、矿泉水、温泉等特殊地下水源保护区、也不属于补给径流区，本项目水文地质单位内</w:t>
      </w:r>
      <w:r>
        <w:rPr>
          <w:rFonts w:hint="default" w:ascii="Times New Roman" w:hAnsi="Times New Roman" w:eastAsia="宋体" w:cs="Times New Roman"/>
          <w:color w:val="FF0000"/>
          <w:sz w:val="24"/>
          <w:szCs w:val="24"/>
          <w:lang w:val="en-US" w:eastAsia="zh-CN"/>
        </w:rPr>
        <w:t>居民饮用水为自来水，周边现有水井已废弃</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因此，不属于分散居民饮用水源等其它环境敏感区，本项目所在区域属于地下水环境不敏感区。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建设项目地下水环境影响评价工作等级划分见表2.</w:t>
      </w:r>
      <w:r>
        <w:rPr>
          <w:rFonts w:hint="default"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w:t>
      </w:r>
    </w:p>
    <w:p>
      <w:pPr>
        <w:pStyle w:val="25"/>
        <w:spacing w:beforeLines="0" w:afterLines="0"/>
        <w:rPr>
          <w:rFonts w:ascii="Times New Roman" w:hAnsi="Times New Roman" w:cs="Times New Roman" w:eastAsiaTheme="minorEastAsia"/>
          <w:b/>
          <w:bCs w:val="0"/>
          <w:color w:val="000000" w:themeColor="text1"/>
          <w:sz w:val="21"/>
          <w:szCs w:val="21"/>
        </w:rPr>
      </w:pPr>
      <w:r>
        <w:rPr>
          <w:rFonts w:ascii="Times New Roman" w:cs="Times New Roman" w:hAnsiTheme="minorEastAsia" w:eastAsiaTheme="minorEastAsia"/>
          <w:b/>
          <w:bCs w:val="0"/>
          <w:color w:val="000000" w:themeColor="text1"/>
          <w:sz w:val="21"/>
          <w:szCs w:val="21"/>
        </w:rPr>
        <w:t>表</w:t>
      </w:r>
      <w:r>
        <w:rPr>
          <w:rFonts w:ascii="Times New Roman" w:hAnsi="Times New Roman" w:cs="Times New Roman" w:eastAsiaTheme="minorEastAsia"/>
          <w:b/>
          <w:bCs w:val="0"/>
          <w:color w:val="000000" w:themeColor="text1"/>
          <w:sz w:val="21"/>
          <w:szCs w:val="21"/>
        </w:rPr>
        <w:t>2.</w:t>
      </w:r>
      <w:r>
        <w:rPr>
          <w:rFonts w:hint="eastAsia" w:ascii="Times New Roman" w:hAnsi="Times New Roman" w:cs="Times New Roman" w:eastAsiaTheme="minorEastAsia"/>
          <w:b/>
          <w:bCs w:val="0"/>
          <w:color w:val="000000" w:themeColor="text1"/>
          <w:sz w:val="21"/>
          <w:szCs w:val="21"/>
          <w:lang w:val="en-US" w:eastAsia="zh-CN"/>
        </w:rPr>
        <w:t>5</w:t>
      </w:r>
      <w:r>
        <w:rPr>
          <w:rFonts w:ascii="Times New Roman" w:hAnsi="Times New Roman" w:cs="Times New Roman" w:eastAsiaTheme="minorEastAsia"/>
          <w:b/>
          <w:bCs w:val="0"/>
          <w:color w:val="000000" w:themeColor="text1"/>
          <w:sz w:val="21"/>
          <w:szCs w:val="21"/>
        </w:rPr>
        <w:t>-</w:t>
      </w:r>
      <w:r>
        <w:rPr>
          <w:rFonts w:hint="eastAsia" w:ascii="Times New Roman" w:hAnsi="Times New Roman" w:cs="Times New Roman" w:eastAsiaTheme="minorEastAsia"/>
          <w:b/>
          <w:bCs w:val="0"/>
          <w:color w:val="000000" w:themeColor="text1"/>
          <w:sz w:val="21"/>
          <w:szCs w:val="21"/>
          <w:lang w:val="en-US" w:eastAsia="zh-CN"/>
        </w:rPr>
        <w:t>5</w:t>
      </w:r>
      <w:r>
        <w:rPr>
          <w:rFonts w:ascii="Times New Roman" w:hAnsi="Times New Roman" w:cs="Times New Roman" w:eastAsiaTheme="minorEastAsia"/>
          <w:b/>
          <w:bCs w:val="0"/>
          <w:color w:val="000000" w:themeColor="text1"/>
          <w:sz w:val="21"/>
          <w:szCs w:val="21"/>
        </w:rPr>
        <w:t xml:space="preserve">  </w:t>
      </w:r>
      <w:r>
        <w:rPr>
          <w:rFonts w:ascii="Times New Roman" w:cs="Times New Roman" w:hAnsiTheme="minorEastAsia" w:eastAsiaTheme="minorEastAsia"/>
          <w:b/>
          <w:bCs w:val="0"/>
          <w:color w:val="000000" w:themeColor="text1"/>
          <w:sz w:val="21"/>
          <w:szCs w:val="21"/>
        </w:rPr>
        <w:t>评价工作等级划分表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2311"/>
        <w:gridCol w:w="2886"/>
        <w:gridCol w:w="2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1" w:type="dxa"/>
            <w:tcBorders>
              <w:tl2br w:val="nil"/>
              <w:tr2bl w:val="nil"/>
            </w:tcBorders>
            <w:shd w:val="clear" w:color="auto" w:fill="auto"/>
          </w:tcPr>
          <w:p>
            <w:pPr>
              <w:pStyle w:val="45"/>
              <w:rPr>
                <w:rFonts w:hint="default" w:ascii="Times New Roman" w:hAnsi="Times New Roman" w:eastAsia="宋体" w:cs="Times New Roman"/>
                <w:bCs/>
                <w:color w:val="000000" w:themeColor="text1"/>
                <w:szCs w:val="21"/>
              </w:rPr>
            </w:pPr>
            <w:r>
              <w:rPr>
                <w:color w:val="000000" w:themeColor="text1"/>
                <w:sz w:val="21"/>
              </w:rPr>
              <w:pict>
                <v:line id="_x0000_s2115" o:spid="_x0000_s2115" o:spt="20" style="position:absolute;left:0pt;flip:x y;margin-left:-3.85pt;margin-top:-0.15pt;height:39.25pt;width:73.65pt;z-index:251661312;mso-width-relative:page;mso-height-relative:page;" fillcolor="#FFFFFF" filled="t" stroked="t" coordsize="21600,21600">
                  <v:path arrowok="t"/>
                  <v:fill on="t" color2="#FFFFFF" focussize="0,0"/>
                  <v:stroke color="#000000"/>
                  <v:imagedata o:title=""/>
                  <o:lock v:ext="edit" aspectratio="f"/>
                </v:line>
              </w:pict>
            </w:r>
            <w:r>
              <w:rPr>
                <w:rFonts w:hint="default" w:ascii="Times New Roman" w:hAnsi="Times New Roman" w:eastAsia="宋体" w:cs="Times New Roman"/>
                <w:bCs/>
                <w:color w:val="000000" w:themeColor="text1"/>
                <w:szCs w:val="21"/>
              </w:rPr>
              <w:t xml:space="preserve">  项目类别</w:t>
            </w:r>
          </w:p>
          <w:p>
            <w:pPr>
              <w:pStyle w:val="45"/>
              <w:jc w:val="both"/>
              <w:rPr>
                <w:rFonts w:hint="default" w:ascii="Times New Roman" w:hAnsi="Times New Roman" w:eastAsia="宋体" w:cs="Times New Roman"/>
                <w:bCs/>
                <w:color w:val="000000" w:themeColor="text1"/>
                <w:szCs w:val="21"/>
              </w:rPr>
            </w:pPr>
          </w:p>
          <w:p>
            <w:pPr>
              <w:pStyle w:val="45"/>
              <w:jc w:val="both"/>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敏感程度</w:t>
            </w:r>
          </w:p>
        </w:tc>
        <w:tc>
          <w:tcPr>
            <w:tcW w:w="231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Ⅰ类项目</w:t>
            </w:r>
          </w:p>
        </w:tc>
        <w:tc>
          <w:tcPr>
            <w:tcW w:w="2886"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Ⅱ类项目</w:t>
            </w:r>
          </w:p>
        </w:tc>
        <w:tc>
          <w:tcPr>
            <w:tcW w:w="2239"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敏感</w:t>
            </w:r>
          </w:p>
        </w:tc>
        <w:tc>
          <w:tcPr>
            <w:tcW w:w="231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一</w:t>
            </w:r>
          </w:p>
        </w:tc>
        <w:tc>
          <w:tcPr>
            <w:tcW w:w="2886"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一</w:t>
            </w:r>
          </w:p>
        </w:tc>
        <w:tc>
          <w:tcPr>
            <w:tcW w:w="2239"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较敏感</w:t>
            </w:r>
          </w:p>
        </w:tc>
        <w:tc>
          <w:tcPr>
            <w:tcW w:w="231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一</w:t>
            </w:r>
          </w:p>
        </w:tc>
        <w:tc>
          <w:tcPr>
            <w:tcW w:w="2886"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二</w:t>
            </w:r>
          </w:p>
        </w:tc>
        <w:tc>
          <w:tcPr>
            <w:tcW w:w="2239"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不敏感</w:t>
            </w:r>
          </w:p>
        </w:tc>
        <w:tc>
          <w:tcPr>
            <w:tcW w:w="2311"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二</w:t>
            </w:r>
          </w:p>
        </w:tc>
        <w:tc>
          <w:tcPr>
            <w:tcW w:w="2886"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三</w:t>
            </w:r>
          </w:p>
        </w:tc>
        <w:tc>
          <w:tcPr>
            <w:tcW w:w="2239" w:type="dxa"/>
            <w:tcBorders>
              <w:tl2br w:val="nil"/>
              <w:tr2bl w:val="nil"/>
            </w:tcBorders>
            <w:shd w:val="clear" w:color="auto" w:fill="auto"/>
            <w:vAlign w:val="center"/>
          </w:tcPr>
          <w:p>
            <w:pPr>
              <w:pStyle w:val="45"/>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三</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本项目共有</w:t>
      </w:r>
      <w:r>
        <w:rPr>
          <w:rFonts w:hint="eastAsia" w:ascii="Times New Roman" w:hAnsi="Times New Roman" w:eastAsia="宋体" w:cs="Times New Roman"/>
          <w:color w:val="000000" w:themeColor="text1"/>
          <w:sz w:val="24"/>
          <w:szCs w:val="24"/>
          <w:lang w:val="en-US" w:eastAsia="zh-CN"/>
        </w:rPr>
        <w:t>K1和K2两个矿体，两个矿体的环境敏感程度均为不敏感。</w:t>
      </w:r>
      <w:r>
        <w:rPr>
          <w:rFonts w:hint="eastAsia" w:ascii="Times New Roman" w:hAnsi="Times New Roman" w:eastAsia="宋体" w:cs="Times New Roman"/>
          <w:color w:val="000000" w:themeColor="text1"/>
          <w:sz w:val="24"/>
          <w:szCs w:val="24"/>
          <w:lang w:eastAsia="zh-CN"/>
        </w:rPr>
        <w:t>因此</w:t>
      </w:r>
      <w:r>
        <w:rPr>
          <w:rFonts w:hint="default" w:ascii="Times New Roman" w:hAnsi="Times New Roman" w:eastAsia="宋体" w:cs="Times New Roman"/>
          <w:color w:val="000000" w:themeColor="text1"/>
          <w:sz w:val="24"/>
          <w:szCs w:val="24"/>
        </w:rPr>
        <w:t>，本项目</w:t>
      </w:r>
      <w:r>
        <w:rPr>
          <w:rFonts w:hint="eastAsia" w:ascii="Times New Roman" w:hAnsi="Times New Roman" w:eastAsia="宋体" w:cs="Times New Roman"/>
          <w:color w:val="000000" w:themeColor="text1"/>
          <w:sz w:val="24"/>
          <w:szCs w:val="24"/>
          <w:lang w:val="en-US" w:eastAsia="zh-CN"/>
        </w:rPr>
        <w:t>K1和K2矿体</w:t>
      </w:r>
      <w:r>
        <w:rPr>
          <w:rFonts w:hint="default" w:ascii="Times New Roman" w:hAnsi="Times New Roman" w:eastAsia="宋体" w:cs="Times New Roman"/>
          <w:color w:val="000000" w:themeColor="text1"/>
          <w:sz w:val="24"/>
          <w:szCs w:val="24"/>
        </w:rPr>
        <w:t>地下水环境影响评价工作等级划分</w:t>
      </w:r>
      <w:r>
        <w:rPr>
          <w:rFonts w:hint="eastAsia" w:ascii="Times New Roman" w:hAnsi="Times New Roman" w:eastAsia="宋体" w:cs="Times New Roman"/>
          <w:color w:val="000000" w:themeColor="text1"/>
          <w:sz w:val="24"/>
          <w:szCs w:val="24"/>
          <w:lang w:eastAsia="zh-CN"/>
        </w:rPr>
        <w:t>均</w:t>
      </w:r>
      <w:r>
        <w:rPr>
          <w:rFonts w:hint="default" w:ascii="Times New Roman" w:hAnsi="Times New Roman" w:eastAsia="宋体" w:cs="Times New Roman"/>
          <w:color w:val="000000" w:themeColor="text1"/>
          <w:sz w:val="24"/>
          <w:szCs w:val="24"/>
        </w:rPr>
        <w:t>为二级评价。根据《环境影响评价技术导则</w:t>
      </w:r>
      <w:r>
        <w:rPr>
          <w:rFonts w:hint="eastAsia" w:ascii="Times New Roman" w:hAnsi="Times New Roman" w:eastAsia="宋体" w:cs="Times New Roman"/>
          <w:color w:val="000000" w:themeColor="text1"/>
          <w:sz w:val="24"/>
          <w:szCs w:val="24"/>
          <w:lang w:val="en-US" w:eastAsia="zh-CN"/>
        </w:rPr>
        <w:t xml:space="preserve"> </w:t>
      </w:r>
      <w:r>
        <w:rPr>
          <w:rFonts w:hint="default" w:ascii="Times New Roman" w:hAnsi="Times New Roman" w:eastAsia="宋体" w:cs="Times New Roman"/>
          <w:color w:val="000000" w:themeColor="text1"/>
          <w:sz w:val="24"/>
          <w:szCs w:val="24"/>
        </w:rPr>
        <w:t>地下水环境》（HJ610-2016）的要求，地下水环境现状调查评价范围应包括于建设项目相关的地下水环境保护目标，以能说明地下水环境现状，反映调查评价区地下水基本渗流特征，满足地下水环境影响预测和评价为基本原则。</w:t>
      </w:r>
    </w:p>
    <w:p>
      <w:pPr>
        <w:pStyle w:val="5"/>
        <w:rPr>
          <w:rFonts w:hint="default"/>
          <w:color w:val="000000" w:themeColor="text1"/>
        </w:rPr>
      </w:pPr>
      <w:r>
        <w:rPr>
          <w:rFonts w:hint="default"/>
          <w:color w:val="000000" w:themeColor="text1"/>
        </w:rPr>
        <w:t>环境风险评价等级</w:t>
      </w:r>
    </w:p>
    <w:p>
      <w:pPr>
        <w:pStyle w:val="12"/>
        <w:adjustRightInd w:val="0"/>
        <w:snapToGrid w:val="0"/>
        <w:spacing w:after="0" w:line="360" w:lineRule="auto"/>
        <w:ind w:firstLine="480" w:firstLineChars="200"/>
        <w:jc w:val="left"/>
        <w:rPr>
          <w:rFonts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1 \* GB3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color w:val="FF0000"/>
          <w:sz w:val="24"/>
          <w:szCs w:val="24"/>
        </w:rPr>
        <w:fldChar w:fldCharType="end"/>
      </w:r>
      <w:r>
        <w:rPr>
          <w:rFonts w:hint="default" w:ascii="Times New Roman" w:hAnsi="Times New Roman" w:eastAsia="宋体" w:cs="Times New Roman"/>
          <w:color w:val="FF0000"/>
          <w:sz w:val="24"/>
          <w:szCs w:val="24"/>
        </w:rPr>
        <w:t>危险</w:t>
      </w:r>
      <w:r>
        <w:rPr>
          <w:rFonts w:hint="eastAsia" w:ascii="Times New Roman" w:hAnsi="Times New Roman" w:eastAsia="宋体" w:cs="Times New Roman"/>
          <w:color w:val="FF0000"/>
          <w:sz w:val="24"/>
          <w:szCs w:val="24"/>
        </w:rPr>
        <w:t>物质数量与临界量比值（Q）</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FF0000"/>
          <w:sz w:val="24"/>
          <w:szCs w:val="24"/>
          <w:lang w:eastAsia="zh-CN"/>
        </w:rPr>
      </w:pPr>
      <w:r>
        <w:rPr>
          <w:rFonts w:ascii="Times New Roman" w:hAnsi="Times New Roman" w:eastAsia="宋体" w:cs="Times New Roman"/>
          <w:color w:val="FF0000"/>
          <w:sz w:val="24"/>
          <w:szCs w:val="24"/>
        </w:rPr>
        <w:t>根据《建设项目环境风险评价技术导则》（HJ169-2018）附录C，当存在多种危险物质时，按下式计算物质总量与其临界量比值（Q）：</w:t>
      </w:r>
      <w:r>
        <w:rPr>
          <w:rFonts w:hint="eastAsia" w:ascii="Times New Roman" w:hAnsi="Times New Roman" w:eastAsia="宋体" w:cs="Times New Roman"/>
          <w:color w:val="FF0000"/>
          <w:sz w:val="24"/>
          <w:szCs w:val="24"/>
        </w:rPr>
        <w:t>当存在多种危险物质时，按照下式计算物质总量与其临界量比值（Q）</w:t>
      </w:r>
      <w:r>
        <w:rPr>
          <w:rFonts w:hint="eastAsia" w:ascii="Times New Roman" w:hAnsi="Times New Roman" w:eastAsia="宋体" w:cs="Times New Roman"/>
          <w:color w:val="FF0000"/>
          <w:sz w:val="24"/>
          <w:szCs w:val="24"/>
          <w:lang w:eastAsia="zh-CN"/>
        </w:rPr>
        <w:t>：</w:t>
      </w:r>
    </w:p>
    <w:p>
      <w:pPr>
        <w:pStyle w:val="12"/>
        <w:adjustRightInd w:val="0"/>
        <w:snapToGrid w:val="0"/>
        <w:spacing w:after="0" w:line="360" w:lineRule="auto"/>
        <w:ind w:firstLine="480" w:firstLineChars="200"/>
        <w:jc w:val="left"/>
        <w:rPr>
          <w:color w:val="FF0000"/>
          <w:sz w:val="24"/>
          <w:szCs w:val="24"/>
        </w:rPr>
      </w:pPr>
      <w:r>
        <w:rPr>
          <w:rFonts w:hint="eastAsia" w:ascii="Times New Roman" w:hAnsi="Times New Roman" w:eastAsia="宋体" w:cs="Times New Roman"/>
          <w:color w:val="FF0000"/>
          <w:sz w:val="24"/>
          <w:szCs w:val="24"/>
        </w:rPr>
        <w:t>Q=q</w:t>
      </w:r>
      <w:r>
        <w:rPr>
          <w:rFonts w:hint="eastAsia" w:ascii="Times New Roman" w:hAnsi="Times New Roman" w:eastAsia="宋体" w:cs="Times New Roman"/>
          <w:color w:val="FF0000"/>
          <w:sz w:val="24"/>
          <w:szCs w:val="24"/>
          <w:vertAlign w:val="subscript"/>
        </w:rPr>
        <w:t>1</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1</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2</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2</w:t>
      </w:r>
      <w:r>
        <w:rPr>
          <w:rFonts w:hint="eastAsia" w:ascii="Times New Roman" w:hAnsi="Times New Roman" w:eastAsia="宋体" w:cs="Times New Roman"/>
          <w:color w:val="FF0000"/>
          <w:sz w:val="24"/>
          <w:szCs w:val="24"/>
        </w:rPr>
        <w:t>+</w:t>
      </w:r>
      <w:r>
        <w:rPr>
          <w:rFonts w:ascii="Arial" w:hAnsi="Arial" w:eastAsia="宋体" w:cs="Arial"/>
          <w:color w:val="FF0000"/>
          <w:sz w:val="24"/>
          <w:szCs w:val="24"/>
        </w:rPr>
        <w:t>…</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n</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n</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FF0000"/>
          <w:sz w:val="24"/>
          <w:szCs w:val="24"/>
          <w:lang w:eastAsia="zh-CN"/>
        </w:rPr>
      </w:pPr>
      <w:r>
        <w:rPr>
          <w:rFonts w:hint="eastAsia"/>
          <w:color w:val="FF0000"/>
          <w:sz w:val="24"/>
          <w:szCs w:val="24"/>
        </w:rPr>
        <w:t>式中：</w:t>
      </w:r>
      <w:r>
        <w:rPr>
          <w:rFonts w:ascii="Times New Roman" w:hAnsi="Times New Roman" w:eastAsia="宋体" w:cs="Times New Roman"/>
          <w:color w:val="FF0000"/>
          <w:sz w:val="24"/>
          <w:szCs w:val="24"/>
        </w:rPr>
        <w:t xml:space="preserve"> q</w:t>
      </w:r>
      <w:r>
        <w:rPr>
          <w:rFonts w:ascii="Times New Roman" w:hAnsi="Times New Roman" w:eastAsia="宋体" w:cs="Times New Roman"/>
          <w:color w:val="FF0000"/>
          <w:sz w:val="24"/>
          <w:szCs w:val="24"/>
          <w:vertAlign w:val="subscript"/>
        </w:rPr>
        <w:t>1</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2</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n</w:t>
      </w:r>
      <w:r>
        <w:rPr>
          <w:rFonts w:hint="eastAsia" w:ascii="Times New Roman" w:hAnsi="Times New Roman" w:eastAsia="宋体" w:cs="Times New Roman"/>
          <w:color w:val="FF0000"/>
          <w:sz w:val="24"/>
          <w:szCs w:val="24"/>
        </w:rPr>
        <w:t>--每种危险物质的最大存在总量，t</w:t>
      </w:r>
      <w:r>
        <w:rPr>
          <w:rFonts w:hint="eastAsia" w:ascii="Times New Roman" w:hAnsi="Times New Roman" w:eastAsia="宋体" w:cs="Times New Roman"/>
          <w:color w:val="FF0000"/>
          <w:sz w:val="24"/>
          <w:szCs w:val="24"/>
          <w:lang w:eastAsia="zh-CN"/>
        </w:rPr>
        <w:t>；</w:t>
      </w:r>
    </w:p>
    <w:p>
      <w:pPr>
        <w:pStyle w:val="12"/>
        <w:adjustRightInd w:val="0"/>
        <w:snapToGrid w:val="0"/>
        <w:spacing w:after="0" w:line="360" w:lineRule="auto"/>
        <w:ind w:firstLine="480" w:firstLineChars="200"/>
        <w:jc w:val="left"/>
        <w:rPr>
          <w:color w:val="FF0000"/>
          <w:sz w:val="24"/>
          <w:szCs w:val="24"/>
        </w:rPr>
      </w:pP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1</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2</w:t>
      </w:r>
      <w:r>
        <w:rPr>
          <w:rFonts w:ascii="Arial" w:hAnsi="Arial" w:eastAsia="宋体" w:cs="Arial"/>
          <w:color w:val="FF0000"/>
          <w:sz w:val="24"/>
          <w:szCs w:val="24"/>
        </w:rPr>
        <w:t>…</w:t>
      </w:r>
      <w:r>
        <w:rPr>
          <w:rFonts w:hint="eastAsia" w:ascii="Times New Roman" w:hAnsi="Times New Roman" w:eastAsia="宋体" w:cs="Times New Roman"/>
          <w:color w:val="FF0000"/>
          <w:sz w:val="24"/>
          <w:szCs w:val="24"/>
        </w:rPr>
        <w:t>Q</w:t>
      </w:r>
      <w:r>
        <w:rPr>
          <w:rFonts w:hint="eastAsia" w:ascii="Times New Roman" w:hAnsi="Times New Roman" w:eastAsia="宋体" w:cs="Times New Roman"/>
          <w:color w:val="FF0000"/>
          <w:sz w:val="24"/>
          <w:szCs w:val="24"/>
          <w:vertAlign w:val="subscript"/>
        </w:rPr>
        <w:t>n</w:t>
      </w:r>
      <w:r>
        <w:rPr>
          <w:rFonts w:hint="eastAsia" w:ascii="Times New Roman" w:hAnsi="Times New Roman" w:eastAsia="宋体" w:cs="Times New Roman"/>
          <w:color w:val="FF0000"/>
          <w:sz w:val="24"/>
          <w:szCs w:val="24"/>
        </w:rPr>
        <w:t>--每种危险物质的临界量，t。</w:t>
      </w:r>
    </w:p>
    <w:p>
      <w:pPr>
        <w:pStyle w:val="12"/>
        <w:adjustRightInd w:val="0"/>
        <w:snapToGrid w:val="0"/>
        <w:spacing w:after="0" w:line="360" w:lineRule="auto"/>
        <w:ind w:firstLine="480" w:firstLineChars="200"/>
        <w:jc w:val="left"/>
        <w:rPr>
          <w:color w:val="FF0000"/>
          <w:sz w:val="24"/>
          <w:szCs w:val="24"/>
        </w:rPr>
      </w:pPr>
      <w:r>
        <w:rPr>
          <w:rFonts w:hint="eastAsia"/>
          <w:color w:val="FF0000"/>
          <w:sz w:val="24"/>
          <w:szCs w:val="24"/>
        </w:rPr>
        <w:t>当</w:t>
      </w:r>
      <w:r>
        <w:rPr>
          <w:rFonts w:hint="eastAsia" w:ascii="Times New Roman" w:hAnsi="Times New Roman" w:eastAsia="宋体" w:cs="Times New Roman"/>
          <w:color w:val="FF0000"/>
          <w:sz w:val="24"/>
          <w:szCs w:val="24"/>
        </w:rPr>
        <w:t>Q</w:t>
      </w:r>
      <w:r>
        <w:rPr>
          <w:rFonts w:hint="eastAsia" w:ascii="宋体" w:hAnsi="宋体" w:eastAsia="宋体" w:cs="宋体"/>
          <w:color w:val="FF0000"/>
          <w:sz w:val="24"/>
          <w:szCs w:val="24"/>
        </w:rPr>
        <w:t>&lt;</w:t>
      </w:r>
      <w:r>
        <w:rPr>
          <w:rFonts w:hint="eastAsia" w:ascii="Times New Roman" w:hAnsi="Times New Roman" w:eastAsia="宋体" w:cs="Times New Roman"/>
          <w:color w:val="FF0000"/>
          <w:sz w:val="24"/>
          <w:szCs w:val="24"/>
        </w:rPr>
        <w:t>1时，该项目环境风险潜势为</w:t>
      </w:r>
      <w:r>
        <w:rPr>
          <w:rFonts w:ascii="Times New Roman" w:hAnsi="Times New Roman" w:eastAsia="宋体" w:cs="Times New Roman"/>
          <w:color w:val="FF0000"/>
          <w:sz w:val="24"/>
          <w:szCs w:val="24"/>
        </w:rPr>
        <w:fldChar w:fldCharType="begin"/>
      </w:r>
      <w:r>
        <w:rPr>
          <w:rFonts w:ascii="Times New Roman" w:hAnsi="Times New Roman" w:eastAsia="宋体" w:cs="Times New Roman"/>
          <w:color w:val="FF0000"/>
          <w:sz w:val="24"/>
          <w:szCs w:val="24"/>
        </w:rPr>
        <w:instrText xml:space="preserve"> = 1 \* ROMAN \* MERGEFORMAT </w:instrText>
      </w:r>
      <w:r>
        <w:rPr>
          <w:rFonts w:ascii="Times New Roman" w:hAnsi="Times New Roman" w:eastAsia="宋体" w:cs="Times New Roman"/>
          <w:color w:val="FF0000"/>
          <w:sz w:val="24"/>
          <w:szCs w:val="24"/>
        </w:rPr>
        <w:fldChar w:fldCharType="separate"/>
      </w:r>
      <w:r>
        <w:rPr>
          <w:rFonts w:ascii="Times New Roman" w:hAnsi="Times New Roman" w:cs="Times New Roman"/>
          <w:color w:val="FF0000"/>
          <w:sz w:val="24"/>
          <w:szCs w:val="24"/>
        </w:rPr>
        <w:t>I</w:t>
      </w:r>
      <w:r>
        <w:rPr>
          <w:rFonts w:ascii="Times New Roman" w:hAnsi="Times New Roman" w:eastAsia="宋体" w:cs="Times New Roman"/>
          <w:color w:val="FF0000"/>
          <w:sz w:val="24"/>
          <w:szCs w:val="24"/>
        </w:rPr>
        <w:fldChar w:fldCharType="end"/>
      </w:r>
      <w:r>
        <w:rPr>
          <w:rFonts w:hint="eastAsia" w:ascii="Times New Roman" w:hAnsi="Times New Roman" w:eastAsia="宋体" w:cs="Times New Roman"/>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FF0000"/>
          <w:sz w:val="24"/>
          <w:szCs w:val="24"/>
        </w:rPr>
      </w:pPr>
      <w:r>
        <w:rPr>
          <w:rFonts w:hint="eastAsia"/>
          <w:color w:val="FF0000"/>
          <w:sz w:val="24"/>
          <w:szCs w:val="24"/>
        </w:rPr>
        <w:t>当</w:t>
      </w:r>
      <w:r>
        <w:rPr>
          <w:rFonts w:hint="eastAsia" w:ascii="Times New Roman" w:hAnsi="Times New Roman" w:eastAsia="宋体" w:cs="Times New Roman"/>
          <w:color w:val="FF0000"/>
          <w:sz w:val="24"/>
          <w:szCs w:val="24"/>
        </w:rPr>
        <w:t>Q</w:t>
      </w:r>
      <w:r>
        <w:rPr>
          <w:rFonts w:ascii="Arial" w:hAnsi="Arial" w:eastAsia="宋体" w:cs="Arial"/>
          <w:color w:val="FF0000"/>
          <w:sz w:val="24"/>
          <w:szCs w:val="24"/>
        </w:rPr>
        <w:t>≥</w:t>
      </w:r>
      <w:r>
        <w:rPr>
          <w:rFonts w:hint="eastAsia" w:ascii="Times New Roman" w:hAnsi="Times New Roman" w:eastAsia="宋体" w:cs="Times New Roman"/>
          <w:color w:val="FF0000"/>
          <w:sz w:val="24"/>
          <w:szCs w:val="24"/>
        </w:rPr>
        <w:t>1时，将Q值划分为：（1）1</w:t>
      </w:r>
      <w:r>
        <w:rPr>
          <w:rFonts w:ascii="Arial" w:hAnsi="Arial" w:eastAsia="宋体" w:cs="Arial"/>
          <w:color w:val="FF0000"/>
          <w:sz w:val="24"/>
          <w:szCs w:val="24"/>
        </w:rPr>
        <w:t>≤</w:t>
      </w:r>
      <w:r>
        <w:rPr>
          <w:rFonts w:hint="eastAsia" w:ascii="Times New Roman" w:hAnsi="Times New Roman" w:eastAsia="宋体" w:cs="Times New Roman"/>
          <w:color w:val="FF0000"/>
          <w:sz w:val="24"/>
          <w:szCs w:val="24"/>
        </w:rPr>
        <w:t>Q</w:t>
      </w:r>
      <w:r>
        <w:rPr>
          <w:rFonts w:hint="eastAsia" w:ascii="宋体" w:hAnsi="宋体" w:eastAsia="宋体" w:cs="宋体"/>
          <w:color w:val="FF0000"/>
          <w:sz w:val="24"/>
          <w:szCs w:val="24"/>
        </w:rPr>
        <w:t>&lt;</w:t>
      </w:r>
      <w:r>
        <w:rPr>
          <w:rFonts w:hint="eastAsia" w:ascii="Times New Roman" w:hAnsi="Times New Roman" w:eastAsia="宋体" w:cs="Times New Roman"/>
          <w:color w:val="FF0000"/>
          <w:sz w:val="24"/>
          <w:szCs w:val="24"/>
        </w:rPr>
        <w:t>10；（2）10</w:t>
      </w:r>
      <w:r>
        <w:rPr>
          <w:rFonts w:ascii="Arial" w:hAnsi="Arial" w:eastAsia="宋体" w:cs="Arial"/>
          <w:color w:val="FF0000"/>
          <w:sz w:val="24"/>
          <w:szCs w:val="24"/>
        </w:rPr>
        <w:t>≤</w:t>
      </w:r>
      <w:r>
        <w:rPr>
          <w:rFonts w:hint="eastAsia" w:ascii="Times New Roman" w:hAnsi="Times New Roman" w:eastAsia="宋体" w:cs="Times New Roman"/>
          <w:color w:val="FF0000"/>
          <w:sz w:val="24"/>
          <w:szCs w:val="24"/>
        </w:rPr>
        <w:t>Q</w:t>
      </w:r>
      <w:r>
        <w:rPr>
          <w:rFonts w:hint="eastAsia" w:ascii="宋体" w:hAnsi="宋体" w:eastAsia="宋体" w:cs="宋体"/>
          <w:color w:val="FF0000"/>
          <w:sz w:val="24"/>
          <w:szCs w:val="24"/>
        </w:rPr>
        <w:t>&lt;</w:t>
      </w:r>
      <w:r>
        <w:rPr>
          <w:rFonts w:hint="eastAsia" w:ascii="Times New Roman" w:hAnsi="Times New Roman" w:eastAsia="宋体" w:cs="Times New Roman"/>
          <w:color w:val="FF0000"/>
          <w:sz w:val="24"/>
          <w:szCs w:val="24"/>
        </w:rPr>
        <w:t>100；（3）Q</w:t>
      </w:r>
      <w:r>
        <w:rPr>
          <w:rFonts w:ascii="Arial" w:hAnsi="Arial" w:eastAsia="宋体" w:cs="Arial"/>
          <w:color w:val="FF0000"/>
          <w:sz w:val="24"/>
          <w:szCs w:val="24"/>
        </w:rPr>
        <w:t>≥</w:t>
      </w:r>
      <w:r>
        <w:rPr>
          <w:rFonts w:hint="eastAsia" w:ascii="Times New Roman" w:hAnsi="Times New Roman" w:eastAsia="宋体" w:cs="Times New Roman"/>
          <w:color w:val="FF0000"/>
          <w:sz w:val="24"/>
          <w:szCs w:val="24"/>
        </w:rPr>
        <w:t>100。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FF0000"/>
          <w:sz w:val="24"/>
          <w:szCs w:val="24"/>
          <w:lang w:val="en-US" w:eastAsia="zh-CN"/>
        </w:rPr>
      </w:pPr>
      <w:r>
        <w:rPr>
          <w:rFonts w:hint="default" w:ascii="Times New Roman" w:hAnsi="Times New Roman" w:eastAsia="宋体" w:cs="Times New Roman"/>
          <w:bCs/>
          <w:color w:val="FF0000"/>
          <w:sz w:val="24"/>
          <w:szCs w:val="24"/>
          <w:lang w:eastAsia="zh-CN"/>
        </w:rPr>
        <w:fldChar w:fldCharType="begin"/>
      </w:r>
      <w:r>
        <w:rPr>
          <w:rFonts w:hint="default" w:ascii="Times New Roman" w:hAnsi="Times New Roman" w:eastAsia="宋体" w:cs="Times New Roman"/>
          <w:bCs/>
          <w:color w:val="FF0000"/>
          <w:sz w:val="24"/>
          <w:szCs w:val="24"/>
          <w:lang w:eastAsia="zh-CN"/>
        </w:rPr>
        <w:instrText xml:space="preserve"> = 2 \* GB3 \* MERGEFORMAT </w:instrText>
      </w:r>
      <w:r>
        <w:rPr>
          <w:rFonts w:hint="default" w:ascii="Times New Roman" w:hAnsi="Times New Roman" w:eastAsia="宋体" w:cs="Times New Roman"/>
          <w:bCs/>
          <w:color w:val="FF0000"/>
          <w:sz w:val="24"/>
          <w:szCs w:val="24"/>
          <w:lang w:eastAsia="zh-CN"/>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bCs/>
          <w:color w:val="FF0000"/>
          <w:sz w:val="24"/>
          <w:szCs w:val="24"/>
          <w:lang w:eastAsia="zh-CN"/>
        </w:rPr>
        <w:fldChar w:fldCharType="end"/>
      </w:r>
      <w:r>
        <w:rPr>
          <w:rFonts w:hint="default" w:ascii="Times New Roman" w:hAnsi="Times New Roman" w:eastAsia="宋体" w:cs="Times New Roman"/>
          <w:bCs/>
          <w:color w:val="FF0000"/>
          <w:sz w:val="24"/>
          <w:szCs w:val="24"/>
          <w:lang w:val="en-US" w:eastAsia="zh-CN"/>
        </w:rPr>
        <w:t>环境风</w:t>
      </w:r>
      <w:r>
        <w:rPr>
          <w:rFonts w:hint="eastAsia" w:ascii="Times New Roman" w:hAnsi="Times New Roman" w:eastAsia="宋体" w:cs="Times New Roman"/>
          <w:bCs/>
          <w:color w:val="FF0000"/>
          <w:sz w:val="24"/>
          <w:szCs w:val="24"/>
          <w:lang w:val="en-US" w:eastAsia="zh-CN"/>
        </w:rPr>
        <w:t>险评价等级判定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rPr>
      </w:pPr>
      <w:r>
        <w:rPr>
          <w:rFonts w:hint="default" w:ascii="Times New Roman" w:hAnsi="Times New Roman" w:eastAsia="宋体" w:cs="Times New Roman"/>
          <w:bCs/>
          <w:color w:val="FF0000"/>
          <w:sz w:val="24"/>
          <w:szCs w:val="24"/>
        </w:rPr>
        <w:t>根据建设项目涉及的物质及工艺系统危险性和所在地的环境敏感性确定环境风险潜势。风险潜势为Ⅳ及以上，进行一级评价；风险潜势为</w:t>
      </w:r>
      <w:r>
        <w:rPr>
          <w:rFonts w:hint="default" w:ascii="Times New Roman" w:hAnsi="Times New Roman" w:eastAsia="宋体" w:cs="Times New Roman"/>
          <w:bCs/>
          <w:color w:val="FF0000"/>
          <w:sz w:val="24"/>
          <w:szCs w:val="24"/>
        </w:rPr>
        <w:fldChar w:fldCharType="begin"/>
      </w:r>
      <w:r>
        <w:rPr>
          <w:rFonts w:hint="default" w:ascii="Times New Roman" w:hAnsi="Times New Roman" w:eastAsia="宋体" w:cs="Times New Roman"/>
          <w:bCs/>
          <w:color w:val="FF0000"/>
          <w:sz w:val="24"/>
          <w:szCs w:val="24"/>
        </w:rPr>
        <w:instrText xml:space="preserve"> = 3 \* ROMAN \* MERGEFORMAT </w:instrText>
      </w:r>
      <w:r>
        <w:rPr>
          <w:rFonts w:hint="default" w:ascii="Times New Roman" w:hAnsi="Times New Roman" w:eastAsia="宋体" w:cs="Times New Roman"/>
          <w:bCs/>
          <w:color w:val="FF0000"/>
          <w:sz w:val="24"/>
          <w:szCs w:val="24"/>
        </w:rPr>
        <w:fldChar w:fldCharType="separate"/>
      </w:r>
      <w:r>
        <w:rPr>
          <w:rFonts w:hint="default" w:ascii="Times New Roman" w:hAnsi="Times New Roman" w:eastAsia="宋体" w:cs="Times New Roman"/>
          <w:color w:val="FF0000"/>
          <w:sz w:val="24"/>
          <w:szCs w:val="24"/>
        </w:rPr>
        <w:t>III</w:t>
      </w:r>
      <w:r>
        <w:rPr>
          <w:rFonts w:hint="default" w:ascii="Times New Roman" w:hAnsi="Times New Roman" w:eastAsia="宋体" w:cs="Times New Roman"/>
          <w:bCs/>
          <w:color w:val="FF0000"/>
          <w:sz w:val="24"/>
          <w:szCs w:val="24"/>
        </w:rPr>
        <w:fldChar w:fldCharType="end"/>
      </w:r>
      <w:r>
        <w:rPr>
          <w:rFonts w:hint="default" w:ascii="Times New Roman" w:hAnsi="Times New Roman" w:eastAsia="宋体" w:cs="Times New Roman"/>
          <w:bCs/>
          <w:color w:val="FF0000"/>
          <w:sz w:val="24"/>
          <w:szCs w:val="24"/>
        </w:rPr>
        <w:t>，进行二级评价；风险潜势为</w:t>
      </w:r>
      <w:r>
        <w:rPr>
          <w:rFonts w:hint="default" w:ascii="Times New Roman" w:hAnsi="Times New Roman" w:eastAsia="宋体" w:cs="Times New Roman"/>
          <w:bCs/>
          <w:color w:val="FF0000"/>
          <w:sz w:val="24"/>
          <w:szCs w:val="24"/>
        </w:rPr>
        <w:fldChar w:fldCharType="begin"/>
      </w:r>
      <w:r>
        <w:rPr>
          <w:rFonts w:hint="default" w:ascii="Times New Roman" w:hAnsi="Times New Roman" w:eastAsia="宋体" w:cs="Times New Roman"/>
          <w:bCs/>
          <w:color w:val="FF0000"/>
          <w:sz w:val="24"/>
          <w:szCs w:val="24"/>
        </w:rPr>
        <w:instrText xml:space="preserve"> = 2 \* ROMAN \* MERGEFORMAT </w:instrText>
      </w:r>
      <w:r>
        <w:rPr>
          <w:rFonts w:hint="default" w:ascii="Times New Roman" w:hAnsi="Times New Roman" w:eastAsia="宋体" w:cs="Times New Roman"/>
          <w:bCs/>
          <w:color w:val="FF0000"/>
          <w:sz w:val="24"/>
          <w:szCs w:val="24"/>
        </w:rPr>
        <w:fldChar w:fldCharType="separate"/>
      </w:r>
      <w:r>
        <w:rPr>
          <w:rFonts w:hint="default" w:ascii="Times New Roman" w:hAnsi="Times New Roman" w:eastAsia="宋体" w:cs="Times New Roman"/>
          <w:color w:val="FF0000"/>
        </w:rPr>
        <w:t>II</w:t>
      </w:r>
      <w:r>
        <w:rPr>
          <w:rFonts w:hint="default" w:ascii="Times New Roman" w:hAnsi="Times New Roman" w:eastAsia="宋体" w:cs="Times New Roman"/>
          <w:bCs/>
          <w:color w:val="FF0000"/>
          <w:sz w:val="24"/>
          <w:szCs w:val="24"/>
        </w:rPr>
        <w:fldChar w:fldCharType="end"/>
      </w:r>
      <w:r>
        <w:rPr>
          <w:rFonts w:hint="default" w:ascii="Times New Roman" w:hAnsi="Times New Roman" w:eastAsia="宋体" w:cs="Times New Roman"/>
          <w:bCs/>
          <w:color w:val="FF0000"/>
          <w:sz w:val="24"/>
          <w:szCs w:val="24"/>
        </w:rPr>
        <w:t>，进行三级评价；风险潜势为</w:t>
      </w:r>
      <w:r>
        <w:rPr>
          <w:rFonts w:hint="default" w:ascii="Times New Roman" w:hAnsi="Times New Roman" w:eastAsia="宋体" w:cs="Times New Roman"/>
          <w:bCs/>
          <w:color w:val="FF0000"/>
          <w:sz w:val="24"/>
          <w:szCs w:val="24"/>
        </w:rPr>
        <w:fldChar w:fldCharType="begin"/>
      </w:r>
      <w:r>
        <w:rPr>
          <w:rFonts w:hint="default" w:ascii="Times New Roman" w:hAnsi="Times New Roman" w:eastAsia="宋体" w:cs="Times New Roman"/>
          <w:bCs/>
          <w:color w:val="FF0000"/>
          <w:sz w:val="24"/>
          <w:szCs w:val="24"/>
        </w:rPr>
        <w:instrText xml:space="preserve"> = 1 \* ROMAN \* MERGEFORMAT </w:instrText>
      </w:r>
      <w:r>
        <w:rPr>
          <w:rFonts w:hint="default" w:ascii="Times New Roman" w:hAnsi="Times New Roman" w:eastAsia="宋体" w:cs="Times New Roman"/>
          <w:bCs/>
          <w:color w:val="FF0000"/>
          <w:sz w:val="24"/>
          <w:szCs w:val="24"/>
        </w:rPr>
        <w:fldChar w:fldCharType="separate"/>
      </w:r>
      <w:r>
        <w:rPr>
          <w:rFonts w:hint="default" w:ascii="Times New Roman" w:hAnsi="Times New Roman" w:eastAsia="宋体" w:cs="Times New Roman"/>
          <w:color w:val="FF0000"/>
          <w:sz w:val="24"/>
          <w:szCs w:val="24"/>
        </w:rPr>
        <w:t>I</w:t>
      </w:r>
      <w:r>
        <w:rPr>
          <w:rFonts w:hint="default" w:ascii="Times New Roman" w:hAnsi="Times New Roman" w:eastAsia="宋体" w:cs="Times New Roman"/>
          <w:bCs/>
          <w:color w:val="FF0000"/>
          <w:sz w:val="24"/>
          <w:szCs w:val="24"/>
        </w:rPr>
        <w:fldChar w:fldCharType="end"/>
      </w:r>
      <w:r>
        <w:rPr>
          <w:rFonts w:hint="default" w:ascii="Times New Roman" w:hAnsi="Times New Roman" w:eastAsia="宋体" w:cs="Times New Roman"/>
          <w:bCs/>
          <w:color w:val="FF0000"/>
          <w:sz w:val="24"/>
          <w:szCs w:val="24"/>
        </w:rPr>
        <w:t>，可开展简单分析。评价工作等级划分见表2.</w:t>
      </w:r>
      <w:r>
        <w:rPr>
          <w:rFonts w:hint="eastAsia" w:ascii="Times New Roman" w:hAnsi="Times New Roman" w:eastAsia="宋体" w:cs="Times New Roman"/>
          <w:bCs/>
          <w:color w:val="FF0000"/>
          <w:sz w:val="24"/>
          <w:szCs w:val="24"/>
          <w:lang w:val="en-US" w:eastAsia="zh-CN"/>
        </w:rPr>
        <w:t>5</w:t>
      </w:r>
      <w:r>
        <w:rPr>
          <w:rFonts w:hint="default" w:ascii="Times New Roman" w:hAnsi="Times New Roman" w:eastAsia="宋体" w:cs="Times New Roman"/>
          <w:bCs/>
          <w:color w:val="FF0000"/>
          <w:sz w:val="24"/>
          <w:szCs w:val="24"/>
        </w:rPr>
        <w:t>-</w:t>
      </w:r>
      <w:r>
        <w:rPr>
          <w:rFonts w:hint="eastAsia" w:ascii="Times New Roman" w:hAnsi="Times New Roman" w:eastAsia="宋体" w:cs="Times New Roman"/>
          <w:bCs/>
          <w:color w:val="FF0000"/>
          <w:sz w:val="24"/>
          <w:szCs w:val="24"/>
          <w:lang w:val="en-US" w:eastAsia="zh-CN"/>
        </w:rPr>
        <w:t>6</w:t>
      </w:r>
      <w:r>
        <w:rPr>
          <w:rFonts w:hint="default" w:ascii="Times New Roman" w:hAnsi="Times New Roman" w:eastAsia="宋体" w:cs="Times New Roman"/>
          <w:bCs/>
          <w:color w:val="FF0000"/>
          <w:sz w:val="24"/>
          <w:szCs w:val="24"/>
        </w:rPr>
        <w:t>。</w:t>
      </w:r>
    </w:p>
    <w:p>
      <w:pPr>
        <w:pStyle w:val="14"/>
        <w:adjustRightInd w:val="0"/>
        <w:snapToGrid w:val="0"/>
        <w:jc w:val="center"/>
        <w:rPr>
          <w:rFonts w:ascii="Times New Roman" w:hAnsi="Times New Roman" w:cs="Times New Roman" w:eastAsiaTheme="minorEastAsia"/>
          <w:b/>
          <w:bCs/>
          <w:color w:val="FF0000"/>
          <w:sz w:val="21"/>
          <w:szCs w:val="21"/>
        </w:rPr>
      </w:pPr>
      <w:r>
        <w:rPr>
          <w:rFonts w:ascii="Times New Roman" w:hAnsi="Times New Roman" w:cs="Times New Roman" w:eastAsiaTheme="minorEastAsia"/>
          <w:b/>
          <w:bCs/>
          <w:color w:val="FF0000"/>
          <w:sz w:val="21"/>
          <w:szCs w:val="21"/>
        </w:rPr>
        <w:t>表</w:t>
      </w:r>
      <w:r>
        <w:rPr>
          <w:rFonts w:hint="eastAsia" w:ascii="Times New Roman" w:hAnsi="Times New Roman" w:cs="Times New Roman" w:eastAsiaTheme="minorEastAsia"/>
          <w:b/>
          <w:bCs/>
          <w:color w:val="FF0000"/>
          <w:sz w:val="21"/>
          <w:szCs w:val="21"/>
        </w:rPr>
        <w:t>2.</w:t>
      </w:r>
      <w:r>
        <w:rPr>
          <w:rFonts w:hint="eastAsia" w:ascii="Times New Roman" w:hAnsi="Times New Roman" w:cs="Times New Roman" w:eastAsiaTheme="minorEastAsia"/>
          <w:b/>
          <w:bCs/>
          <w:color w:val="FF0000"/>
          <w:sz w:val="21"/>
          <w:szCs w:val="21"/>
          <w:lang w:val="en-US" w:eastAsia="zh-CN"/>
        </w:rPr>
        <w:t>5</w:t>
      </w:r>
      <w:r>
        <w:rPr>
          <w:rFonts w:hint="eastAsia" w:ascii="Times New Roman" w:hAnsi="Times New Roman" w:cs="Times New Roman" w:eastAsiaTheme="minorEastAsia"/>
          <w:b/>
          <w:bCs/>
          <w:color w:val="FF0000"/>
          <w:sz w:val="21"/>
          <w:szCs w:val="21"/>
        </w:rPr>
        <w:t>-</w:t>
      </w:r>
      <w:r>
        <w:rPr>
          <w:rFonts w:hint="eastAsia" w:ascii="Times New Roman" w:hAnsi="Times New Roman" w:cs="Times New Roman" w:eastAsiaTheme="minorEastAsia"/>
          <w:b/>
          <w:bCs/>
          <w:color w:val="FF0000"/>
          <w:sz w:val="21"/>
          <w:szCs w:val="21"/>
          <w:lang w:val="en-US" w:eastAsia="zh-CN"/>
        </w:rPr>
        <w:t>6</w:t>
      </w:r>
      <w:r>
        <w:rPr>
          <w:rFonts w:ascii="Times New Roman" w:hAnsi="Times New Roman" w:cs="Times New Roman" w:eastAsiaTheme="minorEastAsia"/>
          <w:b/>
          <w:bCs/>
          <w:color w:val="FF0000"/>
          <w:sz w:val="21"/>
          <w:szCs w:val="21"/>
        </w:rPr>
        <w:t xml:space="preserve">   评价工作等级划分</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1824"/>
        <w:gridCol w:w="1825"/>
        <w:gridCol w:w="1825"/>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824"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环境风险潜势</w:t>
            </w:r>
          </w:p>
        </w:tc>
        <w:tc>
          <w:tcPr>
            <w:tcW w:w="1824"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Ⅳ、Ⅳ</w:t>
            </w:r>
            <w:r>
              <w:rPr>
                <w:rFonts w:hint="default" w:ascii="Times New Roman" w:hAnsi="Times New Roman" w:eastAsia="宋体" w:cs="Times New Roman"/>
                <w:bCs/>
                <w:color w:val="FF0000"/>
                <w:sz w:val="21"/>
                <w:szCs w:val="21"/>
                <w:vertAlign w:val="superscript"/>
              </w:rPr>
              <w:t>+</w:t>
            </w:r>
          </w:p>
        </w:tc>
        <w:tc>
          <w:tcPr>
            <w:tcW w:w="182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Ⅲ</w:t>
            </w:r>
          </w:p>
        </w:tc>
        <w:tc>
          <w:tcPr>
            <w:tcW w:w="182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Ⅱ</w:t>
            </w:r>
          </w:p>
        </w:tc>
        <w:tc>
          <w:tcPr>
            <w:tcW w:w="1659"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824"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评价工作等级</w:t>
            </w:r>
          </w:p>
        </w:tc>
        <w:tc>
          <w:tcPr>
            <w:tcW w:w="1824"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一</w:t>
            </w:r>
          </w:p>
        </w:tc>
        <w:tc>
          <w:tcPr>
            <w:tcW w:w="182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二</w:t>
            </w:r>
          </w:p>
        </w:tc>
        <w:tc>
          <w:tcPr>
            <w:tcW w:w="182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三</w:t>
            </w:r>
          </w:p>
        </w:tc>
        <w:tc>
          <w:tcPr>
            <w:tcW w:w="1659"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简单分析</w:t>
            </w:r>
            <w:r>
              <w:rPr>
                <w:rFonts w:hint="default" w:ascii="Times New Roman" w:hAnsi="Times New Roman" w:eastAsia="宋体" w:cs="Times New Roman"/>
                <w:bCs/>
                <w:color w:val="FF0000"/>
                <w:sz w:val="21"/>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8957" w:type="dxa"/>
            <w:gridSpan w:val="5"/>
            <w:tcBorders>
              <w:tl2br w:val="nil"/>
              <w:tr2bl w:val="nil"/>
            </w:tcBorders>
          </w:tcPr>
          <w:p>
            <w:pPr>
              <w:pStyle w:val="2"/>
              <w:spacing w:line="240" w:lineRule="auto"/>
              <w:ind w:firstLine="0" w:firstLineChars="0"/>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fldChar w:fldCharType="begin"/>
      </w:r>
      <w:r>
        <w:rPr>
          <w:rFonts w:hint="default" w:ascii="Times New Roman" w:hAnsi="Times New Roman" w:eastAsia="宋体" w:cs="Times New Roman"/>
          <w:color w:val="FF0000"/>
          <w:sz w:val="24"/>
          <w:szCs w:val="24"/>
          <w:lang w:val="en-US" w:eastAsia="zh-CN"/>
        </w:rPr>
        <w:instrText xml:space="preserve"> = 3 \* GB3 \* MERGEFORMAT </w:instrText>
      </w:r>
      <w:r>
        <w:rPr>
          <w:rFonts w:hint="default" w:ascii="Times New Roman" w:hAnsi="Times New Roman" w:eastAsia="宋体" w:cs="Times New Roman"/>
          <w:color w:val="FF0000"/>
          <w:sz w:val="24"/>
          <w:szCs w:val="24"/>
          <w:lang w:val="en-US" w:eastAsia="zh-CN"/>
        </w:rPr>
        <w:fldChar w:fldCharType="separate"/>
      </w:r>
      <w:r>
        <w:rPr>
          <w:rFonts w:hint="default" w:ascii="Times New Roman" w:hAnsi="Times New Roman" w:eastAsia="宋体" w:cs="Times New Roman"/>
          <w:color w:val="FF0000"/>
          <w:sz w:val="24"/>
          <w:szCs w:val="24"/>
        </w:rPr>
        <w:t>③</w:t>
      </w:r>
      <w:r>
        <w:rPr>
          <w:rFonts w:hint="default" w:ascii="Times New Roman" w:hAnsi="Times New Roman" w:eastAsia="宋体" w:cs="Times New Roman"/>
          <w:color w:val="FF0000"/>
          <w:sz w:val="24"/>
          <w:szCs w:val="24"/>
          <w:lang w:val="en-US" w:eastAsia="zh-CN"/>
        </w:rPr>
        <w:fldChar w:fldCharType="end"/>
      </w:r>
      <w:r>
        <w:rPr>
          <w:rFonts w:hint="default" w:ascii="Times New Roman" w:hAnsi="Times New Roman" w:eastAsia="宋体" w:cs="Times New Roman"/>
          <w:color w:val="FF0000"/>
          <w:sz w:val="24"/>
          <w:szCs w:val="24"/>
          <w:lang w:val="en-US" w:eastAsia="zh-CN"/>
        </w:rPr>
        <w:t>本项目风</w:t>
      </w:r>
      <w:r>
        <w:rPr>
          <w:rFonts w:hint="eastAsia" w:ascii="Times New Roman" w:hAnsi="Times New Roman" w:eastAsia="宋体" w:cs="Times New Roman"/>
          <w:color w:val="FF0000"/>
          <w:sz w:val="24"/>
          <w:szCs w:val="24"/>
          <w:lang w:val="en-US" w:eastAsia="zh-CN"/>
        </w:rPr>
        <w:t>险物质和风险单位判定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本项目使用的爆破器材库依托原有工程，目前已建成。日常的爆破工作由安康市恒安爆工程有限公司负责。本项目的主要风险为废机油贮存风险</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钡盐引起的人体健康风险</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废石场溃坝风险、采空区塌陷风险等</w:t>
      </w:r>
      <w:r>
        <w:rPr>
          <w:rFonts w:hint="default" w:ascii="Times New Roman" w:hAnsi="Times New Roman" w:eastAsia="宋体" w:cs="Times New Roman"/>
          <w:color w:val="FF0000"/>
          <w:sz w:val="24"/>
          <w:szCs w:val="24"/>
        </w:rPr>
        <w:t>。废机油属于《建设项目环境风险评价技术导则》（HJ169-2018）附录中所列易燃性物质。本项目废机油</w:t>
      </w:r>
      <w:r>
        <w:rPr>
          <w:rFonts w:hint="eastAsia" w:ascii="Times New Roman" w:hAnsi="Times New Roman" w:eastAsia="宋体" w:cs="Times New Roman"/>
          <w:color w:val="FF0000"/>
          <w:sz w:val="24"/>
          <w:szCs w:val="24"/>
          <w:lang w:val="en-US" w:eastAsia="zh-CN"/>
        </w:rPr>
        <w:t>产生</w:t>
      </w:r>
      <w:r>
        <w:rPr>
          <w:rFonts w:hint="default" w:ascii="Times New Roman" w:hAnsi="Times New Roman" w:eastAsia="宋体" w:cs="Times New Roman"/>
          <w:color w:val="FF0000"/>
          <w:sz w:val="24"/>
          <w:szCs w:val="24"/>
        </w:rPr>
        <w:t>量为0.01t/a，《建设项目环境风险评价技术导则》（HJ169-2018）附录B中油类物质临界量为2500t，经计算，Q值远远小于1，该项目的风险潜势为</w:t>
      </w: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1 \* ROMAN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I</w:t>
      </w:r>
      <w:r>
        <w:rPr>
          <w:rFonts w:hint="default" w:ascii="Times New Roman" w:hAnsi="Times New Roman" w:eastAsia="宋体" w:cs="Times New Roman"/>
          <w:color w:val="FF0000"/>
          <w:sz w:val="24"/>
          <w:szCs w:val="24"/>
        </w:rPr>
        <w:fldChar w:fldCharType="end"/>
      </w:r>
      <w:r>
        <w:rPr>
          <w:rFonts w:hint="default" w:ascii="Times New Roman" w:hAnsi="Times New Roman" w:eastAsia="宋体" w:cs="Times New Roman"/>
          <w:color w:val="FF0000"/>
          <w:sz w:val="24"/>
          <w:szCs w:val="24"/>
        </w:rPr>
        <w:t>。</w:t>
      </w:r>
    </w:p>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表2.5-7  环境风险评价工作等级判定表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1806"/>
        <w:gridCol w:w="1806"/>
        <w:gridCol w:w="1807"/>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06"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环境风险潜势</w:t>
            </w:r>
          </w:p>
        </w:tc>
        <w:tc>
          <w:tcPr>
            <w:tcW w:w="1806"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eastAsia="宋体" w:cs="Times New Roman"/>
                <w:b w:val="0"/>
                <w:bCs w:val="0"/>
                <w:color w:val="000000" w:themeColor="text1"/>
                <w:sz w:val="21"/>
                <w:szCs w:val="21"/>
                <w:vertAlign w:val="baseline"/>
                <w:lang w:eastAsia="zh-CN"/>
              </w:rPr>
              <w:t>Ⅳ 、 Ⅳ+</w:t>
            </w:r>
          </w:p>
        </w:tc>
        <w:tc>
          <w:tcPr>
            <w:tcW w:w="1806"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eastAsia="宋体" w:cs="Times New Roman"/>
                <w:b w:val="0"/>
                <w:bCs w:val="0"/>
                <w:color w:val="000000" w:themeColor="text1"/>
                <w:sz w:val="21"/>
                <w:szCs w:val="21"/>
                <w:vertAlign w:val="baseline"/>
                <w:lang w:eastAsia="zh-CN"/>
              </w:rPr>
              <w:t>Ⅲ</w:t>
            </w:r>
          </w:p>
        </w:tc>
        <w:tc>
          <w:tcPr>
            <w:tcW w:w="1807"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eastAsia="宋体" w:cs="Times New Roman"/>
                <w:b w:val="0"/>
                <w:bCs w:val="0"/>
                <w:color w:val="000000" w:themeColor="text1"/>
                <w:sz w:val="21"/>
                <w:szCs w:val="21"/>
                <w:vertAlign w:val="baseline"/>
                <w:lang w:eastAsia="zh-CN"/>
              </w:rPr>
              <w:t>Ⅱ</w:t>
            </w:r>
          </w:p>
        </w:tc>
        <w:tc>
          <w:tcPr>
            <w:tcW w:w="1732"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eastAsia="宋体" w:cs="Times New Roman"/>
                <w:b w:val="0"/>
                <w:bCs w:val="0"/>
                <w:color w:val="000000" w:themeColor="text1"/>
                <w:sz w:val="21"/>
                <w:szCs w:val="21"/>
                <w:vertAlign w:val="baseline"/>
                <w:lang w:eastAsia="zh-CN"/>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806"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评价工作等级</w:t>
            </w:r>
          </w:p>
        </w:tc>
        <w:tc>
          <w:tcPr>
            <w:tcW w:w="1806"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一</w:t>
            </w:r>
          </w:p>
        </w:tc>
        <w:tc>
          <w:tcPr>
            <w:tcW w:w="1806"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二</w:t>
            </w:r>
          </w:p>
        </w:tc>
        <w:tc>
          <w:tcPr>
            <w:tcW w:w="1807"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三</w:t>
            </w:r>
          </w:p>
        </w:tc>
        <w:tc>
          <w:tcPr>
            <w:tcW w:w="1732" w:type="dxa"/>
            <w:tcBorders>
              <w:tl2br w:val="nil"/>
              <w:tr2bl w:val="nil"/>
            </w:tcBorders>
            <w:vAlign w:val="center"/>
          </w:tcPr>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简单分析</w:t>
            </w:r>
          </w:p>
        </w:tc>
      </w:tr>
    </w:tbl>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由上表可知，本项目风险评价的等级为“简单分析”。</w:t>
      </w:r>
    </w:p>
    <w:p>
      <w:pPr>
        <w:pStyle w:val="5"/>
        <w:keepNext w:val="0"/>
        <w:keepLines w:val="0"/>
        <w:pageBreakBefore w:val="0"/>
        <w:widowControl w:val="0"/>
        <w:kinsoku/>
        <w:wordWrap/>
        <w:overflowPunct/>
        <w:topLinePunct w:val="0"/>
        <w:autoSpaceDE/>
        <w:autoSpaceDN/>
        <w:bidi w:val="0"/>
        <w:textAlignment w:val="auto"/>
        <w:rPr>
          <w:rFonts w:hint="default"/>
          <w:color w:val="000000" w:themeColor="text1"/>
        </w:rPr>
      </w:pPr>
      <w:r>
        <w:rPr>
          <w:rFonts w:hint="default"/>
          <w:color w:val="000000" w:themeColor="text1"/>
        </w:rPr>
        <w:t>土壤环境评价等级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根据《环境影响评价技术导则土壤环境》（HJ964-2018）附录 A，本项目属于化学矿采选，为</w:t>
      </w: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ROMAN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II</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rPr>
        <w:t>类项目。经分析，本项目</w:t>
      </w:r>
      <w:r>
        <w:rPr>
          <w:rFonts w:hint="eastAsia" w:ascii="Times New Roman" w:hAnsi="Times New Roman" w:eastAsia="宋体" w:cs="Times New Roman"/>
          <w:color w:val="000000" w:themeColor="text1"/>
          <w:sz w:val="24"/>
          <w:szCs w:val="24"/>
          <w:lang w:val="en-US" w:eastAsia="zh-CN"/>
        </w:rPr>
        <w:t>对土壤环境的影响主要为矿井污风、矿石转运扬尘、道路扬尘和现有项目的废石场等对土壤环境的影响，以及废水、固废事故状态下对土壤环境的影响，主要影响因子不会造成土壤的盐化、酸化和碱化，为</w:t>
      </w:r>
      <w:r>
        <w:rPr>
          <w:rFonts w:hint="default" w:ascii="Times New Roman" w:hAnsi="Times New Roman" w:eastAsia="宋体" w:cs="Times New Roman"/>
          <w:color w:val="000000" w:themeColor="text1"/>
          <w:sz w:val="24"/>
          <w:szCs w:val="24"/>
        </w:rPr>
        <w:t>污染影响型。</w:t>
      </w:r>
      <w:r>
        <w:rPr>
          <w:rFonts w:hint="eastAsia" w:ascii="Times New Roman" w:hAnsi="Times New Roman" w:eastAsia="宋体" w:cs="Times New Roman"/>
          <w:color w:val="000000" w:themeColor="text1"/>
          <w:sz w:val="24"/>
          <w:szCs w:val="24"/>
          <w:lang w:val="en-US" w:eastAsia="zh-CN"/>
        </w:rPr>
        <w:t>本项目</w:t>
      </w:r>
      <w:r>
        <w:rPr>
          <w:rFonts w:hint="default" w:ascii="Times New Roman" w:hAnsi="Times New Roman" w:eastAsia="宋体" w:cs="Times New Roman"/>
          <w:color w:val="000000" w:themeColor="text1"/>
          <w:sz w:val="24"/>
          <w:szCs w:val="24"/>
        </w:rPr>
        <w:t>总占地面积约</w:t>
      </w:r>
      <w:r>
        <w:rPr>
          <w:rFonts w:hint="eastAsia" w:ascii="Times New Roman" w:hAnsi="Times New Roman" w:eastAsia="宋体" w:cs="Times New Roman"/>
          <w:color w:val="000000" w:themeColor="text1"/>
          <w:sz w:val="24"/>
          <w:szCs w:val="24"/>
          <w:lang w:val="en-US" w:eastAsia="zh-CN"/>
        </w:rPr>
        <w:t>14200</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合计</w:t>
      </w:r>
      <w:r>
        <w:rPr>
          <w:rFonts w:hint="eastAsia" w:ascii="Times New Roman" w:hAnsi="Times New Roman" w:eastAsia="宋体" w:cs="Times New Roman"/>
          <w:color w:val="000000" w:themeColor="text1"/>
          <w:sz w:val="24"/>
          <w:szCs w:val="24"/>
          <w:lang w:val="en-US" w:eastAsia="zh-CN"/>
        </w:rPr>
        <w:t>1.42hm</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其中</w:t>
      </w:r>
      <w:r>
        <w:rPr>
          <w:rFonts w:hint="eastAsia" w:ascii="Times New Roman" w:hAnsi="Times New Roman" w:eastAsia="宋体" w:cs="Times New Roman"/>
          <w:color w:val="000000" w:themeColor="text1"/>
          <w:sz w:val="24"/>
          <w:szCs w:val="24"/>
          <w:lang w:val="en-US" w:eastAsia="zh-CN"/>
        </w:rPr>
        <w:t>K1矿区占地面积为0.666hm</w:t>
      </w:r>
      <w:r>
        <w:rPr>
          <w:rFonts w:hint="default" w:ascii="Times New Roman" w:hAnsi="Times New Roman" w:eastAsia="宋体" w:cs="Times New Roman"/>
          <w:color w:val="000000" w:themeColor="text1"/>
          <w:sz w:val="24"/>
          <w:szCs w:val="24"/>
          <w:vertAlign w:val="superscript"/>
        </w:rPr>
        <w:t>2</w:t>
      </w:r>
      <w:r>
        <w:rPr>
          <w:rFonts w:hint="eastAsia" w:ascii="Times New Roman" w:hAnsi="Times New Roman" w:eastAsia="宋体" w:cs="Times New Roman"/>
          <w:color w:val="000000" w:themeColor="text1"/>
          <w:sz w:val="24"/>
          <w:szCs w:val="24"/>
          <w:lang w:val="en-US" w:eastAsia="zh-CN"/>
        </w:rPr>
        <w:t>，K2矿区占地面积为0.754hm</w:t>
      </w:r>
      <w:r>
        <w:rPr>
          <w:rFonts w:hint="default" w:ascii="Times New Roman" w:hAnsi="Times New Roman" w:eastAsia="宋体" w:cs="Times New Roman"/>
          <w:color w:val="000000" w:themeColor="text1"/>
          <w:sz w:val="24"/>
          <w:szCs w:val="24"/>
          <w:vertAlign w:val="superscript"/>
        </w:rPr>
        <w:t>2</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rPr>
        <w:t>根据污染型建设项目的占地规模划分，本项目</w:t>
      </w:r>
      <w:r>
        <w:rPr>
          <w:rFonts w:hint="eastAsia" w:ascii="Times New Roman" w:hAnsi="Times New Roman" w:eastAsia="宋体" w:cs="Times New Roman"/>
          <w:color w:val="000000" w:themeColor="text1"/>
          <w:sz w:val="24"/>
          <w:szCs w:val="24"/>
          <w:lang w:eastAsia="zh-CN"/>
        </w:rPr>
        <w:t>的两个矿区</w:t>
      </w:r>
      <w:r>
        <w:rPr>
          <w:rFonts w:hint="eastAsia" w:ascii="Times New Roman" w:hAnsi="Times New Roman" w:eastAsia="宋体" w:cs="Times New Roman"/>
          <w:color w:val="000000" w:themeColor="text1"/>
          <w:sz w:val="24"/>
          <w:szCs w:val="24"/>
          <w:lang w:val="en-US" w:eastAsia="zh-CN"/>
        </w:rPr>
        <w:t>占地</w:t>
      </w:r>
      <w:r>
        <w:rPr>
          <w:rFonts w:hint="eastAsia" w:ascii="Times New Roman" w:hAnsi="Times New Roman" w:eastAsia="宋体" w:cs="Times New Roman"/>
          <w:color w:val="000000" w:themeColor="text1"/>
          <w:sz w:val="24"/>
          <w:szCs w:val="24"/>
          <w:lang w:eastAsia="zh-CN"/>
        </w:rPr>
        <w:t>均</w:t>
      </w:r>
      <w:r>
        <w:rPr>
          <w:rFonts w:hint="default" w:ascii="Times New Roman" w:hAnsi="Times New Roman" w:eastAsia="宋体" w:cs="Times New Roman"/>
          <w:color w:val="000000" w:themeColor="text1"/>
          <w:sz w:val="24"/>
          <w:szCs w:val="24"/>
        </w:rPr>
        <w:t>属于小型规模。矿区范围内现状土地利用类型为林地，</w:t>
      </w:r>
      <w:r>
        <w:rPr>
          <w:rFonts w:hint="eastAsia" w:ascii="Times New Roman" w:hAnsi="Times New Roman" w:eastAsia="宋体" w:cs="Times New Roman"/>
          <w:color w:val="FF0000"/>
          <w:sz w:val="24"/>
          <w:szCs w:val="24"/>
          <w:lang w:val="en-US" w:eastAsia="zh-CN"/>
        </w:rPr>
        <w:t>根据</w:t>
      </w:r>
      <w:r>
        <w:rPr>
          <w:rFonts w:hint="default" w:ascii="Times New Roman" w:hAnsi="Times New Roman" w:eastAsia="宋体" w:cs="Times New Roman"/>
          <w:color w:val="FF0000"/>
          <w:sz w:val="24"/>
          <w:szCs w:val="24"/>
        </w:rPr>
        <w:t>《环境影响评价技术导则土壤环境》（HJ964-2018）</w:t>
      </w:r>
      <w:r>
        <w:rPr>
          <w:rFonts w:hint="eastAsia" w:ascii="Times New Roman" w:hAnsi="Times New Roman" w:eastAsia="宋体" w:cs="Times New Roman"/>
          <w:color w:val="FF0000"/>
          <w:sz w:val="24"/>
          <w:szCs w:val="24"/>
          <w:lang w:val="en-US" w:eastAsia="zh-CN"/>
        </w:rPr>
        <w:t>污染影响型敏感程度分级表以及导则关键要点解析（李秀宇）可知，林地不属于敏感目标，</w:t>
      </w:r>
      <w:r>
        <w:rPr>
          <w:rFonts w:hint="default" w:ascii="Times New Roman" w:hAnsi="Times New Roman" w:eastAsia="宋体" w:cs="Times New Roman"/>
          <w:color w:val="FF0000"/>
          <w:sz w:val="24"/>
          <w:szCs w:val="24"/>
        </w:rPr>
        <w:t>土壤环境敏感程度为</w:t>
      </w:r>
      <w:r>
        <w:rPr>
          <w:rFonts w:hint="eastAsia" w:ascii="Times New Roman" w:hAnsi="Times New Roman" w:eastAsia="宋体" w:cs="Times New Roman"/>
          <w:color w:val="FF0000"/>
          <w:sz w:val="24"/>
          <w:szCs w:val="24"/>
          <w:lang w:val="en-US" w:eastAsia="zh-CN"/>
        </w:rPr>
        <w:t>不</w:t>
      </w:r>
      <w:r>
        <w:rPr>
          <w:rFonts w:hint="default" w:ascii="Times New Roman" w:hAnsi="Times New Roman" w:eastAsia="宋体" w:cs="Times New Roman"/>
          <w:color w:val="FF0000"/>
          <w:sz w:val="24"/>
          <w:szCs w:val="24"/>
        </w:rPr>
        <w:t>敏感</w:t>
      </w:r>
      <w:r>
        <w:rPr>
          <w:rFonts w:hint="default" w:ascii="Times New Roman" w:hAnsi="Times New Roman" w:eastAsia="宋体" w:cs="Times New Roman"/>
          <w:color w:val="000000" w:themeColor="text1"/>
          <w:sz w:val="24"/>
          <w:szCs w:val="24"/>
        </w:rPr>
        <w:t>。故本项目</w:t>
      </w:r>
      <w:r>
        <w:rPr>
          <w:rFonts w:hint="eastAsia" w:ascii="Times New Roman" w:hAnsi="Times New Roman" w:eastAsia="宋体" w:cs="Times New Roman"/>
          <w:color w:val="000000" w:themeColor="text1"/>
          <w:sz w:val="24"/>
          <w:szCs w:val="24"/>
          <w:lang w:val="en-US" w:eastAsia="zh-CN"/>
        </w:rPr>
        <w:t>K1和K2矿区</w:t>
      </w:r>
      <w:r>
        <w:rPr>
          <w:rFonts w:hint="default" w:ascii="Times New Roman" w:hAnsi="Times New Roman" w:eastAsia="宋体" w:cs="Times New Roman"/>
          <w:color w:val="000000" w:themeColor="text1"/>
          <w:sz w:val="24"/>
          <w:szCs w:val="24"/>
        </w:rPr>
        <w:t>土壤环境评价工作等级</w:t>
      </w:r>
      <w:r>
        <w:rPr>
          <w:rFonts w:hint="eastAsia" w:ascii="Times New Roman" w:hAnsi="Times New Roman" w:eastAsia="宋体" w:cs="Times New Roman"/>
          <w:color w:val="000000" w:themeColor="text1"/>
          <w:sz w:val="24"/>
          <w:szCs w:val="24"/>
          <w:lang w:eastAsia="zh-CN"/>
        </w:rPr>
        <w:t>均</w:t>
      </w:r>
      <w:r>
        <w:rPr>
          <w:rFonts w:hint="default" w:ascii="Times New Roman" w:hAnsi="Times New Roman" w:eastAsia="宋体" w:cs="Times New Roman"/>
          <w:color w:val="000000" w:themeColor="text1"/>
          <w:sz w:val="24"/>
          <w:szCs w:val="24"/>
        </w:rPr>
        <w:t>为三级，具体评价依据见表2.</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rPr>
        <w:t>。</w:t>
      </w:r>
    </w:p>
    <w:p>
      <w:pPr>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ascii="Times New Roman" w:hAnsi="Times New Roman" w:eastAsia="宋体" w:cs="Times New Roman"/>
          <w:b/>
          <w:bCs/>
          <w:color w:val="000000" w:themeColor="text1"/>
          <w:sz w:val="21"/>
          <w:szCs w:val="21"/>
          <w:lang w:val="en-US" w:eastAsia="zh-CN"/>
        </w:rPr>
        <w:t>5</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8</w:t>
      </w:r>
      <w:r>
        <w:rPr>
          <w:rFonts w:hint="default" w:ascii="Times New Roman" w:hAnsi="Times New Roman" w:eastAsia="宋体" w:cs="Times New Roman"/>
          <w:b/>
          <w:bCs/>
          <w:color w:val="000000" w:themeColor="text1"/>
          <w:sz w:val="21"/>
          <w:szCs w:val="21"/>
        </w:rPr>
        <w:t xml:space="preserve">  污染影响型评价工作等级划分表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952"/>
        <w:gridCol w:w="757"/>
        <w:gridCol w:w="756"/>
        <w:gridCol w:w="639"/>
        <w:gridCol w:w="715"/>
        <w:gridCol w:w="795"/>
        <w:gridCol w:w="659"/>
        <w:gridCol w:w="675"/>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vMerge w:val="restart"/>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pict>
                <v:line id="_x0000_s2114" o:spid="_x0000_s2114" o:spt="20" style="position:absolute;left:0pt;flip:y;margin-left:118.35pt;margin-top:35.9pt;height:1.5pt;width:0.05pt;z-index:251660288;mso-width-relative:page;mso-height-relative:page;" filled="t" coordsize="21600,21600">
                  <v:path arrowok="t"/>
                  <v:fill on="t" focussize="0,0"/>
                  <v:stroke/>
                  <v:imagedata o:title=""/>
                  <o:lock v:ext="edit"/>
                </v:line>
              </w:pict>
            </w:r>
            <w:r>
              <w:rPr>
                <w:rFonts w:hint="default" w:ascii="Times New Roman" w:hAnsi="Times New Roman" w:eastAsia="宋体" w:cs="Times New Roman"/>
                <w:color w:val="000000" w:themeColor="text1"/>
                <w:sz w:val="21"/>
                <w:szCs w:val="21"/>
              </w:rPr>
              <w:t xml:space="preserve">      占地规模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评价工作等级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敏感程度</w:t>
            </w:r>
          </w:p>
        </w:tc>
        <w:tc>
          <w:tcPr>
            <w:tcW w:w="2465" w:type="dxa"/>
            <w:gridSpan w:val="3"/>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1 \* ROMAN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I</w:t>
            </w:r>
            <w:r>
              <w:rPr>
                <w:rFonts w:hint="default" w:ascii="Times New Roman" w:hAnsi="Times New Roman" w:eastAsia="宋体" w:cs="Times New Roman"/>
                <w:color w:val="000000" w:themeColor="text1"/>
                <w:sz w:val="21"/>
                <w:szCs w:val="21"/>
              </w:rPr>
              <w:fldChar w:fldCharType="end"/>
            </w:r>
          </w:p>
        </w:tc>
        <w:tc>
          <w:tcPr>
            <w:tcW w:w="2149" w:type="dxa"/>
            <w:gridSpan w:val="3"/>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2 \* ROMAN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II</w:t>
            </w:r>
            <w:r>
              <w:rPr>
                <w:rFonts w:hint="default" w:ascii="Times New Roman" w:hAnsi="Times New Roman" w:eastAsia="宋体" w:cs="Times New Roman"/>
                <w:color w:val="000000" w:themeColor="text1"/>
                <w:sz w:val="21"/>
                <w:szCs w:val="21"/>
              </w:rPr>
              <w:fldChar w:fldCharType="end"/>
            </w:r>
          </w:p>
        </w:tc>
        <w:tc>
          <w:tcPr>
            <w:tcW w:w="2021" w:type="dxa"/>
            <w:gridSpan w:val="3"/>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3 \* ROMAN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III</w:t>
            </w:r>
            <w:r>
              <w:rPr>
                <w:rFonts w:hint="default" w:ascii="Times New Roman" w:hAnsi="Times New Roman" w:eastAsia="宋体" w:cs="Times New Roman"/>
                <w:color w:val="000000" w:themeColor="text1"/>
                <w:sz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22"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420"/>
              <w:jc w:val="center"/>
              <w:textAlignment w:val="auto"/>
              <w:rPr>
                <w:rFonts w:hint="default" w:ascii="Times New Roman" w:hAnsi="Times New Roman" w:eastAsia="宋体" w:cs="Times New Roman"/>
                <w:color w:val="000000" w:themeColor="text1"/>
                <w:sz w:val="21"/>
                <w:szCs w:val="21"/>
              </w:rPr>
            </w:pPr>
          </w:p>
        </w:tc>
        <w:tc>
          <w:tcPr>
            <w:tcW w:w="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w:t>
            </w:r>
          </w:p>
        </w:tc>
        <w:tc>
          <w:tcPr>
            <w:tcW w:w="7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中</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小</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w:t>
            </w:r>
          </w:p>
        </w:tc>
        <w:tc>
          <w:tcPr>
            <w:tcW w:w="7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中</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小</w:t>
            </w:r>
          </w:p>
        </w:tc>
        <w:tc>
          <w:tcPr>
            <w:tcW w:w="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中</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敏感</w:t>
            </w:r>
          </w:p>
        </w:tc>
        <w:tc>
          <w:tcPr>
            <w:tcW w:w="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w:t>
            </w:r>
          </w:p>
        </w:tc>
        <w:tc>
          <w:tcPr>
            <w:tcW w:w="7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7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三</w:t>
            </w:r>
            <w:r>
              <w:rPr>
                <w:rFonts w:hint="default" w:ascii="Times New Roman" w:hAnsi="Times New Roman" w:eastAsia="宋体" w:cs="Times New Roman"/>
                <w:color w:val="000000" w:themeColor="text1"/>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较敏感</w:t>
            </w:r>
          </w:p>
        </w:tc>
        <w:tc>
          <w:tcPr>
            <w:tcW w:w="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w:t>
            </w:r>
          </w:p>
        </w:tc>
        <w:tc>
          <w:tcPr>
            <w:tcW w:w="7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7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不敏感</w:t>
            </w:r>
          </w:p>
        </w:tc>
        <w:tc>
          <w:tcPr>
            <w:tcW w:w="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w:t>
            </w:r>
          </w:p>
        </w:tc>
        <w:tc>
          <w:tcPr>
            <w:tcW w:w="7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7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7" w:type="dxa"/>
            <w:gridSpan w:val="10"/>
            <w:tcBorders>
              <w:tl2br w:val="nil"/>
              <w:tr2bl w:val="nil"/>
            </w:tcBorders>
          </w:tcPr>
          <w:p>
            <w:pPr>
              <w:keepNext w:val="0"/>
              <w:keepLines w:val="0"/>
              <w:pageBreakBefore w:val="0"/>
              <w:widowControl w:val="0"/>
              <w:kinsoku/>
              <w:wordWrap/>
              <w:overflowPunct/>
              <w:topLinePunct w:val="0"/>
              <w:autoSpaceDE/>
              <w:autoSpaceDN/>
              <w:bidi w:val="0"/>
              <w:adjustRightInd w:val="0"/>
              <w:snapToGrid w:val="0"/>
              <w:ind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注：“-”表示可不开展土壤环境影响评价工作。</w:t>
            </w:r>
          </w:p>
        </w:tc>
      </w:tr>
    </w:tbl>
    <w:p>
      <w:pPr>
        <w:pStyle w:val="121"/>
        <w:keepNext w:val="0"/>
        <w:keepLines w:val="0"/>
        <w:pageBreakBefore w:val="0"/>
        <w:widowControl w:val="0"/>
        <w:kinsoku/>
        <w:wordWrap/>
        <w:overflowPunct w:val="0"/>
        <w:topLinePunct w:val="0"/>
        <w:autoSpaceDE/>
        <w:autoSpaceDN/>
        <w:bidi w:val="0"/>
        <w:adjustRightInd w:val="0"/>
        <w:snapToGrid w:val="0"/>
        <w:spacing w:after="48" w:afterLines="20" w:line="480" w:lineRule="exact"/>
        <w:jc w:val="center"/>
        <w:textAlignment w:val="auto"/>
        <w:rPr>
          <w:rFonts w:hint="default" w:ascii="Times New Roman" w:hAnsi="Times New Roman" w:eastAsia="宋体" w:cs="Times New Roman"/>
          <w:color w:val="000000" w:themeColor="text1"/>
          <w:highlight w:val="none"/>
        </w:rPr>
      </w:pPr>
      <w:bookmarkStart w:id="152" w:name="_Toc12665"/>
      <w:r>
        <w:rPr>
          <w:rFonts w:hint="default" w:ascii="Times New Roman" w:hAnsi="Times New Roman" w:eastAsia="宋体" w:cs="Times New Roman"/>
          <w:color w:val="000000" w:themeColor="text1"/>
          <w:highlight w:val="none"/>
        </w:rPr>
        <w:t>表2.</w:t>
      </w:r>
      <w:r>
        <w:rPr>
          <w:rFonts w:hint="eastAsia" w:ascii="Times New Roman" w:hAnsi="Times New Roman" w:eastAsia="宋体" w:cs="Times New Roman"/>
          <w:color w:val="000000" w:themeColor="text1"/>
          <w:highlight w:val="none"/>
          <w:lang w:val="en-US" w:eastAsia="zh-CN"/>
        </w:rPr>
        <w:t>5</w:t>
      </w:r>
      <w:r>
        <w:rPr>
          <w:rFonts w:hint="default" w:ascii="Times New Roman" w:hAnsi="Times New Roman" w:eastAsia="宋体" w:cs="Times New Roman"/>
          <w:color w:val="000000" w:themeColor="text1"/>
          <w:highlight w:val="none"/>
        </w:rPr>
        <w:noBreakHyphen/>
      </w:r>
      <w:r>
        <w:rPr>
          <w:rFonts w:hint="eastAsia" w:ascii="Times New Roman" w:hAnsi="Times New Roman" w:eastAsia="宋体" w:cs="Times New Roman"/>
          <w:color w:val="000000" w:themeColor="text1"/>
          <w:highlight w:val="none"/>
          <w:lang w:val="en-US" w:eastAsia="zh-CN"/>
        </w:rPr>
        <w:t>9</w:t>
      </w:r>
      <w:r>
        <w:rPr>
          <w:rFonts w:hint="default" w:ascii="Times New Roman" w:hAnsi="Times New Roman" w:eastAsia="宋体" w:cs="Times New Roman"/>
          <w:color w:val="000000" w:themeColor="text1"/>
          <w:highlight w:val="none"/>
        </w:rPr>
        <w:t xml:space="preserve">  土壤环境评价工作等级</w:t>
      </w:r>
    </w:p>
    <w:tbl>
      <w:tblPr>
        <w:tblStyle w:val="39"/>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745"/>
        <w:gridCol w:w="1746"/>
        <w:gridCol w:w="3497"/>
        <w:gridCol w:w="1011"/>
        <w:gridCol w:w="9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50" w:hRule="atLeast"/>
          <w:jc w:val="center"/>
        </w:trPr>
        <w:tc>
          <w:tcPr>
            <w:tcW w:w="1745"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eastAsia="zh-CN"/>
              </w:rPr>
            </w:pPr>
            <w:r>
              <w:rPr>
                <w:rStyle w:val="122"/>
                <w:rFonts w:hint="eastAsia" w:ascii="Times New Roman" w:hAnsi="Times New Roman" w:eastAsia="宋体" w:cs="Times New Roman"/>
                <w:b w:val="0"/>
                <w:bCs w:val="0"/>
                <w:color w:val="000000" w:themeColor="text1"/>
                <w:sz w:val="21"/>
                <w:szCs w:val="21"/>
                <w:lang w:eastAsia="zh-CN"/>
              </w:rPr>
              <w:t>矿区</w:t>
            </w:r>
          </w:p>
        </w:tc>
        <w:tc>
          <w:tcPr>
            <w:tcW w:w="1746"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项目类别</w:t>
            </w:r>
          </w:p>
        </w:tc>
        <w:tc>
          <w:tcPr>
            <w:tcW w:w="4508" w:type="dxa"/>
            <w:gridSpan w:val="2"/>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Ⅱ类</w:t>
            </w:r>
          </w:p>
        </w:tc>
        <w:tc>
          <w:tcPr>
            <w:tcW w:w="936"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eastAsia="zh-CN"/>
              </w:rPr>
            </w:pPr>
            <w:r>
              <w:rPr>
                <w:rStyle w:val="122"/>
                <w:rFonts w:hint="eastAsia" w:ascii="Times New Roman" w:hAnsi="Times New Roman" w:eastAsia="宋体" w:cs="Times New Roman"/>
                <w:b w:val="0"/>
                <w:bCs w:val="0"/>
                <w:color w:val="000000" w:themeColor="text1"/>
                <w:sz w:val="21"/>
                <w:szCs w:val="21"/>
                <w:lang w:eastAsia="zh-CN"/>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51" w:hRule="atLeast"/>
          <w:jc w:val="center"/>
        </w:trPr>
        <w:tc>
          <w:tcPr>
            <w:tcW w:w="1745" w:type="dxa"/>
            <w:vMerge w:val="restart"/>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val="en-US" w:eastAsia="zh-CN"/>
              </w:rPr>
            </w:pPr>
            <w:r>
              <w:rPr>
                <w:rStyle w:val="122"/>
                <w:rFonts w:hint="eastAsia" w:ascii="Times New Roman" w:hAnsi="Times New Roman" w:eastAsia="宋体" w:cs="Times New Roman"/>
                <w:b w:val="0"/>
                <w:bCs w:val="0"/>
                <w:color w:val="000000" w:themeColor="text1"/>
                <w:sz w:val="21"/>
                <w:szCs w:val="21"/>
                <w:lang w:val="en-US" w:eastAsia="zh-CN"/>
              </w:rPr>
              <w:t>K1</w:t>
            </w:r>
          </w:p>
        </w:tc>
        <w:tc>
          <w:tcPr>
            <w:tcW w:w="1746"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占地规模（hm</w:t>
            </w:r>
            <w:r>
              <w:rPr>
                <w:rStyle w:val="122"/>
                <w:rFonts w:hint="default" w:ascii="Times New Roman" w:hAnsi="Times New Roman" w:eastAsia="宋体" w:cs="Times New Roman"/>
                <w:b w:val="0"/>
                <w:bCs w:val="0"/>
                <w:color w:val="000000" w:themeColor="text1"/>
                <w:sz w:val="21"/>
                <w:szCs w:val="21"/>
                <w:vertAlign w:val="superscript"/>
              </w:rPr>
              <w:t>2</w:t>
            </w:r>
            <w:r>
              <w:rPr>
                <w:rStyle w:val="122"/>
                <w:rFonts w:hint="default" w:ascii="Times New Roman" w:hAnsi="Times New Roman" w:eastAsia="宋体" w:cs="Times New Roman"/>
                <w:b w:val="0"/>
                <w:bCs w:val="0"/>
                <w:color w:val="000000" w:themeColor="text1"/>
                <w:sz w:val="21"/>
                <w:szCs w:val="21"/>
              </w:rPr>
              <w:t>）</w:t>
            </w:r>
          </w:p>
        </w:tc>
        <w:tc>
          <w:tcPr>
            <w:tcW w:w="3497"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val="en-US" w:eastAsia="zh-CN"/>
              </w:rPr>
            </w:pPr>
            <w:r>
              <w:rPr>
                <w:rStyle w:val="122"/>
                <w:rFonts w:hint="eastAsia" w:ascii="Times New Roman" w:hAnsi="Times New Roman" w:eastAsia="宋体" w:cs="Times New Roman"/>
                <w:b w:val="0"/>
                <w:bCs w:val="0"/>
                <w:color w:val="000000" w:themeColor="text1"/>
                <w:sz w:val="21"/>
                <w:szCs w:val="21"/>
                <w:lang w:val="en-US" w:eastAsia="zh-CN"/>
              </w:rPr>
              <w:t>0.666</w:t>
            </w:r>
          </w:p>
        </w:tc>
        <w:tc>
          <w:tcPr>
            <w:tcW w:w="1011"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小</w:t>
            </w:r>
          </w:p>
        </w:tc>
        <w:tc>
          <w:tcPr>
            <w:tcW w:w="936" w:type="dxa"/>
            <w:vMerge w:val="restart"/>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val="en-US" w:eastAsia="zh-CN"/>
              </w:rPr>
            </w:pPr>
            <w:r>
              <w:rPr>
                <w:rStyle w:val="122"/>
                <w:rFonts w:hint="eastAsia" w:ascii="Times New Roman" w:hAnsi="Times New Roman" w:eastAsia="宋体" w:cs="Times New Roman"/>
                <w:b w:val="0"/>
                <w:bCs w:val="0"/>
                <w:color w:val="000000" w:themeColor="text1"/>
                <w:sz w:val="21"/>
                <w:szCs w:val="21"/>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50" w:hRule="atLeast"/>
          <w:jc w:val="center"/>
        </w:trPr>
        <w:tc>
          <w:tcPr>
            <w:tcW w:w="1745" w:type="dxa"/>
            <w:vMerge w:val="continue"/>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p>
        </w:tc>
        <w:tc>
          <w:tcPr>
            <w:tcW w:w="1746"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敏感程度</w:t>
            </w:r>
          </w:p>
        </w:tc>
        <w:tc>
          <w:tcPr>
            <w:tcW w:w="3497"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val="en-US" w:eastAsia="zh-CN"/>
              </w:rPr>
            </w:pPr>
            <w:r>
              <w:rPr>
                <w:rStyle w:val="122"/>
                <w:rFonts w:hint="default" w:ascii="Times New Roman" w:hAnsi="Times New Roman" w:eastAsia="宋体" w:cs="Times New Roman"/>
                <w:b w:val="0"/>
                <w:bCs w:val="0"/>
                <w:color w:val="000000" w:themeColor="text1"/>
                <w:sz w:val="21"/>
                <w:szCs w:val="21"/>
              </w:rPr>
              <w:t>项目</w:t>
            </w:r>
            <w:r>
              <w:rPr>
                <w:rStyle w:val="122"/>
                <w:rFonts w:hint="default" w:ascii="Times New Roman" w:hAnsi="Times New Roman" w:eastAsia="宋体" w:cs="Times New Roman"/>
                <w:b w:val="0"/>
                <w:bCs w:val="0"/>
                <w:color w:val="000000" w:themeColor="text1"/>
                <w:sz w:val="21"/>
                <w:szCs w:val="21"/>
                <w:lang w:eastAsia="zh-CN"/>
              </w:rPr>
              <w:t>工业场地</w:t>
            </w:r>
            <w:r>
              <w:rPr>
                <w:rStyle w:val="122"/>
                <w:rFonts w:hint="default" w:ascii="Times New Roman" w:hAnsi="Times New Roman" w:eastAsia="宋体" w:cs="Times New Roman"/>
                <w:b w:val="0"/>
                <w:bCs w:val="0"/>
                <w:color w:val="000000" w:themeColor="text1"/>
                <w:sz w:val="21"/>
                <w:szCs w:val="21"/>
              </w:rPr>
              <w:t>周边</w:t>
            </w:r>
            <w:r>
              <w:rPr>
                <w:rStyle w:val="122"/>
                <w:rFonts w:hint="eastAsia" w:ascii="Times New Roman" w:hAnsi="Times New Roman" w:eastAsia="宋体" w:cs="Times New Roman"/>
                <w:b w:val="0"/>
                <w:bCs w:val="0"/>
                <w:color w:val="000000" w:themeColor="text1"/>
                <w:sz w:val="21"/>
                <w:szCs w:val="21"/>
                <w:lang w:val="en-US" w:eastAsia="zh-CN"/>
              </w:rPr>
              <w:t>5</w:t>
            </w:r>
            <w:r>
              <w:rPr>
                <w:rStyle w:val="122"/>
                <w:rFonts w:hint="default" w:ascii="Times New Roman" w:hAnsi="Times New Roman" w:eastAsia="宋体" w:cs="Times New Roman"/>
                <w:b w:val="0"/>
                <w:bCs w:val="0"/>
                <w:color w:val="000000" w:themeColor="text1"/>
                <w:sz w:val="21"/>
                <w:szCs w:val="21"/>
                <w:lang w:val="en-US" w:eastAsia="zh-CN"/>
              </w:rPr>
              <w:t>0m范围内</w:t>
            </w:r>
            <w:r>
              <w:rPr>
                <w:rStyle w:val="122"/>
                <w:rFonts w:hint="default" w:ascii="Times New Roman" w:hAnsi="Times New Roman" w:eastAsia="宋体" w:cs="Times New Roman"/>
                <w:b w:val="0"/>
                <w:bCs w:val="0"/>
                <w:color w:val="000000" w:themeColor="text1"/>
                <w:sz w:val="21"/>
                <w:szCs w:val="21"/>
                <w:lang w:eastAsia="zh-CN"/>
              </w:rPr>
              <w:t>为林地</w:t>
            </w:r>
          </w:p>
        </w:tc>
        <w:tc>
          <w:tcPr>
            <w:tcW w:w="1011"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eastAsia" w:ascii="Times New Roman" w:hAnsi="Times New Roman" w:eastAsia="宋体" w:cs="Times New Roman"/>
                <w:b w:val="0"/>
                <w:bCs w:val="0"/>
                <w:color w:val="000000" w:themeColor="text1"/>
                <w:sz w:val="21"/>
                <w:szCs w:val="21"/>
                <w:lang w:eastAsia="zh-CN"/>
              </w:rPr>
              <w:t>不</w:t>
            </w:r>
            <w:r>
              <w:rPr>
                <w:rStyle w:val="122"/>
                <w:rFonts w:hint="default" w:ascii="Times New Roman" w:hAnsi="Times New Roman" w:eastAsia="宋体" w:cs="Times New Roman"/>
                <w:b w:val="0"/>
                <w:bCs w:val="0"/>
                <w:color w:val="000000" w:themeColor="text1"/>
                <w:sz w:val="21"/>
                <w:szCs w:val="21"/>
              </w:rPr>
              <w:t>敏感</w:t>
            </w:r>
          </w:p>
        </w:tc>
        <w:tc>
          <w:tcPr>
            <w:tcW w:w="936" w:type="dxa"/>
            <w:vMerge w:val="continue"/>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50" w:hRule="atLeast"/>
          <w:jc w:val="center"/>
        </w:trPr>
        <w:tc>
          <w:tcPr>
            <w:tcW w:w="1745" w:type="dxa"/>
            <w:vMerge w:val="restart"/>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eastAsia" w:ascii="Times New Roman" w:hAnsi="Times New Roman" w:eastAsia="宋体" w:cs="Times New Roman"/>
                <w:b w:val="0"/>
                <w:bCs w:val="0"/>
                <w:color w:val="000000" w:themeColor="text1"/>
                <w:sz w:val="21"/>
                <w:szCs w:val="21"/>
                <w:lang w:val="en-US" w:eastAsia="zh-CN"/>
              </w:rPr>
              <w:t>K2</w:t>
            </w:r>
          </w:p>
        </w:tc>
        <w:tc>
          <w:tcPr>
            <w:tcW w:w="1746"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占地规模（hm</w:t>
            </w:r>
            <w:r>
              <w:rPr>
                <w:rStyle w:val="122"/>
                <w:rFonts w:hint="default" w:ascii="Times New Roman" w:hAnsi="Times New Roman" w:eastAsia="宋体" w:cs="Times New Roman"/>
                <w:b w:val="0"/>
                <w:bCs w:val="0"/>
                <w:color w:val="000000" w:themeColor="text1"/>
                <w:sz w:val="21"/>
                <w:szCs w:val="21"/>
                <w:vertAlign w:val="superscript"/>
              </w:rPr>
              <w:t>2</w:t>
            </w:r>
            <w:r>
              <w:rPr>
                <w:rStyle w:val="122"/>
                <w:rFonts w:hint="default" w:ascii="Times New Roman" w:hAnsi="Times New Roman" w:eastAsia="宋体" w:cs="Times New Roman"/>
                <w:b w:val="0"/>
                <w:bCs w:val="0"/>
                <w:color w:val="000000" w:themeColor="text1"/>
                <w:sz w:val="21"/>
                <w:szCs w:val="21"/>
              </w:rPr>
              <w:t>）</w:t>
            </w:r>
          </w:p>
        </w:tc>
        <w:tc>
          <w:tcPr>
            <w:tcW w:w="3497"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val="en-US" w:eastAsia="zh-CN"/>
              </w:rPr>
            </w:pPr>
            <w:r>
              <w:rPr>
                <w:rStyle w:val="122"/>
                <w:rFonts w:hint="eastAsia" w:ascii="Times New Roman" w:hAnsi="Times New Roman" w:eastAsia="宋体" w:cs="Times New Roman"/>
                <w:b w:val="0"/>
                <w:bCs w:val="0"/>
                <w:color w:val="000000" w:themeColor="text1"/>
                <w:sz w:val="21"/>
                <w:szCs w:val="21"/>
                <w:lang w:val="en-US" w:eastAsia="zh-CN"/>
              </w:rPr>
              <w:t>0.754</w:t>
            </w:r>
          </w:p>
        </w:tc>
        <w:tc>
          <w:tcPr>
            <w:tcW w:w="1011"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小</w:t>
            </w:r>
          </w:p>
        </w:tc>
        <w:tc>
          <w:tcPr>
            <w:tcW w:w="936" w:type="dxa"/>
            <w:vMerge w:val="restart"/>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eastAsia="zh-CN"/>
              </w:rPr>
            </w:pPr>
            <w:r>
              <w:rPr>
                <w:rStyle w:val="122"/>
                <w:rFonts w:hint="eastAsia" w:ascii="Times New Roman" w:hAnsi="Times New Roman" w:eastAsia="宋体" w:cs="Times New Roman"/>
                <w:b w:val="0"/>
                <w:bCs w:val="0"/>
                <w:color w:val="000000" w:themeColor="text1"/>
                <w:sz w:val="21"/>
                <w:szCs w:val="21"/>
                <w:lang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50" w:hRule="atLeast"/>
          <w:jc w:val="center"/>
        </w:trPr>
        <w:tc>
          <w:tcPr>
            <w:tcW w:w="1745" w:type="dxa"/>
            <w:vMerge w:val="continue"/>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p>
        </w:tc>
        <w:tc>
          <w:tcPr>
            <w:tcW w:w="1746"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default" w:ascii="Times New Roman" w:hAnsi="Times New Roman" w:eastAsia="宋体" w:cs="Times New Roman"/>
                <w:b w:val="0"/>
                <w:bCs w:val="0"/>
                <w:color w:val="000000" w:themeColor="text1"/>
                <w:sz w:val="21"/>
                <w:szCs w:val="21"/>
              </w:rPr>
              <w:t>敏感程度</w:t>
            </w:r>
          </w:p>
        </w:tc>
        <w:tc>
          <w:tcPr>
            <w:tcW w:w="3497"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eastAsia" w:ascii="Times New Roman" w:hAnsi="Times New Roman" w:eastAsia="宋体" w:cs="Times New Roman"/>
                <w:b w:val="0"/>
                <w:bCs w:val="0"/>
                <w:color w:val="000000" w:themeColor="text1"/>
                <w:sz w:val="21"/>
                <w:szCs w:val="21"/>
                <w:lang w:val="en-US" w:eastAsia="zh-CN"/>
              </w:rPr>
            </w:pPr>
            <w:r>
              <w:rPr>
                <w:rStyle w:val="122"/>
                <w:rFonts w:hint="default" w:ascii="Times New Roman" w:hAnsi="Times New Roman" w:eastAsia="宋体" w:cs="Times New Roman"/>
                <w:b w:val="0"/>
                <w:bCs w:val="0"/>
                <w:color w:val="000000" w:themeColor="text1"/>
                <w:sz w:val="21"/>
                <w:szCs w:val="21"/>
              </w:rPr>
              <w:t>项目</w:t>
            </w:r>
            <w:r>
              <w:rPr>
                <w:rStyle w:val="122"/>
                <w:rFonts w:hint="default" w:ascii="Times New Roman" w:hAnsi="Times New Roman" w:eastAsia="宋体" w:cs="Times New Roman"/>
                <w:b w:val="0"/>
                <w:bCs w:val="0"/>
                <w:color w:val="000000" w:themeColor="text1"/>
                <w:sz w:val="21"/>
                <w:szCs w:val="21"/>
                <w:lang w:eastAsia="zh-CN"/>
              </w:rPr>
              <w:t>工业场地</w:t>
            </w:r>
            <w:r>
              <w:rPr>
                <w:rStyle w:val="122"/>
                <w:rFonts w:hint="default" w:ascii="Times New Roman" w:hAnsi="Times New Roman" w:eastAsia="宋体" w:cs="Times New Roman"/>
                <w:b w:val="0"/>
                <w:bCs w:val="0"/>
                <w:color w:val="000000" w:themeColor="text1"/>
                <w:sz w:val="21"/>
                <w:szCs w:val="21"/>
              </w:rPr>
              <w:t>周边</w:t>
            </w:r>
            <w:r>
              <w:rPr>
                <w:rStyle w:val="122"/>
                <w:rFonts w:hint="eastAsia" w:ascii="Times New Roman" w:hAnsi="Times New Roman" w:eastAsia="宋体" w:cs="Times New Roman"/>
                <w:b w:val="0"/>
                <w:bCs w:val="0"/>
                <w:color w:val="000000" w:themeColor="text1"/>
                <w:sz w:val="21"/>
                <w:szCs w:val="21"/>
                <w:lang w:val="en-US" w:eastAsia="zh-CN"/>
              </w:rPr>
              <w:t>5</w:t>
            </w:r>
            <w:r>
              <w:rPr>
                <w:rStyle w:val="122"/>
                <w:rFonts w:hint="default" w:ascii="Times New Roman" w:hAnsi="Times New Roman" w:eastAsia="宋体" w:cs="Times New Roman"/>
                <w:b w:val="0"/>
                <w:bCs w:val="0"/>
                <w:color w:val="000000" w:themeColor="text1"/>
                <w:sz w:val="21"/>
                <w:szCs w:val="21"/>
                <w:lang w:val="en-US" w:eastAsia="zh-CN"/>
              </w:rPr>
              <w:t>0m范围内</w:t>
            </w:r>
            <w:r>
              <w:rPr>
                <w:rStyle w:val="122"/>
                <w:rFonts w:hint="default" w:ascii="Times New Roman" w:hAnsi="Times New Roman" w:eastAsia="宋体" w:cs="Times New Roman"/>
                <w:b w:val="0"/>
                <w:bCs w:val="0"/>
                <w:color w:val="000000" w:themeColor="text1"/>
                <w:sz w:val="21"/>
                <w:szCs w:val="21"/>
                <w:lang w:eastAsia="zh-CN"/>
              </w:rPr>
              <w:t>为林地</w:t>
            </w:r>
          </w:p>
        </w:tc>
        <w:tc>
          <w:tcPr>
            <w:tcW w:w="1011" w:type="dxa"/>
            <w:tcBorders>
              <w:tl2br w:val="nil"/>
              <w:tr2bl w:val="nil"/>
            </w:tcBorders>
            <w:noWrap w:val="0"/>
            <w:vAlign w:val="center"/>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r>
              <w:rPr>
                <w:rStyle w:val="122"/>
                <w:rFonts w:hint="eastAsia" w:ascii="Times New Roman" w:hAnsi="Times New Roman" w:eastAsia="宋体" w:cs="Times New Roman"/>
                <w:b w:val="0"/>
                <w:bCs w:val="0"/>
                <w:color w:val="000000" w:themeColor="text1"/>
                <w:sz w:val="21"/>
                <w:szCs w:val="21"/>
                <w:lang w:eastAsia="zh-CN"/>
              </w:rPr>
              <w:t>不</w:t>
            </w:r>
            <w:r>
              <w:rPr>
                <w:rStyle w:val="122"/>
                <w:rFonts w:hint="default" w:ascii="Times New Roman" w:hAnsi="Times New Roman" w:eastAsia="宋体" w:cs="Times New Roman"/>
                <w:b w:val="0"/>
                <w:bCs w:val="0"/>
                <w:color w:val="000000" w:themeColor="text1"/>
                <w:sz w:val="21"/>
                <w:szCs w:val="21"/>
              </w:rPr>
              <w:t>敏感</w:t>
            </w:r>
          </w:p>
        </w:tc>
        <w:tc>
          <w:tcPr>
            <w:tcW w:w="936" w:type="dxa"/>
            <w:vMerge w:val="continue"/>
            <w:tcBorders>
              <w:tl2br w:val="nil"/>
              <w:tr2bl w:val="nil"/>
            </w:tcBorders>
            <w:noWrap w:val="0"/>
            <w:vAlign w:val="top"/>
          </w:tcPr>
          <w:p>
            <w:pPr>
              <w:keepNext w:val="0"/>
              <w:keepLines w:val="0"/>
              <w:pageBreakBefore w:val="0"/>
              <w:kinsoku/>
              <w:wordWrap/>
              <w:autoSpaceDE/>
              <w:autoSpaceDN/>
              <w:bidi w:val="0"/>
              <w:spacing w:line="320" w:lineRule="exact"/>
              <w:ind w:firstLine="0" w:firstLineChars="0"/>
              <w:jc w:val="center"/>
              <w:textAlignment w:val="auto"/>
              <w:rPr>
                <w:rStyle w:val="122"/>
                <w:rFonts w:hint="default" w:ascii="Times New Roman" w:hAnsi="Times New Roman" w:eastAsia="宋体" w:cs="Times New Roman"/>
                <w:b w:val="0"/>
                <w:bCs w:val="0"/>
                <w:color w:val="000000" w:themeColor="text1"/>
                <w:sz w:val="21"/>
                <w:szCs w:val="21"/>
              </w:rPr>
            </w:pPr>
          </w:p>
        </w:tc>
      </w:tr>
    </w:tbl>
    <w:p>
      <w:pPr>
        <w:pStyle w:val="3"/>
        <w:pageBreakBefore w:val="0"/>
        <w:widowControl w:val="0"/>
        <w:numPr>
          <w:ilvl w:val="0"/>
          <w:numId w:val="0"/>
        </w:numPr>
        <w:kinsoku/>
        <w:wordWrap/>
        <w:overflowPunct/>
        <w:topLinePunct w:val="0"/>
        <w:autoSpaceDE/>
        <w:autoSpaceDN/>
        <w:bidi w:val="0"/>
        <w:adjustRightInd w:val="0"/>
        <w:snapToGrid w:val="0"/>
        <w:spacing w:before="0" w:line="360" w:lineRule="auto"/>
        <w:ind w:firstLine="482" w:firstLineChars="200"/>
        <w:jc w:val="left"/>
        <w:textAlignment w:val="auto"/>
        <w:rPr>
          <w:rFonts w:eastAsia="宋体"/>
          <w:b/>
          <w:bCs/>
          <w:color w:val="000000" w:themeColor="text1"/>
          <w:sz w:val="24"/>
          <w:szCs w:val="22"/>
        </w:rPr>
      </w:pPr>
      <w:bookmarkStart w:id="153" w:name="_Toc22908"/>
      <w:r>
        <w:rPr>
          <w:rFonts w:hint="default" w:ascii="Times New Roman" w:hAnsi="Times New Roman" w:eastAsia="宋体" w:cs="Times New Roman"/>
          <w:b/>
          <w:bCs/>
          <w:color w:val="000000" w:themeColor="text1"/>
          <w:sz w:val="24"/>
          <w:szCs w:val="24"/>
        </w:rPr>
        <w:t>综上所述，本项目各环境要素评价等级见下表</w:t>
      </w:r>
      <w:r>
        <w:rPr>
          <w:rFonts w:hint="eastAsia" w:eastAsia="宋体"/>
          <w:b/>
          <w:bCs/>
          <w:color w:val="000000" w:themeColor="text1"/>
          <w:sz w:val="24"/>
          <w:szCs w:val="22"/>
        </w:rPr>
        <w:t>：</w:t>
      </w:r>
      <w:bookmarkEnd w:id="152"/>
      <w:bookmarkEnd w:id="153"/>
    </w:p>
    <w:p>
      <w:pPr>
        <w:pStyle w:val="25"/>
        <w:spacing w:beforeLines="0" w:afterLines="0"/>
        <w:rPr>
          <w:rFonts w:ascii="Times New Roman" w:hAnsi="Times New Roman"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表2.</w:t>
      </w:r>
      <w:r>
        <w:rPr>
          <w:rFonts w:hint="eastAsia" w:ascii="Times New Roman" w:hAnsi="Times New Roman" w:eastAsia="宋体" w:cs="Times New Roman"/>
          <w:b/>
          <w:bCs w:val="0"/>
          <w:color w:val="000000" w:themeColor="text1"/>
          <w:sz w:val="21"/>
          <w:szCs w:val="21"/>
          <w:lang w:val="en-US" w:eastAsia="zh-CN"/>
        </w:rPr>
        <w:t>5</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10</w:t>
      </w:r>
      <w:r>
        <w:rPr>
          <w:rFonts w:hint="default" w:ascii="Times New Roman" w:hAnsi="Times New Roman" w:eastAsia="宋体" w:cs="Times New Roman"/>
          <w:b/>
          <w:bCs w:val="0"/>
          <w:color w:val="000000" w:themeColor="text1"/>
          <w:sz w:val="21"/>
          <w:szCs w:val="21"/>
        </w:rPr>
        <w:t xml:space="preserve"> 各环境要素评价等级一览表</w:t>
      </w:r>
    </w:p>
    <w:tbl>
      <w:tblPr>
        <w:tblStyle w:val="40"/>
        <w:tblW w:w="89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005"/>
        <w:gridCol w:w="1193"/>
        <w:gridCol w:w="1087"/>
        <w:gridCol w:w="1161"/>
        <w:gridCol w:w="936"/>
        <w:gridCol w:w="1223"/>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34"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环境要素</w:t>
            </w:r>
          </w:p>
        </w:tc>
        <w:tc>
          <w:tcPr>
            <w:tcW w:w="1005"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生态</w:t>
            </w:r>
          </w:p>
        </w:tc>
        <w:tc>
          <w:tcPr>
            <w:tcW w:w="119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环境空气</w:t>
            </w:r>
          </w:p>
        </w:tc>
        <w:tc>
          <w:tcPr>
            <w:tcW w:w="1087"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声环境</w:t>
            </w:r>
          </w:p>
        </w:tc>
        <w:tc>
          <w:tcPr>
            <w:tcW w:w="1161"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地表水</w:t>
            </w:r>
          </w:p>
        </w:tc>
        <w:tc>
          <w:tcPr>
            <w:tcW w:w="936"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地下水</w:t>
            </w:r>
          </w:p>
        </w:tc>
        <w:tc>
          <w:tcPr>
            <w:tcW w:w="122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风险</w:t>
            </w:r>
          </w:p>
        </w:tc>
        <w:tc>
          <w:tcPr>
            <w:tcW w:w="1041"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334"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评价等级</w:t>
            </w:r>
          </w:p>
        </w:tc>
        <w:tc>
          <w:tcPr>
            <w:tcW w:w="1005"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c>
          <w:tcPr>
            <w:tcW w:w="119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1087"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1161"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三级B</w:t>
            </w:r>
          </w:p>
        </w:tc>
        <w:tc>
          <w:tcPr>
            <w:tcW w:w="936"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w:t>
            </w:r>
          </w:p>
        </w:tc>
        <w:tc>
          <w:tcPr>
            <w:tcW w:w="122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简单分析</w:t>
            </w:r>
          </w:p>
        </w:tc>
        <w:tc>
          <w:tcPr>
            <w:tcW w:w="1041"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三级</w:t>
            </w:r>
          </w:p>
        </w:tc>
      </w:tr>
    </w:tbl>
    <w:p>
      <w:pPr>
        <w:pStyle w:val="4"/>
        <w:spacing w:before="120"/>
        <w:rPr>
          <w:color w:val="000000" w:themeColor="text1"/>
        </w:rPr>
      </w:pPr>
      <w:bookmarkStart w:id="154" w:name="_Toc5327"/>
      <w:bookmarkStart w:id="155" w:name="_Toc7613"/>
      <w:bookmarkStart w:id="156" w:name="_Toc28716"/>
      <w:bookmarkStart w:id="157" w:name="_Toc23770"/>
      <w:bookmarkStart w:id="158" w:name="_Toc17739_WPSOffice_Level2"/>
      <w:r>
        <w:rPr>
          <w:color w:val="000000" w:themeColor="text1"/>
        </w:rPr>
        <w:t>评价范围</w:t>
      </w:r>
      <w:bookmarkEnd w:id="154"/>
      <w:bookmarkEnd w:id="155"/>
      <w:bookmarkEnd w:id="156"/>
      <w:bookmarkEnd w:id="157"/>
      <w:bookmarkEnd w:id="158"/>
    </w:p>
    <w:p>
      <w:pPr>
        <w:pStyle w:val="12"/>
        <w:keepNext w:val="0"/>
        <w:keepLines w:val="0"/>
        <w:pageBreakBefore w:val="0"/>
        <w:widowControl w:val="0"/>
        <w:numPr>
          <w:ilvl w:val="0"/>
          <w:numId w:val="9"/>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大气</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本项目评价等级为二级，</w:t>
      </w:r>
      <w:r>
        <w:rPr>
          <w:rFonts w:hint="eastAsia" w:ascii="Times New Roman" w:hAnsi="Times New Roman" w:eastAsia="宋体" w:cs="Times New Roman"/>
          <w:color w:val="000000" w:themeColor="text1"/>
          <w:sz w:val="24"/>
          <w:szCs w:val="24"/>
          <w:lang w:val="en-US" w:eastAsia="zh-CN"/>
        </w:rPr>
        <w:t>根据</w:t>
      </w:r>
      <w:r>
        <w:rPr>
          <w:rFonts w:hint="default" w:ascii="Times New Roman" w:hAnsi="Times New Roman" w:eastAsia="宋体" w:cs="Times New Roman"/>
          <w:color w:val="000000" w:themeColor="text1"/>
          <w:sz w:val="24"/>
          <w:szCs w:val="24"/>
        </w:rPr>
        <w:t>《环境影响评价技术导则-大气环境》</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HJ2.2-2018</w:t>
      </w:r>
      <w:r>
        <w:rPr>
          <w:rFonts w:hint="eastAsia" w:ascii="Times New Roman" w:hAnsi="Times New Roman" w:eastAsia="宋体" w:cs="Times New Roman"/>
          <w:color w:val="000000" w:themeColor="text1"/>
          <w:sz w:val="24"/>
          <w:szCs w:val="24"/>
          <w:lang w:eastAsia="zh-CN"/>
        </w:rPr>
        <w:t>），二级评价范围取边长为</w:t>
      </w:r>
      <w:r>
        <w:rPr>
          <w:rFonts w:hint="eastAsia" w:ascii="Times New Roman" w:hAnsi="Times New Roman" w:eastAsia="宋体" w:cs="Times New Roman"/>
          <w:color w:val="000000" w:themeColor="text1"/>
          <w:sz w:val="24"/>
          <w:szCs w:val="24"/>
          <w:lang w:val="en-US" w:eastAsia="zh-CN"/>
        </w:rPr>
        <w:t>5km的矩形。</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地表水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本项目评价等级为</w:t>
      </w:r>
      <w:r>
        <w:rPr>
          <w:rFonts w:hint="default" w:ascii="Times New Roman" w:hAnsi="Times New Roman" w:eastAsia="宋体" w:cs="Times New Roman"/>
          <w:color w:val="000000" w:themeColor="text1"/>
          <w:sz w:val="24"/>
          <w:szCs w:val="24"/>
        </w:rPr>
        <w:t>三级B</w:t>
      </w:r>
      <w:r>
        <w:rPr>
          <w:rFonts w:hint="eastAsia" w:ascii="Times New Roman" w:hAnsi="Times New Roman" w:eastAsia="宋体" w:cs="Times New Roman"/>
          <w:color w:val="000000" w:themeColor="text1"/>
          <w:sz w:val="24"/>
          <w:szCs w:val="24"/>
          <w:lang w:eastAsia="zh-CN"/>
        </w:rPr>
        <w:t>，根</w:t>
      </w:r>
      <w:r>
        <w:rPr>
          <w:rFonts w:hint="default" w:ascii="Times New Roman" w:hAnsi="Times New Roman" w:eastAsia="宋体" w:cs="Times New Roman"/>
          <w:color w:val="000000" w:themeColor="text1"/>
          <w:sz w:val="24"/>
          <w:szCs w:val="24"/>
        </w:rPr>
        <w:t>据《环境影响评价技术导则地表水环境》（HJ2.3-2018）</w:t>
      </w:r>
      <w:r>
        <w:rPr>
          <w:rFonts w:hint="eastAsia" w:ascii="Times New Roman" w:hAnsi="Times New Roman" w:eastAsia="宋体" w:cs="Times New Roman"/>
          <w:color w:val="000000" w:themeColor="text1"/>
          <w:sz w:val="24"/>
          <w:szCs w:val="24"/>
          <w:lang w:eastAsia="zh-CN"/>
        </w:rPr>
        <w:t>，本项目无需设置评价范围。</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地下水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地下水环境现状调查评价范围的确定可采用公式计算法、查表法及自定义法。本项目属I类建设项目，评价等级为二级，因项目区属于基岩山区地貌单元。本次评价范围采用《环境影响评价技术导则—地下水环境》（HJ610-2016）中推荐的</w:t>
      </w:r>
      <w:r>
        <w:rPr>
          <w:rFonts w:hint="eastAsia" w:ascii="Times New Roman" w:hAnsi="Times New Roman" w:eastAsia="宋体" w:cs="Times New Roman"/>
          <w:color w:val="000000" w:themeColor="text1"/>
          <w:sz w:val="24"/>
          <w:szCs w:val="24"/>
          <w:lang w:val="en-US" w:eastAsia="zh-CN"/>
        </w:rPr>
        <w:t>公式</w:t>
      </w:r>
      <w:r>
        <w:rPr>
          <w:rFonts w:hint="default" w:ascii="Times New Roman" w:hAnsi="Times New Roman" w:eastAsia="宋体" w:cs="Times New Roman"/>
          <w:color w:val="000000" w:themeColor="text1"/>
          <w:sz w:val="24"/>
          <w:szCs w:val="24"/>
        </w:rPr>
        <w:t>法确定评价区。</w:t>
      </w:r>
    </w:p>
    <w:p>
      <w:pPr>
        <w:pStyle w:val="2"/>
      </w:pPr>
      <w:r>
        <w:drawing>
          <wp:inline distT="0" distB="0" distL="114300" distR="114300">
            <wp:extent cx="4107180" cy="1676400"/>
            <wp:effectExtent l="0" t="0" r="762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9"/>
                    <a:stretch>
                      <a:fillRect/>
                    </a:stretch>
                  </pic:blipFill>
                  <pic:spPr>
                    <a:xfrm>
                      <a:off x="0" y="0"/>
                      <a:ext cx="4107180" cy="16764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000000" w:themeColor="text1"/>
          <w:sz w:val="24"/>
          <w:szCs w:val="24"/>
          <w:lang w:eastAsia="zh-CN"/>
        </w:rPr>
      </w:pPr>
      <w:r>
        <w:rPr>
          <w:rFonts w:hint="eastAsia"/>
          <w:color w:val="000000" w:themeColor="text1"/>
          <w:sz w:val="24"/>
          <w:szCs w:val="24"/>
          <w:lang w:val="en-US" w:eastAsia="zh-CN"/>
        </w:rPr>
        <w:t>本项目K，</w:t>
      </w:r>
      <w:r>
        <w:rPr>
          <w:rFonts w:hint="default" w:ascii="Times New Roman" w:hAnsi="Times New Roman" w:eastAsia="宋体" w:cs="Times New Roman"/>
          <w:color w:val="000000" w:themeColor="text1"/>
          <w:sz w:val="24"/>
          <w:szCs w:val="24"/>
        </w:rPr>
        <w:t>含水层渗透系数引用《陕西省旬阳县赤岩镇水磨河口构皮沟毒重石矿矿山地质环境保护与恢复治理方案》报告中含水层渗透系数0.00115m/d</w:t>
      </w:r>
      <w:r>
        <w:rPr>
          <w:rFonts w:hint="eastAsia" w:cs="Times New Roman"/>
          <w:color w:val="000000" w:themeColor="text1"/>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α</w:t>
      </w:r>
      <w:r>
        <w:rPr>
          <w:rFonts w:hint="default" w:ascii="Times New Roman" w:hAnsi="Times New Roman" w:eastAsia="宋体" w:cs="Times New Roman"/>
          <w:color w:val="000000" w:themeColor="text1"/>
          <w:sz w:val="24"/>
          <w:szCs w:val="24"/>
          <w:lang w:val="en-US" w:eastAsia="zh-CN"/>
        </w:rPr>
        <w:t>变化系数取2；</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000000" w:themeColor="text1"/>
          <w:sz w:val="24"/>
          <w:szCs w:val="24"/>
          <w:lang w:val="en-US" w:eastAsia="zh-CN"/>
        </w:rPr>
      </w:pPr>
      <w:r>
        <w:rPr>
          <w:rFonts w:hint="eastAsia"/>
          <w:color w:val="000000" w:themeColor="text1"/>
          <w:sz w:val="24"/>
          <w:szCs w:val="24"/>
          <w:lang w:val="en-US" w:eastAsia="zh-CN"/>
        </w:rPr>
        <w:t>I取值0.18；</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szCs w:val="24"/>
          <w:lang w:val="en-US" w:eastAsia="zh-CN"/>
        </w:rPr>
      </w:pPr>
      <w:r>
        <w:rPr>
          <w:rFonts w:hint="eastAsia"/>
          <w:color w:val="000000" w:themeColor="text1"/>
          <w:sz w:val="24"/>
          <w:szCs w:val="24"/>
          <w:lang w:val="en-US" w:eastAsia="zh-CN"/>
        </w:rPr>
        <w:t>T取值为5000d；</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00B0F0"/>
          <w:sz w:val="24"/>
          <w:szCs w:val="24"/>
          <w:lang w:val="en-US" w:eastAsia="zh-CN"/>
        </w:rPr>
      </w:pPr>
      <w:r>
        <w:rPr>
          <w:rFonts w:hint="default" w:ascii="Times New Roman" w:hAnsi="Times New Roman" w:eastAsia="宋体" w:cs="Times New Roman"/>
          <w:color w:val="000000" w:themeColor="text1"/>
          <w:sz w:val="24"/>
          <w:szCs w:val="24"/>
        </w:rPr>
        <w:t>n</w:t>
      </w:r>
      <w:r>
        <w:rPr>
          <w:rFonts w:hint="default" w:ascii="Times New Roman" w:hAnsi="Times New Roman" w:eastAsia="宋体" w:cs="Times New Roman"/>
          <w:color w:val="000000" w:themeColor="text1"/>
          <w:sz w:val="24"/>
          <w:szCs w:val="24"/>
          <w:vertAlign w:val="subscript"/>
        </w:rPr>
        <w:t>e</w:t>
      </w:r>
      <w:r>
        <w:rPr>
          <w:rFonts w:hint="eastAsia" w:cs="Times New Roman"/>
          <w:color w:val="000000" w:themeColor="text1"/>
          <w:sz w:val="24"/>
          <w:szCs w:val="24"/>
          <w:lang w:val="en-US" w:eastAsia="zh-CN"/>
        </w:rPr>
        <w:t>取值为0.1，经计算，本项目的L为20.7m。根据</w:t>
      </w:r>
      <w:r>
        <w:rPr>
          <w:rFonts w:hint="default" w:ascii="Times New Roman" w:hAnsi="Times New Roman" w:eastAsia="宋体" w:cs="Times New Roman"/>
          <w:color w:val="000000" w:themeColor="text1"/>
          <w:sz w:val="24"/>
          <w:szCs w:val="24"/>
        </w:rPr>
        <w:t>《环境影响评价技术导则—地下水环境》（HJ610-2016）</w:t>
      </w:r>
      <w:r>
        <w:rPr>
          <w:rFonts w:hint="eastAsia" w:cs="Times New Roman"/>
          <w:color w:val="000000" w:themeColor="text1"/>
          <w:sz w:val="24"/>
          <w:szCs w:val="24"/>
          <w:lang w:val="en-US" w:eastAsia="zh-CN"/>
        </w:rPr>
        <w:t>调查范围为工业场地地下水流向下游20.7m，左右两侧、上游分别为10.35m的范围。</w:t>
      </w:r>
    </w:p>
    <w:p>
      <w:pPr>
        <w:pStyle w:val="12"/>
        <w:keepNext w:val="0"/>
        <w:keepLines w:val="0"/>
        <w:pageBreakBefore w:val="0"/>
        <w:widowControl w:val="0"/>
        <w:numPr>
          <w:ilvl w:val="0"/>
          <w:numId w:val="9"/>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声环境</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本项目评价等级为二级，根据</w:t>
      </w:r>
      <w:r>
        <w:rPr>
          <w:rFonts w:hint="default" w:ascii="Times New Roman" w:hAnsi="Times New Roman" w:eastAsia="宋体" w:cs="Times New Roman"/>
          <w:color w:val="000000" w:themeColor="text1"/>
          <w:sz w:val="24"/>
          <w:szCs w:val="24"/>
        </w:rPr>
        <w:t>《环境影响评价技术导则—声环境》（HJ2.4-20</w:t>
      </w:r>
      <w:r>
        <w:rPr>
          <w:rFonts w:hint="default" w:ascii="Times New Roman" w:hAnsi="Times New Roman" w:eastAsia="宋体" w:cs="Times New Roman"/>
          <w:color w:val="000000" w:themeColor="text1"/>
          <w:sz w:val="24"/>
          <w:szCs w:val="24"/>
          <w:lang w:val="en-US" w:eastAsia="zh-CN"/>
        </w:rPr>
        <w:t>21</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，本项目评价范围取</w:t>
      </w:r>
      <w:r>
        <w:rPr>
          <w:rFonts w:hint="default" w:ascii="Times New Roman" w:hAnsi="Times New Roman" w:eastAsia="宋体" w:cs="Times New Roman"/>
          <w:bCs/>
          <w:color w:val="000000" w:themeColor="text1"/>
          <w:sz w:val="24"/>
          <w:szCs w:val="24"/>
        </w:rPr>
        <w:t>厂界四周外200m范围</w:t>
      </w:r>
      <w:r>
        <w:rPr>
          <w:rFonts w:hint="default" w:ascii="Times New Roman" w:hAnsi="Times New Roman" w:eastAsia="宋体" w:cs="Times New Roman"/>
          <w:bCs/>
          <w:color w:val="000000" w:themeColor="text1"/>
          <w:sz w:val="24"/>
          <w:szCs w:val="24"/>
          <w:lang w:eastAsia="zh-CN"/>
        </w:rPr>
        <w:t>，</w:t>
      </w:r>
      <w:r>
        <w:rPr>
          <w:rFonts w:hint="default" w:ascii="Times New Roman" w:hAnsi="Times New Roman" w:eastAsia="宋体" w:cs="Times New Roman"/>
          <w:bCs/>
          <w:color w:val="000000" w:themeColor="text1"/>
          <w:sz w:val="24"/>
          <w:szCs w:val="24"/>
          <w:lang w:val="en-US" w:eastAsia="zh-CN"/>
        </w:rPr>
        <w:t>运输道路200m范围</w:t>
      </w:r>
      <w:r>
        <w:rPr>
          <w:rFonts w:hint="eastAsia" w:ascii="Times New Roman" w:hAnsi="Times New Roman" w:eastAsia="宋体" w:cs="Times New Roman"/>
          <w:bCs/>
          <w:color w:val="000000" w:themeColor="text1"/>
          <w:sz w:val="24"/>
          <w:szCs w:val="24"/>
          <w:lang w:val="en-US" w:eastAsia="zh-CN"/>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5</w:t>
      </w:r>
      <w:r>
        <w:rPr>
          <w:rFonts w:hint="eastAsia" w:ascii="Times New Roman" w:hAnsi="Times New Roman" w:eastAsia="宋体" w:cs="Times New Roman"/>
          <w:color w:val="000000" w:themeColor="text1"/>
          <w:sz w:val="24"/>
          <w:szCs w:val="24"/>
          <w:lang w:eastAsia="zh-CN"/>
        </w:rPr>
        <w:t>）土壤环境</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本项目土壤评价等级为三级，污染影响类项目的评价范围为</w:t>
      </w:r>
      <w:r>
        <w:rPr>
          <w:rFonts w:hint="eastAsia" w:ascii="Times New Roman" w:hAnsi="Times New Roman" w:eastAsia="宋体" w:cs="Times New Roman"/>
          <w:bCs/>
          <w:color w:val="FF0000"/>
          <w:sz w:val="24"/>
          <w:szCs w:val="24"/>
          <w:lang w:eastAsia="zh-CN"/>
        </w:rPr>
        <w:t>工业场地</w:t>
      </w:r>
      <w:r>
        <w:rPr>
          <w:rFonts w:hint="default" w:ascii="Times New Roman" w:hAnsi="Times New Roman" w:eastAsia="宋体" w:cs="Times New Roman"/>
          <w:bCs/>
          <w:color w:val="000000" w:themeColor="text1"/>
          <w:sz w:val="24"/>
          <w:szCs w:val="24"/>
        </w:rPr>
        <w:t>向外扩展50m</w:t>
      </w:r>
      <w:r>
        <w:rPr>
          <w:rFonts w:hint="eastAsia" w:ascii="Times New Roman" w:hAnsi="Times New Roman" w:eastAsia="宋体" w:cs="Times New Roman"/>
          <w:bCs/>
          <w:color w:val="000000" w:themeColor="text1"/>
          <w:sz w:val="24"/>
          <w:szCs w:val="24"/>
          <w:lang w:eastAsia="zh-CN"/>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6</w:t>
      </w:r>
      <w:r>
        <w:rPr>
          <w:rFonts w:hint="eastAsia" w:ascii="Times New Roman" w:hAnsi="Times New Roman" w:eastAsia="宋体" w:cs="Times New Roman"/>
          <w:color w:val="000000" w:themeColor="text1"/>
          <w:sz w:val="24"/>
          <w:szCs w:val="24"/>
          <w:lang w:eastAsia="zh-CN"/>
        </w:rPr>
        <w:t>）生态环境</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本项目评价等级为三级，</w:t>
      </w:r>
      <w:r>
        <w:rPr>
          <w:rFonts w:hint="default" w:ascii="Times New Roman" w:hAnsi="Times New Roman" w:eastAsia="宋体" w:cs="Times New Roman"/>
          <w:color w:val="000000" w:themeColor="text1"/>
          <w:sz w:val="24"/>
          <w:szCs w:val="24"/>
        </w:rPr>
        <w:t>根据《环境影响评价技术导则-生态影响》（HJ19-20</w:t>
      </w:r>
      <w:r>
        <w:rPr>
          <w:rFonts w:hint="default" w:ascii="Times New Roman" w:hAnsi="Times New Roman" w:eastAsia="宋体" w:cs="Times New Roman"/>
          <w:color w:val="000000" w:themeColor="text1"/>
          <w:sz w:val="24"/>
          <w:szCs w:val="24"/>
          <w:lang w:val="en-US"/>
        </w:rPr>
        <w:t>22</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，本项目的评价范围为</w:t>
      </w:r>
      <w:r>
        <w:rPr>
          <w:rFonts w:hint="eastAsia" w:ascii="Times New Roman" w:hAnsi="Times New Roman" w:eastAsia="宋体" w:cs="Times New Roman"/>
          <w:color w:val="000000" w:themeColor="text1"/>
          <w:sz w:val="24"/>
          <w:szCs w:val="24"/>
          <w:lang w:val="en-US" w:eastAsia="zh-CN"/>
        </w:rPr>
        <w:t>工业场地</w:t>
      </w:r>
      <w:r>
        <w:rPr>
          <w:rFonts w:hint="default" w:ascii="Times New Roman" w:hAnsi="Times New Roman" w:eastAsia="宋体" w:cs="Times New Roman"/>
          <w:color w:val="000000" w:themeColor="text1"/>
          <w:sz w:val="24"/>
          <w:szCs w:val="24"/>
          <w:lang w:eastAsia="zh-CN"/>
        </w:rPr>
        <w:t>向外扩展</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eastAsia="zh-CN"/>
        </w:rPr>
        <w:t>00m</w:t>
      </w:r>
      <w:r>
        <w:rPr>
          <w:rFonts w:hint="eastAsia" w:ascii="Times New Roman" w:hAnsi="Times New Roman" w:eastAsia="宋体" w:cs="Times New Roman"/>
          <w:color w:val="000000" w:themeColor="text1"/>
          <w:sz w:val="24"/>
          <w:szCs w:val="24"/>
          <w:lang w:eastAsia="zh-CN"/>
        </w:rPr>
        <w:t>。</w:t>
      </w:r>
    </w:p>
    <w:p>
      <w:pPr>
        <w:pStyle w:val="1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环境风险</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本项目风险评价等级为简单分析，评价范围为矿区范围内。</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rPr>
        <w:t>根据各环境要素环境影响评价技术导则结合本项目特点及所处的环境特征，确定本项目的环境影响评价范围如下表</w:t>
      </w:r>
      <w:r>
        <w:rPr>
          <w:rFonts w:hint="eastAsia" w:ascii="Times New Roman" w:hAnsi="Times New Roman" w:eastAsia="宋体" w:cs="Times New Roman"/>
          <w:color w:val="000000" w:themeColor="text1"/>
          <w:sz w:val="24"/>
          <w:szCs w:val="24"/>
          <w:lang w:eastAsia="zh-CN"/>
        </w:rPr>
        <w:t>，评价范围示意图</w:t>
      </w:r>
      <w:r>
        <w:rPr>
          <w:rFonts w:hint="eastAsia" w:ascii="Times New Roman" w:hAnsi="Times New Roman" w:eastAsia="宋体" w:cs="Times New Roman"/>
          <w:color w:val="000000" w:themeColor="text1"/>
          <w:sz w:val="24"/>
          <w:szCs w:val="24"/>
          <w:lang w:val="en-US" w:eastAsia="zh-CN"/>
        </w:rPr>
        <w:t>详</w:t>
      </w:r>
      <w:r>
        <w:rPr>
          <w:rFonts w:hint="eastAsia" w:ascii="Times New Roman" w:hAnsi="Times New Roman" w:eastAsia="宋体" w:cs="Times New Roman"/>
          <w:color w:val="000000" w:themeColor="text1"/>
          <w:sz w:val="24"/>
          <w:szCs w:val="24"/>
          <w:lang w:eastAsia="zh-CN"/>
        </w:rPr>
        <w:t>见下</w:t>
      </w:r>
      <w:r>
        <w:rPr>
          <w:rFonts w:hint="eastAsia" w:ascii="Times New Roman" w:hAnsi="Times New Roman" w:eastAsia="宋体" w:cs="Times New Roman"/>
          <w:color w:val="000000" w:themeColor="text1"/>
          <w:sz w:val="24"/>
          <w:szCs w:val="24"/>
          <w:lang w:val="en-US" w:eastAsia="zh-CN"/>
        </w:rPr>
        <w:t>附图8。</w:t>
      </w:r>
    </w:p>
    <w:p>
      <w:pPr>
        <w:pStyle w:val="12"/>
        <w:adjustRightInd w:val="0"/>
        <w:snapToGrid w:val="0"/>
        <w:spacing w:after="0" w:line="36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表2.6-1  本项目环境影响评价范围表</w:t>
      </w:r>
    </w:p>
    <w:tbl>
      <w:tblPr>
        <w:tblStyle w:val="39"/>
        <w:tblW w:w="90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6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2304"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评价内容</w:t>
            </w:r>
          </w:p>
        </w:tc>
        <w:tc>
          <w:tcPr>
            <w:tcW w:w="6696"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2304"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大气</w:t>
            </w:r>
          </w:p>
        </w:tc>
        <w:tc>
          <w:tcPr>
            <w:tcW w:w="6696"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大气环境影响评价范围边长取5km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2304" w:type="dxa"/>
            <w:tcBorders>
              <w:tl2br w:val="nil"/>
              <w:tr2bl w:val="nil"/>
            </w:tcBorders>
            <w:vAlign w:val="center"/>
          </w:tcPr>
          <w:p>
            <w:pPr>
              <w:pStyle w:val="97"/>
              <w:adjustRightInd w:val="0"/>
              <w:snapToGrid w:val="0"/>
              <w:rPr>
                <w:rFonts w:hint="eastAsia" w:ascii="Times New Roman" w:hAnsi="Times New Roman" w:eastAsia="宋体" w:cs="Times New Roman"/>
                <w:bCs/>
                <w:color w:val="000000" w:themeColor="text1"/>
                <w:szCs w:val="21"/>
                <w:lang w:val="en-US" w:eastAsia="zh-CN"/>
              </w:rPr>
            </w:pPr>
            <w:r>
              <w:rPr>
                <w:rFonts w:hint="eastAsia" w:ascii="Times New Roman" w:hAnsi="Times New Roman" w:eastAsia="宋体" w:cs="Times New Roman"/>
                <w:bCs/>
                <w:color w:val="000000" w:themeColor="text1"/>
                <w:szCs w:val="21"/>
                <w:lang w:val="en-US" w:eastAsia="zh-CN"/>
              </w:rPr>
              <w:t>地表水</w:t>
            </w:r>
          </w:p>
        </w:tc>
        <w:tc>
          <w:tcPr>
            <w:tcW w:w="6696" w:type="dxa"/>
            <w:tcBorders>
              <w:tl2br w:val="nil"/>
              <w:tr2bl w:val="nil"/>
            </w:tcBorders>
            <w:vAlign w:val="center"/>
          </w:tcPr>
          <w:p>
            <w:pPr>
              <w:pStyle w:val="97"/>
              <w:adjustRightInd w:val="0"/>
              <w:snapToGrid w:val="0"/>
              <w:rPr>
                <w:rFonts w:hint="eastAsia" w:ascii="Times New Roman" w:hAnsi="Times New Roman" w:eastAsia="宋体" w:cs="Times New Roman"/>
                <w:bCs/>
                <w:color w:val="000000" w:themeColor="text1"/>
                <w:szCs w:val="21"/>
                <w:lang w:val="en-US" w:eastAsia="zh-CN"/>
              </w:rPr>
            </w:pPr>
            <w:r>
              <w:rPr>
                <w:rFonts w:hint="eastAsia" w:ascii="Times New Roman" w:hAnsi="Times New Roman" w:eastAsia="宋体" w:cs="Times New Roman"/>
                <w:bCs/>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2304"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地下水</w:t>
            </w:r>
          </w:p>
        </w:tc>
        <w:tc>
          <w:tcPr>
            <w:tcW w:w="669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rPr>
            </w:pPr>
            <w:r>
              <w:rPr>
                <w:rFonts w:hint="eastAsia" w:cs="Times New Roman"/>
                <w:color w:val="000000" w:themeColor="text1"/>
                <w:sz w:val="21"/>
                <w:szCs w:val="21"/>
                <w:lang w:val="en-US" w:eastAsia="zh-CN"/>
              </w:rPr>
              <w:t>工业场地地下水流向下游20.7m，左右两侧、上游分别为10.35m的范围。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2304"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声环境</w:t>
            </w:r>
          </w:p>
        </w:tc>
        <w:tc>
          <w:tcPr>
            <w:tcW w:w="6696"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lang w:val="en-US" w:eastAsia="zh-CN"/>
              </w:rPr>
            </w:pPr>
            <w:r>
              <w:rPr>
                <w:rFonts w:hint="default" w:ascii="Times New Roman" w:hAnsi="Times New Roman" w:eastAsia="宋体" w:cs="Times New Roman"/>
                <w:bCs/>
                <w:color w:val="000000" w:themeColor="text1"/>
                <w:szCs w:val="21"/>
              </w:rPr>
              <w:t>厂界四周外200m范围</w:t>
            </w:r>
            <w:r>
              <w:rPr>
                <w:rFonts w:hint="eastAsia" w:ascii="Times New Roman" w:hAnsi="Times New Roman" w:eastAsia="宋体" w:cs="Times New Roman"/>
                <w:bCs/>
                <w:color w:val="000000" w:themeColor="text1"/>
                <w:szCs w:val="21"/>
                <w:lang w:eastAsia="zh-CN"/>
              </w:rPr>
              <w:t>，</w:t>
            </w:r>
            <w:r>
              <w:rPr>
                <w:rFonts w:hint="eastAsia" w:ascii="Times New Roman" w:hAnsi="Times New Roman" w:eastAsia="宋体" w:cs="Times New Roman"/>
                <w:bCs/>
                <w:color w:val="000000" w:themeColor="text1"/>
                <w:szCs w:val="21"/>
                <w:lang w:val="en-US" w:eastAsia="zh-CN"/>
              </w:rPr>
              <w:t>运输道路200m范围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304"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土壤环境</w:t>
            </w:r>
          </w:p>
        </w:tc>
        <w:tc>
          <w:tcPr>
            <w:tcW w:w="6696"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lang w:val="en-US" w:eastAsia="zh-CN"/>
              </w:rPr>
              <w:t>工业场地</w:t>
            </w:r>
            <w:r>
              <w:rPr>
                <w:rFonts w:hint="default" w:ascii="Times New Roman" w:hAnsi="Times New Roman" w:eastAsia="宋体" w:cs="Times New Roman"/>
                <w:bCs/>
                <w:color w:val="000000" w:themeColor="text1"/>
                <w:szCs w:val="21"/>
              </w:rPr>
              <w:t>向外扩展50m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304"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生态环境</w:t>
            </w:r>
          </w:p>
        </w:tc>
        <w:tc>
          <w:tcPr>
            <w:tcW w:w="6696"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lang w:val="en-US" w:eastAsia="zh-CN"/>
              </w:rPr>
              <w:t>工业场地</w:t>
            </w:r>
            <w:r>
              <w:rPr>
                <w:rFonts w:hint="default" w:ascii="Times New Roman" w:hAnsi="Times New Roman" w:eastAsia="宋体" w:cs="Times New Roman"/>
                <w:bCs/>
                <w:color w:val="000000" w:themeColor="text1"/>
                <w:szCs w:val="21"/>
              </w:rPr>
              <w:t>向外扩展</w:t>
            </w:r>
            <w:r>
              <w:rPr>
                <w:rFonts w:hint="eastAsia" w:ascii="Times New Roman" w:hAnsi="Times New Roman" w:eastAsia="宋体" w:cs="Times New Roman"/>
                <w:bCs/>
                <w:color w:val="000000" w:themeColor="text1"/>
                <w:szCs w:val="21"/>
                <w:lang w:val="en-US" w:eastAsia="zh-CN"/>
              </w:rPr>
              <w:t>3</w:t>
            </w:r>
            <w:r>
              <w:rPr>
                <w:rFonts w:hint="default" w:ascii="Times New Roman" w:hAnsi="Times New Roman" w:eastAsia="宋体" w:cs="Times New Roman"/>
                <w:bCs/>
                <w:color w:val="000000" w:themeColor="text1"/>
                <w:szCs w:val="21"/>
              </w:rPr>
              <w:t>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04" w:type="dxa"/>
            <w:tcBorders>
              <w:tl2br w:val="nil"/>
              <w:tr2bl w:val="nil"/>
            </w:tcBorders>
            <w:vAlign w:val="center"/>
          </w:tcPr>
          <w:p>
            <w:pPr>
              <w:pStyle w:val="97"/>
              <w:adjustRightInd w:val="0"/>
              <w:snapToGrid w:val="0"/>
              <w:rPr>
                <w:rFonts w:hint="eastAsia" w:ascii="Times New Roman" w:hAnsi="Times New Roman" w:eastAsia="宋体" w:cs="Times New Roman"/>
                <w:bCs/>
                <w:color w:val="000000" w:themeColor="text1"/>
                <w:szCs w:val="21"/>
                <w:lang w:val="en-US" w:eastAsia="zh-CN"/>
              </w:rPr>
            </w:pPr>
            <w:r>
              <w:rPr>
                <w:rFonts w:hint="eastAsia" w:ascii="Times New Roman" w:hAnsi="Times New Roman" w:eastAsia="宋体" w:cs="Times New Roman"/>
                <w:bCs/>
                <w:color w:val="000000" w:themeColor="text1"/>
                <w:szCs w:val="21"/>
                <w:lang w:val="en-US" w:eastAsia="zh-CN"/>
              </w:rPr>
              <w:t>环境风险</w:t>
            </w:r>
          </w:p>
        </w:tc>
        <w:tc>
          <w:tcPr>
            <w:tcW w:w="6696" w:type="dxa"/>
            <w:tcBorders>
              <w:tl2br w:val="nil"/>
              <w:tr2bl w:val="nil"/>
            </w:tcBorders>
            <w:vAlign w:val="center"/>
          </w:tcPr>
          <w:p>
            <w:pPr>
              <w:pStyle w:val="97"/>
              <w:adjustRightInd w:val="0"/>
              <w:snapToGrid w:val="0"/>
              <w:rPr>
                <w:rFonts w:hint="default" w:ascii="Times New Roman" w:hAnsi="Times New Roman" w:eastAsia="宋体" w:cs="Times New Roman"/>
                <w:bCs/>
                <w:color w:val="000000" w:themeColor="text1"/>
                <w:szCs w:val="21"/>
                <w:lang w:val="en-US" w:eastAsia="zh-CN"/>
              </w:rPr>
            </w:pPr>
            <w:r>
              <w:rPr>
                <w:rFonts w:hint="eastAsia" w:ascii="Times New Roman" w:hAnsi="Times New Roman" w:eastAsia="宋体" w:cs="Times New Roman"/>
                <w:bCs/>
                <w:color w:val="000000" w:themeColor="text1"/>
                <w:szCs w:val="21"/>
                <w:lang w:val="en-US" w:eastAsia="zh-CN"/>
              </w:rPr>
              <w:t>矿区范围内</w:t>
            </w:r>
          </w:p>
        </w:tc>
      </w:tr>
    </w:tbl>
    <w:p>
      <w:pPr>
        <w:pStyle w:val="4"/>
        <w:keepNext w:val="0"/>
        <w:keepLines w:val="0"/>
        <w:pageBreakBefore w:val="0"/>
        <w:widowControl w:val="0"/>
        <w:kinsoku/>
        <w:wordWrap/>
        <w:overflowPunct/>
        <w:topLinePunct w:val="0"/>
        <w:autoSpaceDE/>
        <w:autoSpaceDN/>
        <w:bidi w:val="0"/>
        <w:adjustRightInd/>
        <w:snapToGrid/>
        <w:spacing w:before="120"/>
        <w:ind w:left="573" w:hanging="573"/>
        <w:textAlignment w:val="auto"/>
        <w:outlineLvl w:val="1"/>
        <w:rPr>
          <w:color w:val="000000" w:themeColor="text1"/>
        </w:rPr>
      </w:pPr>
      <w:bookmarkStart w:id="159" w:name="_Toc25197"/>
      <w:bookmarkStart w:id="160" w:name="_Toc5183"/>
      <w:bookmarkStart w:id="161" w:name="_Toc22508"/>
      <w:bookmarkStart w:id="162" w:name="_Toc8543_WPSOffice_Level2"/>
      <w:bookmarkStart w:id="163" w:name="_Toc31743"/>
      <w:r>
        <w:rPr>
          <w:color w:val="000000" w:themeColor="text1"/>
        </w:rPr>
        <w:t>环境保护目标</w:t>
      </w:r>
      <w:bookmarkEnd w:id="159"/>
      <w:bookmarkEnd w:id="160"/>
      <w:bookmarkEnd w:id="161"/>
      <w:bookmarkEnd w:id="162"/>
      <w:bookmarkEnd w:id="16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s="宋体"/>
          <w:color w:val="000000" w:themeColor="text1"/>
          <w:lang w:val="en-US" w:eastAsia="zh-CN"/>
        </w:rPr>
      </w:pPr>
      <w:r>
        <w:rPr>
          <w:rFonts w:hint="default" w:ascii="Times New Roman" w:hAnsi="Times New Roman" w:eastAsia="宋体" w:cs="Times New Roman"/>
          <w:color w:val="000000" w:themeColor="text1"/>
          <w:sz w:val="24"/>
          <w:szCs w:val="24"/>
        </w:rPr>
        <w:t>本项目位于</w:t>
      </w:r>
      <w:r>
        <w:rPr>
          <w:rFonts w:hint="default" w:ascii="Times New Roman" w:hAnsi="Times New Roman" w:eastAsia="宋体" w:cs="Times New Roman"/>
          <w:bCs/>
          <w:color w:val="000000" w:themeColor="text1"/>
          <w:spacing w:val="-2"/>
          <w:sz w:val="24"/>
          <w:szCs w:val="24"/>
        </w:rPr>
        <w:t>旬阳</w:t>
      </w:r>
      <w:r>
        <w:rPr>
          <w:rFonts w:hint="eastAsia" w:ascii="Times New Roman" w:hAnsi="Times New Roman" w:eastAsia="宋体" w:cs="Times New Roman"/>
          <w:bCs/>
          <w:color w:val="000000" w:themeColor="text1"/>
          <w:spacing w:val="-2"/>
          <w:sz w:val="24"/>
          <w:szCs w:val="24"/>
          <w:lang w:eastAsia="zh-CN"/>
        </w:rPr>
        <w:t>市</w:t>
      </w:r>
      <w:r>
        <w:rPr>
          <w:rFonts w:hint="default" w:ascii="Times New Roman" w:hAnsi="Times New Roman" w:eastAsia="宋体" w:cs="Times New Roman"/>
          <w:bCs/>
          <w:color w:val="000000" w:themeColor="text1"/>
          <w:spacing w:val="-2"/>
          <w:sz w:val="24"/>
          <w:szCs w:val="24"/>
        </w:rPr>
        <w:t>铜钱关镇</w:t>
      </w:r>
      <w:r>
        <w:rPr>
          <w:rFonts w:hint="eastAsia" w:ascii="Times New Roman" w:hAnsi="Times New Roman" w:eastAsia="宋体" w:cs="Times New Roman"/>
          <w:bCs/>
          <w:color w:val="000000" w:themeColor="text1"/>
          <w:spacing w:val="-2"/>
          <w:sz w:val="24"/>
          <w:szCs w:val="24"/>
          <w:lang w:eastAsia="zh-CN"/>
        </w:rPr>
        <w:t>天宝寨村</w:t>
      </w:r>
      <w:r>
        <w:rPr>
          <w:rFonts w:hint="eastAsia" w:ascii="Times New Roman" w:hAnsi="Times New Roman" w:eastAsia="宋体" w:cs="Times New Roman"/>
          <w:bCs/>
          <w:color w:val="000000" w:themeColor="text1"/>
          <w:spacing w:val="-2"/>
          <w:sz w:val="24"/>
          <w:szCs w:val="24"/>
          <w:lang w:val="en-US" w:eastAsia="zh-CN"/>
        </w:rPr>
        <w:t>6组</w:t>
      </w:r>
      <w:r>
        <w:rPr>
          <w:rFonts w:hint="default" w:ascii="Times New Roman" w:hAnsi="Times New Roman" w:eastAsia="宋体" w:cs="Times New Roman"/>
          <w:color w:val="000000" w:themeColor="text1"/>
          <w:sz w:val="24"/>
          <w:szCs w:val="24"/>
        </w:rPr>
        <w:t>，根据区域环境功能特征及建设项目环境影响特点，本项目主要环境保护目标见表2.7-1</w:t>
      </w:r>
      <w:r>
        <w:rPr>
          <w:rFonts w:hint="eastAsia" w:ascii="Times New Roman" w:hAnsi="Times New Roman" w:eastAsia="宋体" w:cs="Times New Roman"/>
          <w:color w:val="000000" w:themeColor="text1"/>
          <w:sz w:val="24"/>
          <w:szCs w:val="24"/>
          <w:lang w:eastAsia="zh-CN"/>
        </w:rPr>
        <w:t>，保护目标图见附图</w:t>
      </w:r>
      <w:r>
        <w:rPr>
          <w:rFonts w:hint="eastAsia" w:ascii="Times New Roman" w:hAnsi="Times New Roman" w:eastAsia="宋体" w:cs="Times New Roman"/>
          <w:color w:val="000000" w:themeColor="text1"/>
          <w:sz w:val="24"/>
          <w:szCs w:val="24"/>
          <w:lang w:val="en-US" w:eastAsia="zh-CN"/>
        </w:rPr>
        <w:t>7。</w:t>
      </w:r>
    </w:p>
    <w:p>
      <w:pPr>
        <w:pStyle w:val="25"/>
        <w:spacing w:beforeLines="0" w:afterLines="0"/>
        <w:rPr>
          <w:rFonts w:hint="default" w:ascii="Times New Roman" w:hAnsi="Times New Roman" w:eastAsia="宋体" w:cs="Times New Roman"/>
          <w:b/>
          <w:bCs w:val="0"/>
          <w:color w:val="000000" w:themeColor="text1"/>
          <w:sz w:val="21"/>
          <w:szCs w:val="21"/>
          <w:lang w:eastAsia="zh-CN"/>
        </w:rPr>
      </w:pPr>
      <w:r>
        <w:rPr>
          <w:rFonts w:hint="default" w:ascii="Times New Roman" w:hAnsi="Times New Roman" w:eastAsia="宋体" w:cs="Times New Roman"/>
          <w:b/>
          <w:bCs w:val="0"/>
          <w:color w:val="000000" w:themeColor="text1"/>
          <w:sz w:val="21"/>
          <w:szCs w:val="21"/>
        </w:rPr>
        <w:t>表2.7-1  主要环境保护目标</w:t>
      </w:r>
    </w:p>
    <w:tbl>
      <w:tblPr>
        <w:tblStyle w:val="40"/>
        <w:tblW w:w="8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085"/>
        <w:gridCol w:w="1200"/>
        <w:gridCol w:w="1227"/>
        <w:gridCol w:w="873"/>
        <w:gridCol w:w="1309"/>
        <w:gridCol w:w="1071"/>
        <w:gridCol w:w="773"/>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环境要素</w:t>
            </w:r>
          </w:p>
        </w:tc>
        <w:tc>
          <w:tcPr>
            <w:tcW w:w="1085"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名称</w:t>
            </w:r>
          </w:p>
        </w:tc>
        <w:tc>
          <w:tcPr>
            <w:tcW w:w="2427" w:type="dxa"/>
            <w:gridSpan w:val="2"/>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坐标</w:t>
            </w:r>
          </w:p>
        </w:tc>
        <w:tc>
          <w:tcPr>
            <w:tcW w:w="873"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保护对象</w:t>
            </w:r>
          </w:p>
        </w:tc>
        <w:tc>
          <w:tcPr>
            <w:tcW w:w="1309"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保护内容</w:t>
            </w:r>
          </w:p>
        </w:tc>
        <w:tc>
          <w:tcPr>
            <w:tcW w:w="1071"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环境功能区</w:t>
            </w:r>
          </w:p>
        </w:tc>
        <w:tc>
          <w:tcPr>
            <w:tcW w:w="773"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相对厂址方向</w:t>
            </w:r>
          </w:p>
        </w:tc>
        <w:tc>
          <w:tcPr>
            <w:tcW w:w="795"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相对厂界距离</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m</w:t>
            </w:r>
            <w:r>
              <w:rPr>
                <w:rFonts w:hint="default" w:ascii="Times New Roman" w:hAnsi="Times New Roman" w:eastAsia="宋体" w:cs="Times New Roman"/>
                <w:color w:val="000000" w:themeColor="text1"/>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Y</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X</w:t>
            </w:r>
          </w:p>
        </w:tc>
        <w:tc>
          <w:tcPr>
            <w:tcW w:w="873"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309"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95"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大气环境</w:t>
            </w: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陈家湾</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32.62192</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109.56093</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restart"/>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《环境空气质量标准》二级</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w:t>
            </w: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陈家大房</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32.61394</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109.55777</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26</w:t>
            </w: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构皮寨</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32.36495</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109.33269</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S</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扇子坡</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32.66099</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109.5604</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石门沟</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32.61484</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109.56769</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E</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段家坪</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32.60850</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109.55296</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闵家河</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32.61325</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109.54487</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付家花屋</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32.62708</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109.57134</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NE</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何家院</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32.61270</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109.57696</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E</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王家湾</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32.60555</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109.57469</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NW</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李家湾</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32.63254</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109.54674</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NW</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43</w:t>
            </w: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木耳沟</w:t>
            </w:r>
          </w:p>
        </w:tc>
        <w:tc>
          <w:tcPr>
            <w:tcW w:w="1200" w:type="dxa"/>
            <w:tcBorders>
              <w:tl2br w:val="nil"/>
              <w:tr2bl w:val="nil"/>
            </w:tcBorders>
            <w:vAlign w:val="center"/>
          </w:tcPr>
          <w:p>
            <w:pPr>
              <w:pStyle w:val="42"/>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32.63039</w:t>
            </w:r>
          </w:p>
        </w:tc>
        <w:tc>
          <w:tcPr>
            <w:tcW w:w="1227" w:type="dxa"/>
            <w:tcBorders>
              <w:tl2br w:val="nil"/>
              <w:tr2bl w:val="nil"/>
            </w:tcBorders>
            <w:vAlign w:val="center"/>
          </w:tcPr>
          <w:p>
            <w:pPr>
              <w:pStyle w:val="42"/>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109.54466</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w:t>
            </w:r>
          </w:p>
        </w:tc>
        <w:tc>
          <w:tcPr>
            <w:tcW w:w="795" w:type="dxa"/>
            <w:tcBorders>
              <w:tl2br w:val="nil"/>
              <w:tr2bl w:val="nil"/>
            </w:tcBorders>
            <w:vAlign w:val="center"/>
          </w:tcPr>
          <w:p>
            <w:pPr>
              <w:pStyle w:val="42"/>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大磨沟</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32.62199</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109.54832</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黄泥沟</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32.63883</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109.55476</w:t>
            </w:r>
          </w:p>
        </w:tc>
        <w:tc>
          <w:tcPr>
            <w:tcW w:w="8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pStyle w:val="42"/>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许家坡</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32.63531</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109.55334</w:t>
            </w:r>
          </w:p>
        </w:tc>
        <w:tc>
          <w:tcPr>
            <w:tcW w:w="873" w:type="dxa"/>
            <w:tcBorders>
              <w:tl2br w:val="nil"/>
              <w:tr2bl w:val="nil"/>
            </w:tcBorders>
            <w:vAlign w:val="center"/>
          </w:tcPr>
          <w:p>
            <w:pP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NE</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赵家瓦房</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32.62334</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109.53798</w:t>
            </w:r>
          </w:p>
        </w:tc>
        <w:tc>
          <w:tcPr>
            <w:tcW w:w="873" w:type="dxa"/>
            <w:tcBorders>
              <w:tl2br w:val="nil"/>
              <w:tr2bl w:val="nil"/>
            </w:tcBorders>
            <w:vAlign w:val="center"/>
          </w:tcPr>
          <w:p>
            <w:pP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SW</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赤岩初级中学</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32.64541</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109.54459</w:t>
            </w:r>
          </w:p>
        </w:tc>
        <w:tc>
          <w:tcPr>
            <w:tcW w:w="873" w:type="dxa"/>
            <w:tcBorders>
              <w:tl2br w:val="nil"/>
              <w:tr2bl w:val="nil"/>
            </w:tcBorders>
            <w:vAlign w:val="center"/>
          </w:tcPr>
          <w:p>
            <w:pP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N</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铜钱关镇</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32.64347</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109.55421</w:t>
            </w:r>
          </w:p>
        </w:tc>
        <w:tc>
          <w:tcPr>
            <w:tcW w:w="873" w:type="dxa"/>
            <w:tcBorders>
              <w:tl2br w:val="nil"/>
              <w:tr2bl w:val="nil"/>
            </w:tcBorders>
            <w:vAlign w:val="center"/>
          </w:tcPr>
          <w:p>
            <w:pP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NE</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108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天宝寨村</w:t>
            </w:r>
          </w:p>
        </w:tc>
        <w:tc>
          <w:tcPr>
            <w:tcW w:w="1200"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32.64171</w:t>
            </w:r>
          </w:p>
        </w:tc>
        <w:tc>
          <w:tcPr>
            <w:tcW w:w="1227"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109.55798</w:t>
            </w:r>
          </w:p>
        </w:tc>
        <w:tc>
          <w:tcPr>
            <w:tcW w:w="873" w:type="dxa"/>
            <w:tcBorders>
              <w:tl2br w:val="nil"/>
              <w:tr2bl w:val="nil"/>
            </w:tcBorders>
            <w:vAlign w:val="center"/>
          </w:tcPr>
          <w:p>
            <w:pP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w:t>
            </w:r>
          </w:p>
        </w:tc>
        <w:tc>
          <w:tcPr>
            <w:tcW w:w="1309"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人群</w:t>
            </w:r>
          </w:p>
        </w:tc>
        <w:tc>
          <w:tcPr>
            <w:tcW w:w="1071" w:type="dxa"/>
            <w:vMerge w:val="continue"/>
            <w:tcBorders>
              <w:tl2br w:val="nil"/>
              <w:tr2bl w:val="nil"/>
            </w:tcBorders>
            <w:vAlign w:val="center"/>
          </w:tcPr>
          <w:p>
            <w:pPr>
              <w:pStyle w:val="42"/>
              <w:rPr>
                <w:rFonts w:hint="default" w:ascii="Times New Roman" w:hAnsi="Times New Roman" w:eastAsia="宋体" w:cs="Times New Roman"/>
                <w:color w:val="000000" w:themeColor="text1"/>
                <w:sz w:val="21"/>
                <w:szCs w:val="21"/>
              </w:rPr>
            </w:pP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NE</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地下水</w:t>
            </w:r>
          </w:p>
        </w:tc>
        <w:tc>
          <w:tcPr>
            <w:tcW w:w="3512" w:type="dxa"/>
            <w:gridSpan w:val="3"/>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评价区内潜水含水层</w:t>
            </w:r>
          </w:p>
        </w:tc>
        <w:tc>
          <w:tcPr>
            <w:tcW w:w="2182" w:type="dxa"/>
            <w:gridSpan w:val="2"/>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水质</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水位</w:t>
            </w:r>
          </w:p>
        </w:tc>
        <w:tc>
          <w:tcPr>
            <w:tcW w:w="1071"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《地下水质量标准》（GB/T14848-2017）的Ⅲ类标准</w:t>
            </w:r>
          </w:p>
        </w:tc>
        <w:tc>
          <w:tcPr>
            <w:tcW w:w="77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9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tcBorders>
              <w:tl2br w:val="nil"/>
              <w:tr2bl w:val="nil"/>
            </w:tcBorders>
            <w:vAlign w:val="center"/>
          </w:tcPr>
          <w:p>
            <w:pPr>
              <w:pStyle w:val="42"/>
              <w:rPr>
                <w:rFonts w:hint="default" w:ascii="Times New Roman" w:hAnsi="Times New Roman" w:cs="Times New Roman"/>
                <w:color w:val="000000" w:themeColor="text1"/>
              </w:rPr>
            </w:pPr>
            <w:r>
              <w:rPr>
                <w:rFonts w:hint="default" w:ascii="Times New Roman" w:hAnsi="Times New Roman" w:cs="Times New Roman"/>
                <w:color w:val="000000" w:themeColor="text1"/>
              </w:rPr>
              <w:t>土壤</w:t>
            </w:r>
          </w:p>
        </w:tc>
        <w:tc>
          <w:tcPr>
            <w:tcW w:w="3512" w:type="dxa"/>
            <w:gridSpan w:val="3"/>
            <w:tcBorders>
              <w:tl2br w:val="nil"/>
              <w:tr2bl w:val="nil"/>
            </w:tcBorders>
            <w:vAlign w:val="center"/>
          </w:tcPr>
          <w:p>
            <w:pPr>
              <w:pStyle w:val="42"/>
              <w:rPr>
                <w:rFonts w:hint="default" w:ascii="Times New Roman" w:hAnsi="Times New Roman" w:cs="Times New Roman"/>
                <w:color w:val="000000" w:themeColor="text1"/>
                <w:lang w:val="en-US"/>
              </w:rPr>
            </w:pPr>
            <w:r>
              <w:rPr>
                <w:rFonts w:hint="eastAsia" w:ascii="Times New Roman" w:hAnsi="Times New Roman" w:cs="Times New Roman"/>
                <w:color w:val="000000" w:themeColor="text1"/>
                <w:lang w:val="en-US" w:eastAsia="zh-CN"/>
              </w:rPr>
              <w:t>工业场地内及周边区域</w:t>
            </w:r>
          </w:p>
        </w:tc>
        <w:tc>
          <w:tcPr>
            <w:tcW w:w="2182" w:type="dxa"/>
            <w:gridSpan w:val="2"/>
            <w:tcBorders>
              <w:tl2br w:val="nil"/>
              <w:tr2bl w:val="nil"/>
            </w:tcBorders>
            <w:vAlign w:val="center"/>
          </w:tcPr>
          <w:p>
            <w:pPr>
              <w:pStyle w:val="42"/>
              <w:rPr>
                <w:rFonts w:hint="default" w:ascii="Times New Roman" w:hAnsi="Times New Roman" w:cs="Times New Roman"/>
                <w:color w:val="000000" w:themeColor="text1"/>
              </w:rPr>
            </w:pPr>
            <w:r>
              <w:rPr>
                <w:rFonts w:hint="default" w:ascii="Times New Roman" w:hAnsi="Times New Roman" w:cs="Times New Roman"/>
                <w:color w:val="000000" w:themeColor="text1"/>
              </w:rPr>
              <w:t>土壤环境</w:t>
            </w:r>
          </w:p>
        </w:tc>
        <w:tc>
          <w:tcPr>
            <w:tcW w:w="1071" w:type="dxa"/>
            <w:tcBorders>
              <w:tl2br w:val="nil"/>
              <w:tr2bl w:val="nil"/>
            </w:tcBorders>
            <w:vAlign w:val="center"/>
          </w:tcPr>
          <w:p>
            <w:pPr>
              <w:pStyle w:val="42"/>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《土壤环境质量 建设用地土壤污染风险管控标准》（试行）（GB36600-2018）</w:t>
            </w:r>
          </w:p>
        </w:tc>
        <w:tc>
          <w:tcPr>
            <w:tcW w:w="773" w:type="dxa"/>
            <w:tcBorders>
              <w:tl2br w:val="nil"/>
              <w:tr2bl w:val="nil"/>
            </w:tcBorders>
            <w:vAlign w:val="center"/>
          </w:tcPr>
          <w:p>
            <w:pPr>
              <w:pStyle w:val="42"/>
              <w:rPr>
                <w:rFonts w:hint="default" w:ascii="Times New Roman" w:hAnsi="Times New Roman" w:cs="Times New Roman"/>
                <w:color w:val="000000" w:themeColor="text1"/>
              </w:rPr>
            </w:pPr>
            <w:r>
              <w:rPr>
                <w:rFonts w:hint="default" w:ascii="Times New Roman" w:hAnsi="Times New Roman" w:cs="Times New Roman"/>
                <w:color w:val="000000" w:themeColor="text1"/>
              </w:rPr>
              <w:t>-</w:t>
            </w:r>
          </w:p>
        </w:tc>
        <w:tc>
          <w:tcPr>
            <w:tcW w:w="795" w:type="dxa"/>
            <w:tcBorders>
              <w:tl2br w:val="nil"/>
              <w:tr2bl w:val="nil"/>
            </w:tcBorders>
            <w:vAlign w:val="center"/>
          </w:tcPr>
          <w:p>
            <w:pPr>
              <w:pStyle w:val="42"/>
              <w:rPr>
                <w:rFonts w:hint="default" w:ascii="Times New Roman" w:hAnsi="Times New Roman" w:cs="Times New Roman"/>
                <w:color w:val="000000" w:themeColor="text1"/>
              </w:rPr>
            </w:pPr>
            <w:r>
              <w:rPr>
                <w:rFonts w:hint="default" w:ascii="Times New Roman" w:hAnsi="Times New Roman" w:cs="Times New Roman"/>
                <w:color w:val="000000" w:themeColor="text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7" w:type="dxa"/>
            <w:tcBorders>
              <w:tl2br w:val="nil"/>
              <w:tr2bl w:val="nil"/>
            </w:tcBorders>
            <w:vAlign w:val="center"/>
          </w:tcPr>
          <w:p>
            <w:pPr>
              <w:pStyle w:val="42"/>
              <w:rPr>
                <w:rFonts w:hint="default" w:ascii="Times New Roman" w:hAnsi="Times New Roman" w:cs="Times New Roman"/>
                <w:color w:val="FF0000"/>
              </w:rPr>
            </w:pPr>
            <w:r>
              <w:rPr>
                <w:rFonts w:hint="default" w:ascii="Times New Roman" w:hAnsi="Times New Roman" w:cs="Times New Roman"/>
                <w:color w:val="FF0000"/>
              </w:rPr>
              <w:t>生态</w:t>
            </w:r>
          </w:p>
        </w:tc>
        <w:tc>
          <w:tcPr>
            <w:tcW w:w="3512" w:type="dxa"/>
            <w:gridSpan w:val="3"/>
            <w:tcBorders>
              <w:tl2br w:val="nil"/>
              <w:tr2bl w:val="nil"/>
            </w:tcBorders>
            <w:vAlign w:val="center"/>
          </w:tcPr>
          <w:p>
            <w:pPr>
              <w:pStyle w:val="42"/>
              <w:rPr>
                <w:rFonts w:hint="default" w:ascii="Times New Roman" w:hAnsi="Times New Roman" w:cs="Times New Roman" w:eastAsiaTheme="minorEastAsia"/>
                <w:color w:val="FF0000"/>
                <w:lang w:val="en-US" w:eastAsia="zh-CN"/>
              </w:rPr>
            </w:pPr>
            <w:r>
              <w:rPr>
                <w:rFonts w:hint="eastAsia" w:ascii="Times New Roman" w:hAnsi="Times New Roman" w:cs="Times New Roman"/>
                <w:color w:val="000000" w:themeColor="text1"/>
                <w:lang w:val="en-US" w:eastAsia="zh-CN"/>
              </w:rPr>
              <w:t>工业场地内及周边区域</w:t>
            </w:r>
          </w:p>
        </w:tc>
        <w:tc>
          <w:tcPr>
            <w:tcW w:w="2182" w:type="dxa"/>
            <w:gridSpan w:val="2"/>
            <w:tcBorders>
              <w:tl2br w:val="nil"/>
              <w:tr2bl w:val="nil"/>
            </w:tcBorders>
            <w:vAlign w:val="center"/>
          </w:tcPr>
          <w:p>
            <w:pPr>
              <w:pStyle w:val="42"/>
              <w:rPr>
                <w:rFonts w:hint="eastAsia" w:ascii="Times New Roman" w:hAnsi="Times New Roman" w:cs="Times New Roman" w:eastAsiaTheme="minorEastAsia"/>
                <w:color w:val="FF0000"/>
                <w:lang w:eastAsia="zh-CN"/>
              </w:rPr>
            </w:pPr>
            <w:r>
              <w:rPr>
                <w:rFonts w:hint="eastAsia" w:ascii="Times New Roman" w:hAnsi="Times New Roman" w:cs="Times New Roman"/>
                <w:color w:val="FF0000"/>
                <w:lang w:val="en-US" w:eastAsia="zh-CN"/>
              </w:rPr>
              <w:t>林地（地方公益林和一般商品林）、</w:t>
            </w:r>
            <w:r>
              <w:rPr>
                <w:rFonts w:hint="eastAsia" w:ascii="Times New Roman" w:hAnsi="Times New Roman" w:cs="Times New Roman"/>
                <w:color w:val="FF0000"/>
                <w:lang w:eastAsia="zh-CN"/>
              </w:rPr>
              <w:t>植被、动物、</w:t>
            </w:r>
            <w:r>
              <w:rPr>
                <w:rFonts w:hint="eastAsia" w:ascii="Times New Roman" w:hAnsi="Times New Roman" w:cs="Times New Roman"/>
                <w:color w:val="FF0000"/>
                <w:lang w:val="en-US" w:eastAsia="zh-CN"/>
              </w:rPr>
              <w:t>耕地</w:t>
            </w:r>
            <w:r>
              <w:rPr>
                <w:rFonts w:hint="eastAsia" w:ascii="Times New Roman" w:hAnsi="Times New Roman" w:cs="Times New Roman"/>
                <w:color w:val="FF0000"/>
                <w:lang w:eastAsia="zh-CN"/>
              </w:rPr>
              <w:t>等。</w:t>
            </w:r>
          </w:p>
        </w:tc>
        <w:tc>
          <w:tcPr>
            <w:tcW w:w="1071" w:type="dxa"/>
            <w:tcBorders>
              <w:tl2br w:val="nil"/>
              <w:tr2bl w:val="nil"/>
            </w:tcBorders>
            <w:vAlign w:val="center"/>
          </w:tcPr>
          <w:p>
            <w:pPr>
              <w:pStyle w:val="42"/>
              <w:rPr>
                <w:rFonts w:hint="default" w:ascii="Times New Roman" w:hAnsi="Times New Roman" w:cs="Times New Roman"/>
                <w:color w:val="FF0000"/>
                <w:lang w:val="en-US"/>
              </w:rPr>
            </w:pPr>
            <w:r>
              <w:rPr>
                <w:rFonts w:hint="default" w:ascii="Times New Roman" w:hAnsi="Times New Roman" w:cs="Times New Roman"/>
                <w:color w:val="FF0000"/>
                <w:lang w:val="en-US"/>
              </w:rPr>
              <w:t>/</w:t>
            </w:r>
          </w:p>
        </w:tc>
        <w:tc>
          <w:tcPr>
            <w:tcW w:w="1568" w:type="dxa"/>
            <w:gridSpan w:val="2"/>
            <w:tcBorders>
              <w:tl2br w:val="nil"/>
              <w:tr2bl w:val="nil"/>
            </w:tcBorders>
            <w:vAlign w:val="center"/>
          </w:tcPr>
          <w:p>
            <w:pPr>
              <w:pStyle w:val="42"/>
              <w:rPr>
                <w:rFonts w:hint="eastAsia" w:ascii="Times New Roman" w:hAnsi="Times New Roman" w:cs="Times New Roman" w:eastAsiaTheme="minorEastAsia"/>
                <w:color w:val="FF0000"/>
                <w:lang w:eastAsia="zh-CN"/>
              </w:rPr>
            </w:pPr>
            <w:r>
              <w:rPr>
                <w:rFonts w:hint="eastAsia" w:ascii="Times New Roman" w:hAnsi="Times New Roman" w:cs="Times New Roman"/>
                <w:color w:val="FF0000"/>
                <w:lang w:eastAsia="zh-CN"/>
              </w:rPr>
              <w:t>占地范围内及周边</w:t>
            </w:r>
          </w:p>
        </w:tc>
      </w:tr>
    </w:tbl>
    <w:p>
      <w:pPr>
        <w:pStyle w:val="4"/>
        <w:keepNext/>
        <w:keepLines/>
        <w:pageBreakBefore w:val="0"/>
        <w:widowControl w:val="0"/>
        <w:numPr>
          <w:ilvl w:val="1"/>
          <w:numId w:val="0"/>
        </w:numPr>
        <w:kinsoku/>
        <w:wordWrap/>
        <w:overflowPunct/>
        <w:topLinePunct w:val="0"/>
        <w:autoSpaceDE/>
        <w:autoSpaceDN/>
        <w:bidi w:val="0"/>
        <w:adjustRightInd/>
        <w:snapToGrid/>
        <w:spacing w:beforeLines="0"/>
        <w:ind w:leftChars="0"/>
        <w:textAlignment w:val="auto"/>
        <w:rPr>
          <w:rFonts w:hint="eastAsia"/>
          <w:color w:val="000000" w:themeColor="text1"/>
          <w:lang w:val="en-US" w:eastAsia="zh-CN"/>
        </w:rPr>
      </w:pPr>
    </w:p>
    <w:p>
      <w:pPr>
        <w:pStyle w:val="5"/>
        <w:numPr>
          <w:ilvl w:val="2"/>
          <w:numId w:val="0"/>
        </w:numPr>
        <w:ind w:leftChars="0"/>
        <w:rPr>
          <w:rFonts w:hint="eastAsia"/>
          <w:color w:val="000000" w:themeColor="text1"/>
          <w:lang w:val="en-US" w:eastAsia="zh-CN"/>
        </w:rPr>
      </w:pPr>
    </w:p>
    <w:p>
      <w:pPr>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rPr>
          <w:rFonts w:hint="eastAsia"/>
          <w:color w:val="000000" w:themeColor="text1"/>
          <w:lang w:val="en-US" w:eastAsia="zh-CN"/>
        </w:rPr>
      </w:pPr>
    </w:p>
    <w:p>
      <w:pPr>
        <w:rPr>
          <w:rFonts w:hint="eastAsia"/>
          <w:color w:val="000000" w:themeColor="text1"/>
          <w:lang w:val="en-US" w:eastAsia="zh-CN"/>
        </w:rPr>
      </w:pPr>
    </w:p>
    <w:p>
      <w:pPr>
        <w:pStyle w:val="4"/>
        <w:keepNext/>
        <w:keepLines/>
        <w:pageBreakBefore w:val="0"/>
        <w:widowControl w:val="0"/>
        <w:numPr>
          <w:ilvl w:val="1"/>
          <w:numId w:val="0"/>
        </w:numPr>
        <w:kinsoku/>
        <w:wordWrap/>
        <w:overflowPunct/>
        <w:topLinePunct w:val="0"/>
        <w:autoSpaceDE/>
        <w:autoSpaceDN/>
        <w:bidi w:val="0"/>
        <w:adjustRightInd/>
        <w:snapToGrid/>
        <w:spacing w:beforeLines="0"/>
        <w:ind w:leftChars="0"/>
        <w:jc w:val="both"/>
        <w:textAlignment w:val="auto"/>
        <w:rPr>
          <w:rFonts w:hint="eastAsia"/>
          <w:color w:val="000000" w:themeColor="text1"/>
          <w:lang w:val="en-US" w:eastAsia="zh-CN"/>
        </w:rPr>
      </w:pPr>
    </w:p>
    <w:p>
      <w:pPr>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rPr>
          <w:rFonts w:hint="eastAsia"/>
          <w:color w:val="000000" w:themeColor="text1"/>
          <w:lang w:val="en-US" w:eastAsia="zh-CN"/>
        </w:rPr>
      </w:pPr>
    </w:p>
    <w:p>
      <w:pPr>
        <w:rPr>
          <w:rFonts w:hint="eastAsia"/>
          <w:color w:val="000000" w:themeColor="text1"/>
          <w:lang w:val="en-US" w:eastAsia="zh-CN"/>
        </w:rPr>
      </w:pPr>
    </w:p>
    <w:p>
      <w:pPr>
        <w:pStyle w:val="4"/>
        <w:keepNext/>
        <w:keepLines/>
        <w:pageBreakBefore w:val="0"/>
        <w:widowControl w:val="0"/>
        <w:numPr>
          <w:ilvl w:val="1"/>
          <w:numId w:val="0"/>
        </w:numPr>
        <w:kinsoku/>
        <w:wordWrap/>
        <w:overflowPunct/>
        <w:topLinePunct w:val="0"/>
        <w:autoSpaceDE/>
        <w:autoSpaceDN/>
        <w:bidi w:val="0"/>
        <w:adjustRightInd/>
        <w:snapToGrid/>
        <w:spacing w:beforeLines="0"/>
        <w:ind w:leftChars="0"/>
        <w:jc w:val="both"/>
        <w:textAlignment w:val="auto"/>
        <w:rPr>
          <w:rFonts w:hint="eastAsia"/>
          <w:color w:val="000000" w:themeColor="text1"/>
          <w:lang w:val="en-US" w:eastAsia="zh-CN"/>
        </w:rPr>
      </w:pPr>
    </w:p>
    <w:p>
      <w:pPr>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rPr>
          <w:rFonts w:hint="eastAsia"/>
          <w:color w:val="000000" w:themeColor="text1"/>
          <w:lang w:val="en-US" w:eastAsia="zh-CN"/>
        </w:rPr>
      </w:pPr>
    </w:p>
    <w:p>
      <w:pPr>
        <w:pStyle w:val="4"/>
        <w:keepNext/>
        <w:keepLines/>
        <w:pageBreakBefore w:val="0"/>
        <w:widowControl w:val="0"/>
        <w:numPr>
          <w:ilvl w:val="1"/>
          <w:numId w:val="0"/>
        </w:numPr>
        <w:kinsoku/>
        <w:wordWrap/>
        <w:overflowPunct/>
        <w:topLinePunct w:val="0"/>
        <w:autoSpaceDE/>
        <w:autoSpaceDN/>
        <w:bidi w:val="0"/>
        <w:adjustRightInd/>
        <w:snapToGrid/>
        <w:spacing w:beforeLines="0"/>
        <w:ind w:leftChars="0"/>
        <w:jc w:val="center"/>
        <w:textAlignment w:val="auto"/>
        <w:rPr>
          <w:rFonts w:hint="eastAsia"/>
          <w:color w:val="000000" w:themeColor="text1"/>
          <w:lang w:val="en-US" w:eastAsia="zh-CN"/>
        </w:rPr>
      </w:pPr>
    </w:p>
    <w:p>
      <w:pPr>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rPr>
          <w:rFonts w:hint="eastAsia"/>
          <w:color w:val="000000" w:themeColor="text1"/>
          <w:lang w:val="en-US" w:eastAsia="zh-CN"/>
        </w:rPr>
      </w:pPr>
    </w:p>
    <w:p>
      <w:pPr>
        <w:pStyle w:val="4"/>
        <w:numPr>
          <w:ilvl w:val="1"/>
          <w:numId w:val="0"/>
        </w:numPr>
        <w:ind w:leftChars="0"/>
        <w:rPr>
          <w:rFonts w:hint="eastAsia"/>
          <w:color w:val="000000" w:themeColor="text1"/>
          <w:lang w:val="en-US" w:eastAsia="zh-CN"/>
        </w:rPr>
      </w:pPr>
    </w:p>
    <w:p>
      <w:pPr>
        <w:rPr>
          <w:rFonts w:hint="eastAsia"/>
          <w:color w:val="000000" w:themeColor="text1"/>
          <w:lang w:val="en-US" w:eastAsia="zh-CN"/>
        </w:rPr>
      </w:pPr>
    </w:p>
    <w:p>
      <w:pPr>
        <w:pStyle w:val="3"/>
        <w:keepNext/>
        <w:keepLines/>
        <w:pageBreakBefore w:val="0"/>
        <w:widowControl w:val="0"/>
        <w:kinsoku/>
        <w:wordWrap/>
        <w:overflowPunct/>
        <w:topLinePunct w:val="0"/>
        <w:autoSpaceDE/>
        <w:autoSpaceDN/>
        <w:bidi w:val="0"/>
        <w:adjustRightInd w:val="0"/>
        <w:snapToGrid w:val="0"/>
        <w:spacing w:before="0"/>
        <w:ind w:left="431" w:hanging="431"/>
        <w:textAlignment w:val="auto"/>
        <w:outlineLvl w:val="0"/>
        <w:rPr>
          <w:rFonts w:hint="eastAsia"/>
          <w:color w:val="000000" w:themeColor="text1"/>
        </w:rPr>
      </w:pPr>
      <w:bookmarkStart w:id="164" w:name="_Toc31828_WPSOffice_Level1"/>
      <w:bookmarkStart w:id="165" w:name="_Toc31735"/>
      <w:r>
        <w:rPr>
          <w:rFonts w:hint="eastAsia"/>
          <w:color w:val="000000" w:themeColor="text1"/>
          <w:lang w:val="en-US" w:eastAsia="zh-CN"/>
        </w:rPr>
        <w:t>建设项目工程分析</w:t>
      </w:r>
      <w:bookmarkEnd w:id="164"/>
      <w:bookmarkEnd w:id="165"/>
    </w:p>
    <w:p>
      <w:pPr>
        <w:pStyle w:val="4"/>
        <w:rPr>
          <w:color w:val="000000" w:themeColor="text1"/>
        </w:rPr>
      </w:pPr>
      <w:bookmarkStart w:id="166" w:name="_Toc15397"/>
      <w:bookmarkStart w:id="167" w:name="_Toc8641"/>
      <w:bookmarkStart w:id="168" w:name="_Toc16282_WPSOffice_Level2"/>
      <w:bookmarkStart w:id="169" w:name="_Toc26771"/>
      <w:bookmarkStart w:id="170" w:name="_Toc6021"/>
      <w:r>
        <w:rPr>
          <w:rFonts w:hint="eastAsia"/>
          <w:color w:val="000000" w:themeColor="text1"/>
          <w:lang w:val="en-US" w:eastAsia="zh-CN"/>
        </w:rPr>
        <w:t>现有</w:t>
      </w:r>
      <w:r>
        <w:rPr>
          <w:color w:val="000000" w:themeColor="text1"/>
        </w:rPr>
        <w:t>建设项目基本情况</w:t>
      </w:r>
      <w:bookmarkEnd w:id="166"/>
      <w:bookmarkEnd w:id="167"/>
      <w:bookmarkEnd w:id="168"/>
      <w:bookmarkEnd w:id="169"/>
      <w:bookmarkEnd w:id="170"/>
    </w:p>
    <w:p>
      <w:pPr>
        <w:pStyle w:val="5"/>
        <w:rPr>
          <w:rFonts w:hint="default"/>
          <w:color w:val="000000" w:themeColor="text1"/>
          <w:lang w:val="en-US" w:eastAsia="zh-CN"/>
        </w:rPr>
      </w:pPr>
      <w:bookmarkStart w:id="171" w:name="_Toc25088_WPSOffice_Level3"/>
      <w:bookmarkStart w:id="172" w:name="_Toc7566"/>
      <w:r>
        <w:rPr>
          <w:rFonts w:hint="eastAsia"/>
          <w:color w:val="000000" w:themeColor="text1"/>
          <w:lang w:val="en-US" w:eastAsia="zh-CN"/>
        </w:rPr>
        <w:t>项目历史情况介绍</w:t>
      </w:r>
      <w:bookmarkEnd w:id="171"/>
      <w:bookmarkEnd w:id="17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旬阳县恒欣矿业有限公司的前身为旬阳县金城矿业有限公司，2001年9月，旬阳县矿产资源管理局为旬阳县金城矿业有限公司首次颁发了赤岩毒重石矿采矿许可证，证号：6124290110002，有效期限：2001年9月至2003年9月，采矿权人为：旬阳县金城矿业有限公司。自2002年开始进行探矿生产，采用的探矿方法为全巷法，采用边探边采的方式进行采矿生产，至今未进行大规模的采矿，所采矿石均已销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其后</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旬阳县金城矿业有限公司申请办理了多次采矿许可证延续。最后采矿许可证号：6124290730007，有效期限：2007年1月至2008年6月，采矿权人为：旬阳县金城矿业有限公司。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2009年3月25日，安康市国土资源局将旬阳县金城矿业有限公司（采矿许可证号：6124290730007）和旬阳县赤岩镇大磨沟重晶石矿（采矿许可证号：6124290510002）进行整合，并以</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安国土资办发</w:t>
      </w:r>
      <w:r>
        <w:rPr>
          <w:rFonts w:hint="eastAsia" w:ascii="黑体" w:hAnsi="黑体" w:eastAsia="黑体" w:cs="黑体"/>
          <w:b w:val="0"/>
          <w:bCs w:val="0"/>
          <w:color w:val="000000" w:themeColor="text1"/>
          <w:sz w:val="21"/>
          <w:szCs w:val="21"/>
          <w:lang w:val="en-US" w:eastAsia="zh-CN"/>
        </w:rPr>
        <w:t>〔</w:t>
      </w:r>
      <w:r>
        <w:rPr>
          <w:rFonts w:hint="default" w:ascii="Times New Roman" w:hAnsi="Times New Roman" w:eastAsia="宋体" w:cs="Times New Roman"/>
          <w:b w:val="0"/>
          <w:bCs w:val="0"/>
          <w:color w:val="000000" w:themeColor="text1"/>
          <w:sz w:val="24"/>
          <w:szCs w:val="24"/>
        </w:rPr>
        <w:t>2009</w:t>
      </w:r>
      <w:r>
        <w:rPr>
          <w:rFonts w:hint="eastAsia" w:ascii="黑体" w:hAnsi="黑体" w:eastAsia="黑体" w:cs="黑体"/>
          <w:b w:val="0"/>
          <w:bCs w:val="0"/>
          <w:color w:val="000000" w:themeColor="text1"/>
          <w:sz w:val="21"/>
          <w:szCs w:val="21"/>
          <w:lang w:val="en-US" w:eastAsia="zh-CN"/>
        </w:rPr>
        <w:t>〕</w:t>
      </w:r>
      <w:r>
        <w:rPr>
          <w:rFonts w:hint="default" w:ascii="Times New Roman" w:hAnsi="Times New Roman" w:eastAsia="宋体" w:cs="Times New Roman"/>
          <w:b w:val="0"/>
          <w:bCs w:val="0"/>
          <w:color w:val="000000" w:themeColor="text1"/>
          <w:sz w:val="24"/>
          <w:szCs w:val="24"/>
        </w:rPr>
        <w:t>46号</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color w:val="000000" w:themeColor="text1"/>
          <w:sz w:val="24"/>
          <w:szCs w:val="24"/>
        </w:rPr>
        <w:t>批复给旬阳县恒欣矿业有限公司。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根据企业发展需要，该矿于2015年12月15日变更了新的采矿许可证，生产规模由原3万吨/年变更为5万吨/年。由于新采矿许可证坐标有误，企业于2016年11月21日重新办理了采矿许可证。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2019年1月20日，安康市国土资源局为本项目</w:t>
      </w:r>
      <w:r>
        <w:rPr>
          <w:rFonts w:hint="eastAsia" w:ascii="Times New Roman" w:hAnsi="Times New Roman" w:eastAsia="宋体" w:cs="Times New Roman"/>
          <w:color w:val="000000" w:themeColor="text1"/>
          <w:sz w:val="24"/>
          <w:szCs w:val="24"/>
          <w:lang w:val="en-US" w:eastAsia="zh-CN"/>
        </w:rPr>
        <w:t>延续了</w:t>
      </w:r>
      <w:r>
        <w:rPr>
          <w:rFonts w:hint="default" w:ascii="Times New Roman" w:hAnsi="Times New Roman" w:eastAsia="宋体" w:cs="Times New Roman"/>
          <w:color w:val="000000" w:themeColor="text1"/>
          <w:sz w:val="24"/>
          <w:szCs w:val="24"/>
        </w:rPr>
        <w:t>采矿许可证，证书编号C6109002009126120047872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有效期限为2018年12月29日至2021年12月29日。</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本项目环境影响评价文件通过评审，取得环评批复后即可延续采矿证。</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4"/>
          <w:szCs w:val="24"/>
          <w:lang w:val="en-US" w:eastAsia="zh-CN"/>
        </w:rPr>
        <w:t>相关文件编制情况：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2015年11月，由陕西中金地质矿产科技有限公司编制了《陕西省旬阳县赤岩镇水磨河口构皮沟毒重石矿矿产资源开发利用方案》；2015年12月，由陕西地质工程总公司编制了《陕西省旬阳县赤岩镇水磨河口构皮沟毒重石矿矿山地质环境保护与恢复治理方案》；2016年10月，由中北工程设计咨询有限公司编制了《旬阳县恒欣矿业有限公司旬阳县赤岩镇水磨河口构皮沟毒重石矿扩建项目可行性研究报告》；2016年11月由</w:t>
      </w:r>
      <w:r>
        <w:rPr>
          <w:rFonts w:hint="default" w:ascii="Times New Roman" w:hAnsi="Times New Roman" w:eastAsia="宋体" w:cs="Times New Roman"/>
          <w:bCs/>
          <w:color w:val="000000" w:themeColor="text1"/>
          <w:sz w:val="24"/>
          <w:szCs w:val="24"/>
        </w:rPr>
        <w:t>咸阳诚信安全技术服务有限公司编制了</w:t>
      </w:r>
      <w:r>
        <w:rPr>
          <w:rFonts w:hint="default" w:ascii="Times New Roman" w:hAnsi="Times New Roman" w:eastAsia="宋体" w:cs="Times New Roman"/>
          <w:color w:val="000000" w:themeColor="text1"/>
          <w:sz w:val="24"/>
          <w:szCs w:val="24"/>
        </w:rPr>
        <w:t>《旬阳县恒欣矿业有限公司旬阳县赤岩镇水磨河口构皮沟毒重石矿扩建工程安全预评价报告》</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旬阳县赤岩镇水磨河口构皮沟毒重石矿扩建项目</w:t>
      </w:r>
      <w:r>
        <w:rPr>
          <w:rFonts w:hint="default" w:ascii="Times New Roman" w:hAnsi="Times New Roman" w:eastAsia="宋体" w:cs="Times New Roman"/>
          <w:color w:val="000000" w:themeColor="text1"/>
          <w:sz w:val="24"/>
          <w:szCs w:val="24"/>
          <w:lang w:val="en-US" w:eastAsia="zh-CN"/>
        </w:rPr>
        <w:t>水土保持方案</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2018年12月由中国建筑材料工业地质勘察中心陕西总队编制了</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旬阳县赤岩镇水磨河口构皮沟毒重石矿矿山地质环境保护与土地复垦方案</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2021年11月由中大设计集团有限公司编制了《旬阳县赤岩镇水磨河口构皮沟毒重石矿环境风险评估报告》等。</w:t>
      </w:r>
    </w:p>
    <w:p>
      <w:pPr>
        <w:pStyle w:val="5"/>
        <w:rPr>
          <w:rFonts w:hint="default"/>
          <w:color w:val="000000" w:themeColor="text1"/>
          <w:lang w:val="en-US" w:eastAsia="zh-CN"/>
        </w:rPr>
      </w:pPr>
      <w:bookmarkStart w:id="173" w:name="_Toc25449_WPSOffice_Level3"/>
      <w:bookmarkStart w:id="174" w:name="_Toc14804"/>
      <w:r>
        <w:rPr>
          <w:rFonts w:hint="default"/>
          <w:color w:val="000000" w:themeColor="text1"/>
          <w:lang w:val="en-US" w:eastAsia="zh-CN"/>
        </w:rPr>
        <w:t>现有项目概况</w:t>
      </w:r>
      <w:bookmarkEnd w:id="173"/>
      <w:bookmarkEnd w:id="17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现有工程主要建设内容及建设情况见下表</w:t>
      </w:r>
      <w:r>
        <w:rPr>
          <w:rFonts w:hint="eastAsia" w:ascii="Times New Roman" w:hAnsi="Times New Roman" w:eastAsia="宋体" w:cs="Times New Roman"/>
          <w:color w:val="000000" w:themeColor="text1"/>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22" w:firstLineChars="200"/>
        <w:textAlignment w:val="auto"/>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表3.</w:t>
      </w:r>
      <w:r>
        <w:rPr>
          <w:rFonts w:hint="default" w:ascii="Times New Roman" w:hAnsi="Times New Roman" w:eastAsia="宋体" w:cs="Times New Roman"/>
          <w:b/>
          <w:bCs w:val="0"/>
          <w:color w:val="FF0000"/>
          <w:sz w:val="21"/>
          <w:szCs w:val="21"/>
          <w:lang w:val="en-US" w:eastAsia="zh-CN"/>
        </w:rPr>
        <w:t>1</w:t>
      </w:r>
      <w:r>
        <w:rPr>
          <w:rFonts w:hint="default" w:ascii="Times New Roman" w:hAnsi="Times New Roman" w:eastAsia="宋体" w:cs="Times New Roman"/>
          <w:b/>
          <w:bCs w:val="0"/>
          <w:color w:val="FF0000"/>
          <w:sz w:val="21"/>
          <w:szCs w:val="21"/>
        </w:rPr>
        <w:t>-1  现有项目工程设计内容及建设情况一览表</w:t>
      </w:r>
    </w:p>
    <w:tbl>
      <w:tblPr>
        <w:tblStyle w:val="39"/>
        <w:tblW w:w="89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58"/>
        <w:gridCol w:w="5537"/>
        <w:gridCol w:w="1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项目组成</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工程内容</w:t>
            </w:r>
          </w:p>
        </w:tc>
        <w:tc>
          <w:tcPr>
            <w:tcW w:w="14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建设情况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2" w:hRule="atLeast"/>
        </w:trPr>
        <w:tc>
          <w:tcPr>
            <w:tcW w:w="86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主体</w:t>
            </w:r>
          </w:p>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工程</w:t>
            </w:r>
          </w:p>
        </w:tc>
        <w:tc>
          <w:tcPr>
            <w:tcW w:w="1158" w:type="dxa"/>
            <w:tcBorders>
              <w:tl2br w:val="nil"/>
              <w:tr2bl w:val="nil"/>
            </w:tcBorders>
            <w:vAlign w:val="center"/>
          </w:tcPr>
          <w:p>
            <w:pPr>
              <w:pStyle w:val="99"/>
              <w:spacing w:line="240" w:lineRule="auto"/>
              <w:rPr>
                <w:rFonts w:hint="default" w:ascii="Times New Roman" w:hAnsi="Times New Roman" w:eastAsia="宋体" w:cs="Times New Roman"/>
                <w:bCs/>
                <w:color w:val="000000" w:themeColor="text1"/>
                <w:kern w:val="0"/>
                <w:szCs w:val="21"/>
              </w:rPr>
            </w:pPr>
            <w:r>
              <w:rPr>
                <w:rFonts w:hint="default" w:ascii="Times New Roman" w:hAnsi="Times New Roman" w:eastAsia="宋体" w:cs="Times New Roman"/>
                <w:bCs/>
                <w:color w:val="000000" w:themeColor="text1"/>
                <w:kern w:val="0"/>
                <w:szCs w:val="21"/>
              </w:rPr>
              <w:t>K1矿体</w:t>
            </w:r>
          </w:p>
        </w:tc>
        <w:tc>
          <w:tcPr>
            <w:tcW w:w="5537" w:type="dxa"/>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PD8</w:t>
            </w:r>
            <w:r>
              <w:rPr>
                <w:rFonts w:hint="eastAsia" w:ascii="Times New Roman" w:hAnsi="Times New Roman" w:eastAsia="宋体" w:cs="Times New Roman"/>
                <w:color w:val="FF0000"/>
                <w:sz w:val="21"/>
                <w:szCs w:val="21"/>
                <w:lang w:val="en-US" w:eastAsia="zh-CN"/>
              </w:rPr>
              <w:t>30，为回风平硐</w:t>
            </w:r>
            <w:r>
              <w:rPr>
                <w:rFonts w:hint="eastAsia" w:ascii="Times New Roman" w:hAnsi="Times New Roman" w:eastAsia="宋体" w:cs="Times New Roman"/>
                <w:color w:val="FF0000"/>
                <w:sz w:val="21"/>
                <w:szCs w:val="21"/>
                <w:lang w:eastAsia="zh-CN"/>
              </w:rPr>
              <w:t>；</w:t>
            </w:r>
          </w:p>
          <w:p>
            <w:pPr>
              <w:spacing w:line="240" w:lineRule="auto"/>
              <w:ind w:firstLine="0" w:firstLineChars="0"/>
              <w:jc w:val="left"/>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PD810</w:t>
            </w:r>
            <w:r>
              <w:rPr>
                <w:rFonts w:hint="eastAsia" w:ascii="Times New Roman" w:hAnsi="Times New Roman" w:eastAsia="宋体" w:cs="Times New Roman"/>
                <w:color w:val="FF0000"/>
                <w:sz w:val="21"/>
                <w:szCs w:val="21"/>
                <w:lang w:val="en-US" w:eastAsia="zh-CN"/>
              </w:rPr>
              <w:t>为开采平硐，</w:t>
            </w:r>
            <w:r>
              <w:rPr>
                <w:rFonts w:hint="default" w:ascii="Times New Roman" w:hAnsi="Times New Roman" w:eastAsia="宋体" w:cs="Times New Roman"/>
                <w:color w:val="FF0000"/>
                <w:sz w:val="21"/>
                <w:szCs w:val="21"/>
              </w:rPr>
              <w:t>开采平硐深度约</w:t>
            </w:r>
            <w:r>
              <w:rPr>
                <w:rFonts w:hint="eastAsia" w:ascii="Times New Roman" w:hAnsi="Times New Roman" w:eastAsia="宋体" w:cs="Times New Roman"/>
                <w:color w:val="FF0000"/>
                <w:sz w:val="21"/>
                <w:szCs w:val="21"/>
                <w:lang w:val="en-US" w:eastAsia="zh-CN"/>
              </w:rPr>
              <w:t>250</w:t>
            </w:r>
            <w:r>
              <w:rPr>
                <w:rFonts w:hint="default" w:ascii="Times New Roman" w:hAnsi="Times New Roman" w:eastAsia="宋体" w:cs="Times New Roman"/>
                <w:color w:val="FF0000"/>
                <w:sz w:val="21"/>
                <w:szCs w:val="21"/>
              </w:rPr>
              <w:t>m</w:t>
            </w:r>
            <w:r>
              <w:rPr>
                <w:rFonts w:hint="eastAsia" w:ascii="Times New Roman" w:hAnsi="Times New Roman" w:eastAsia="宋体" w:cs="Times New Roman"/>
                <w:color w:val="FF0000"/>
                <w:sz w:val="21"/>
                <w:szCs w:val="21"/>
                <w:lang w:eastAsia="zh-CN"/>
              </w:rPr>
              <w:t>；</w:t>
            </w:r>
          </w:p>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PD760</w:t>
            </w:r>
            <w:r>
              <w:rPr>
                <w:rFonts w:hint="eastAsia" w:ascii="Times New Roman" w:hAnsi="Times New Roman" w:eastAsia="宋体" w:cs="Times New Roman"/>
                <w:color w:val="FF0000"/>
                <w:sz w:val="21"/>
                <w:szCs w:val="21"/>
                <w:lang w:val="en-US" w:eastAsia="zh-CN"/>
              </w:rPr>
              <w:t>为开采平硐，为K1矿体的主平硐，目前开采深度为300m。</w:t>
            </w:r>
          </w:p>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PD710m平硐为探矿平硐</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PD710m</w:t>
            </w:r>
            <w:r>
              <w:rPr>
                <w:rFonts w:hint="eastAsia" w:ascii="Times New Roman" w:hAnsi="Times New Roman" w:eastAsia="宋体" w:cs="Times New Roman"/>
                <w:color w:val="FF0000"/>
                <w:sz w:val="21"/>
                <w:szCs w:val="21"/>
                <w:lang w:val="en-US" w:eastAsia="zh-CN"/>
              </w:rPr>
              <w:t>硐口已封闭，后期不再采矿；</w:t>
            </w:r>
          </w:p>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PD660为开采平硐，开采深度为150m。</w:t>
            </w:r>
          </w:p>
          <w:p>
            <w:pPr>
              <w:spacing w:line="240" w:lineRule="auto"/>
              <w:ind w:firstLine="0" w:firstLineChars="0"/>
              <w:jc w:val="left"/>
              <w:rPr>
                <w:rFonts w:hint="eastAsia" w:ascii="Times New Roman" w:hAnsi="Times New Roman" w:eastAsia="宋体" w:cs="Times New Roman"/>
                <w:bCs/>
                <w:color w:val="000000" w:themeColor="text1"/>
                <w:szCs w:val="21"/>
                <w:lang w:eastAsia="zh-CN"/>
              </w:rPr>
            </w:pPr>
            <w:r>
              <w:rPr>
                <w:rFonts w:hint="eastAsia" w:ascii="Times New Roman" w:hAnsi="Times New Roman" w:eastAsia="宋体" w:cs="Times New Roman"/>
                <w:color w:val="FF0000"/>
                <w:sz w:val="21"/>
                <w:szCs w:val="21"/>
                <w:lang w:val="en-US" w:eastAsia="zh-CN"/>
              </w:rPr>
              <w:t>现有工程共有一个回风平硐，三个开采平硐，一个探矿平硐。本项目的出矿平硐分别为PD810、PD760、PD660。</w:t>
            </w:r>
          </w:p>
        </w:tc>
        <w:tc>
          <w:tcPr>
            <w:tcW w:w="1425" w:type="dxa"/>
            <w:tcBorders>
              <w:tl2br w:val="nil"/>
              <w:tr2bl w:val="nil"/>
            </w:tcBorders>
            <w:vAlign w:val="center"/>
          </w:tcPr>
          <w:p>
            <w:pPr>
              <w:pStyle w:val="42"/>
              <w:rPr>
                <w:rFonts w:hint="eastAsia" w:ascii="Times New Roman" w:hAnsi="Times New Roman" w:eastAsia="宋体" w:cs="Times New Roman"/>
                <w:bCs/>
                <w:color w:val="000000" w:themeColor="text1"/>
                <w:lang w:val="en-US" w:eastAsia="zh-CN"/>
              </w:rPr>
            </w:pPr>
            <w:r>
              <w:rPr>
                <w:rFonts w:hint="eastAsia" w:ascii="Times New Roman" w:hAnsi="Times New Roman" w:eastAsia="宋体" w:cs="Times New Roman"/>
                <w:bCs/>
                <w:color w:val="000000" w:themeColor="text1"/>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pStyle w:val="99"/>
              <w:spacing w:line="240" w:lineRule="auto"/>
              <w:rPr>
                <w:rFonts w:hint="default" w:ascii="Times New Roman" w:hAnsi="Times New Roman" w:eastAsia="宋体" w:cs="Times New Roman"/>
                <w:bCs/>
                <w:color w:val="000000" w:themeColor="text1"/>
                <w:kern w:val="0"/>
                <w:szCs w:val="21"/>
              </w:rPr>
            </w:pPr>
            <w:r>
              <w:rPr>
                <w:rFonts w:hint="default" w:ascii="Times New Roman" w:hAnsi="Times New Roman" w:eastAsia="宋体" w:cs="Times New Roman"/>
                <w:bCs/>
                <w:color w:val="000000" w:themeColor="text1"/>
                <w:kern w:val="0"/>
                <w:szCs w:val="21"/>
              </w:rPr>
              <w:t>工业场地</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矿山现在PD760平硐口设置基本的值班室、变配电室、空压机房及水池等，</w:t>
            </w:r>
            <w:r>
              <w:rPr>
                <w:rFonts w:hint="eastAsia" w:ascii="Times New Roman" w:hAnsi="Times New Roman" w:eastAsia="宋体" w:cs="Times New Roman"/>
                <w:bCs/>
                <w:color w:val="FF0000"/>
                <w:sz w:val="21"/>
                <w:szCs w:val="21"/>
                <w:lang w:eastAsia="zh-CN"/>
              </w:rPr>
              <w:t>PD83</w:t>
            </w:r>
            <w:r>
              <w:rPr>
                <w:rFonts w:hint="eastAsia" w:ascii="Times New Roman" w:hAnsi="Times New Roman" w:eastAsia="宋体" w:cs="Times New Roman"/>
                <w:bCs/>
                <w:color w:val="FF0000"/>
                <w:sz w:val="21"/>
                <w:szCs w:val="21"/>
                <w:lang w:val="en-US" w:eastAsia="zh-CN"/>
              </w:rPr>
              <w:t>0</w:t>
            </w:r>
            <w:r>
              <w:rPr>
                <w:rFonts w:hint="default" w:ascii="Times New Roman" w:hAnsi="Times New Roman" w:eastAsia="宋体" w:cs="Times New Roman"/>
                <w:bCs/>
                <w:color w:val="FF0000"/>
                <w:sz w:val="21"/>
                <w:szCs w:val="21"/>
              </w:rPr>
              <w:t>回风平硐口设置风机值班室和高位水池。</w:t>
            </w:r>
          </w:p>
        </w:tc>
        <w:tc>
          <w:tcPr>
            <w:tcW w:w="1425"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辅助</w:t>
            </w:r>
          </w:p>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工程</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办公区</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在PD760平硐口附近设置有生活办公区，主要包括办公室、生活区、食堂等及1处</w:t>
            </w:r>
            <w:r>
              <w:rPr>
                <w:rFonts w:hint="eastAsia" w:ascii="Times New Roman" w:hAnsi="Times New Roman" w:eastAsia="宋体" w:cs="Times New Roman"/>
                <w:bCs/>
                <w:color w:val="000000" w:themeColor="text1"/>
                <w:sz w:val="21"/>
                <w:szCs w:val="21"/>
                <w:lang w:val="en-US" w:eastAsia="zh-CN"/>
              </w:rPr>
              <w:t>化粪池等</w:t>
            </w:r>
            <w:r>
              <w:rPr>
                <w:rFonts w:hint="default" w:ascii="Times New Roman" w:hAnsi="Times New Roman" w:eastAsia="宋体" w:cs="Times New Roman"/>
                <w:bCs/>
                <w:color w:val="000000" w:themeColor="text1"/>
                <w:sz w:val="21"/>
                <w:szCs w:val="21"/>
              </w:rPr>
              <w:t>。</w:t>
            </w:r>
          </w:p>
        </w:tc>
        <w:tc>
          <w:tcPr>
            <w:tcW w:w="1425"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爆破器材库</w:t>
            </w:r>
          </w:p>
        </w:tc>
        <w:tc>
          <w:tcPr>
            <w:tcW w:w="55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bCs/>
                <w:color w:val="000000" w:themeColor="text1"/>
                <w:sz w:val="21"/>
                <w:szCs w:val="21"/>
              </w:rPr>
              <w:t>爆破器材库1座，用于储存爆破器材，爆炸物最大储存量约为3t</w:t>
            </w:r>
            <w:r>
              <w:rPr>
                <w:rFonts w:hint="eastAsia" w:ascii="Times New Roman" w:hAnsi="Times New Roman" w:eastAsia="宋体" w:cs="Times New Roman"/>
                <w:bCs/>
                <w:color w:val="000000" w:themeColor="text1"/>
                <w:sz w:val="21"/>
                <w:szCs w:val="21"/>
                <w:lang w:eastAsia="zh-CN"/>
              </w:rPr>
              <w:t>。</w:t>
            </w:r>
          </w:p>
        </w:tc>
        <w:tc>
          <w:tcPr>
            <w:tcW w:w="1425" w:type="dxa"/>
            <w:tcBorders>
              <w:tl2br w:val="nil"/>
              <w:tr2bl w:val="nil"/>
            </w:tcBorders>
            <w:vAlign w:val="center"/>
          </w:tcPr>
          <w:p>
            <w:pPr>
              <w:pStyle w:val="42"/>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道路</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矿山道路：大部分利用当地的通村道路，该道路已修成多年。仅在靠近矿山处修建2条矿山道路，与同村道路相连，路面宽约为3.5m，</w:t>
            </w:r>
            <w:r>
              <w:rPr>
                <w:rFonts w:hint="eastAsia" w:ascii="Times New Roman" w:hAnsi="Times New Roman" w:eastAsia="宋体" w:cs="Times New Roman"/>
                <w:bCs/>
                <w:color w:val="000000" w:themeColor="text1"/>
                <w:sz w:val="21"/>
                <w:szCs w:val="21"/>
                <w:lang w:eastAsia="zh-CN"/>
              </w:rPr>
              <w:t>泥结</w:t>
            </w:r>
            <w:r>
              <w:rPr>
                <w:rFonts w:hint="default" w:ascii="Times New Roman" w:hAnsi="Times New Roman" w:eastAsia="宋体" w:cs="Times New Roman"/>
                <w:bCs/>
                <w:color w:val="000000" w:themeColor="text1"/>
                <w:sz w:val="21"/>
                <w:szCs w:val="21"/>
              </w:rPr>
              <w:t>路面，道路长约700m</w:t>
            </w:r>
            <w:r>
              <w:rPr>
                <w:rFonts w:hint="eastAsia" w:ascii="Times New Roman" w:hAnsi="Times New Roman" w:eastAsia="宋体" w:cs="Times New Roman"/>
                <w:bCs/>
                <w:color w:val="000000" w:themeColor="text1"/>
                <w:sz w:val="21"/>
                <w:szCs w:val="21"/>
                <w:lang w:eastAsia="zh-CN"/>
              </w:rPr>
              <w:t>。</w:t>
            </w:r>
          </w:p>
        </w:tc>
        <w:tc>
          <w:tcPr>
            <w:tcW w:w="1425" w:type="dxa"/>
            <w:tcBorders>
              <w:tl2br w:val="nil"/>
              <w:tr2bl w:val="nil"/>
            </w:tcBorders>
            <w:vAlign w:val="center"/>
          </w:tcPr>
          <w:p>
            <w:pPr>
              <w:pStyle w:val="42"/>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矿坑排水系统</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各中段巷道内人行道一侧设置排水沟，坑内涌水及生产废水，均可由各中段平巷水沟流出至地表。</w:t>
            </w:r>
          </w:p>
        </w:tc>
        <w:tc>
          <w:tcPr>
            <w:tcW w:w="1425" w:type="dxa"/>
            <w:tcBorders>
              <w:tl2br w:val="nil"/>
              <w:tr2bl w:val="nil"/>
            </w:tcBorders>
            <w:vAlign w:val="center"/>
          </w:tcPr>
          <w:p>
            <w:pPr>
              <w:pStyle w:val="42"/>
              <w:rPr>
                <w:rFonts w:hint="eastAsia" w:ascii="Times New Roman" w:hAnsi="Times New Roman" w:eastAsia="宋体" w:cs="Times New Roman"/>
                <w:bCs/>
                <w:color w:val="000000" w:themeColor="text1"/>
                <w:szCs w:val="21"/>
                <w:lang w:val="en-US" w:eastAsia="zh-CN"/>
              </w:rPr>
            </w:pPr>
            <w:r>
              <w:rPr>
                <w:rFonts w:hint="eastAsia" w:ascii="Times New Roman" w:hAnsi="Times New Roman" w:eastAsia="宋体" w:cs="Times New Roman"/>
                <w:bCs/>
                <w:color w:val="000000" w:themeColor="text1"/>
                <w:szCs w:val="21"/>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通风系统</w:t>
            </w:r>
          </w:p>
        </w:tc>
        <w:tc>
          <w:tcPr>
            <w:tcW w:w="55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bCs/>
                <w:color w:val="000000" w:themeColor="text1"/>
                <w:sz w:val="21"/>
                <w:szCs w:val="21"/>
              </w:rPr>
              <w:t>采用机械通风，通风方式为抽出式，K1矿体采用中央并列式。K40-4-No.10轴流风机1台；采、掘进工作面局部通风，选用JK58-1No4型局扇1台及JK56-1No4型局扇1台</w:t>
            </w:r>
            <w:r>
              <w:rPr>
                <w:rFonts w:hint="eastAsia" w:ascii="Times New Roman" w:hAnsi="Times New Roman" w:eastAsia="宋体" w:cs="Times New Roman"/>
                <w:bCs/>
                <w:color w:val="000000" w:themeColor="text1"/>
                <w:sz w:val="21"/>
                <w:szCs w:val="21"/>
                <w:lang w:eastAsia="zh-CN"/>
              </w:rPr>
              <w:t>。</w:t>
            </w:r>
          </w:p>
        </w:tc>
        <w:tc>
          <w:tcPr>
            <w:tcW w:w="1425" w:type="dxa"/>
            <w:tcBorders>
              <w:tl2br w:val="nil"/>
              <w:tr2bl w:val="nil"/>
            </w:tcBorders>
            <w:vAlign w:val="center"/>
          </w:tcPr>
          <w:p>
            <w:pPr>
              <w:pStyle w:val="42"/>
              <w:jc w:val="center"/>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公用</w:t>
            </w:r>
          </w:p>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工程</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给水</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矿区内的沟溪常年流水不断，水质良好，建有一个</w:t>
            </w:r>
            <w:r>
              <w:rPr>
                <w:rFonts w:hint="default" w:ascii="Times New Roman" w:hAnsi="Times New Roman" w:eastAsia="宋体" w:cs="Times New Roman"/>
                <w:bCs/>
                <w:color w:val="000000" w:themeColor="text1"/>
                <w:sz w:val="21"/>
                <w:szCs w:val="21"/>
                <w:lang w:val="en-US"/>
              </w:rPr>
              <w:t>3</w:t>
            </w:r>
            <w:r>
              <w:rPr>
                <w:rFonts w:hint="default" w:ascii="Times New Roman" w:hAnsi="Times New Roman" w:eastAsia="宋体" w:cs="Times New Roman"/>
                <w:bCs/>
                <w:color w:val="000000" w:themeColor="text1"/>
                <w:sz w:val="21"/>
                <w:szCs w:val="21"/>
              </w:rPr>
              <w:t>0 m</w:t>
            </w:r>
            <w:r>
              <w:rPr>
                <w:rFonts w:hint="default" w:ascii="Times New Roman" w:hAnsi="Times New Roman" w:eastAsia="宋体" w:cs="Times New Roman"/>
                <w:bCs/>
                <w:color w:val="000000" w:themeColor="text1"/>
                <w:sz w:val="21"/>
                <w:szCs w:val="21"/>
                <w:vertAlign w:val="superscript"/>
              </w:rPr>
              <w:t>3</w:t>
            </w:r>
            <w:r>
              <w:rPr>
                <w:rFonts w:hint="default" w:ascii="Times New Roman" w:hAnsi="Times New Roman" w:eastAsia="宋体" w:cs="Times New Roman"/>
                <w:bCs/>
                <w:color w:val="000000" w:themeColor="text1"/>
                <w:sz w:val="21"/>
                <w:szCs w:val="21"/>
              </w:rPr>
              <w:t>的</w:t>
            </w:r>
            <w:r>
              <w:rPr>
                <w:rFonts w:hint="eastAsia" w:ascii="Times New Roman" w:hAnsi="Times New Roman" w:eastAsia="宋体" w:cs="Times New Roman"/>
                <w:bCs/>
                <w:color w:val="000000" w:themeColor="text1"/>
                <w:sz w:val="21"/>
                <w:szCs w:val="21"/>
                <w:lang w:val="en-US" w:eastAsia="zh-CN"/>
              </w:rPr>
              <w:t>集</w:t>
            </w:r>
            <w:r>
              <w:rPr>
                <w:rFonts w:hint="default" w:ascii="Times New Roman" w:hAnsi="Times New Roman" w:eastAsia="宋体" w:cs="Times New Roman"/>
                <w:bCs/>
                <w:color w:val="000000" w:themeColor="text1"/>
                <w:sz w:val="21"/>
                <w:szCs w:val="21"/>
              </w:rPr>
              <w:t>水池，取自沟内的清水，用塑料管引入生活区、井巷及掘进工作面，作为生产、生活及消防使用。</w:t>
            </w:r>
          </w:p>
        </w:tc>
        <w:tc>
          <w:tcPr>
            <w:tcW w:w="14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排水</w:t>
            </w:r>
          </w:p>
        </w:tc>
        <w:tc>
          <w:tcPr>
            <w:tcW w:w="55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本项目矿井出水经沉淀池沉淀后回用，不外排；生活污水进入化粪池处理后用于周边林地灌溉。</w:t>
            </w:r>
          </w:p>
        </w:tc>
        <w:tc>
          <w:tcPr>
            <w:tcW w:w="14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供电</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矿区供电引自附近乡镇10kv变电所。同时选用400V 50kW的柴油发电机备用。</w:t>
            </w:r>
          </w:p>
        </w:tc>
        <w:tc>
          <w:tcPr>
            <w:tcW w:w="14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采暖制冷</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本项目</w:t>
            </w:r>
            <w:r>
              <w:rPr>
                <w:rFonts w:hint="eastAsia" w:ascii="Times New Roman" w:hAnsi="Times New Roman" w:eastAsia="宋体" w:cs="Times New Roman"/>
                <w:bCs/>
                <w:color w:val="000000" w:themeColor="text1"/>
                <w:sz w:val="21"/>
                <w:szCs w:val="21"/>
                <w:lang w:eastAsia="zh-CN"/>
              </w:rPr>
              <w:t>冬季较寒冷的</w:t>
            </w:r>
            <w:r>
              <w:rPr>
                <w:rFonts w:hint="eastAsia" w:ascii="Times New Roman" w:hAnsi="Times New Roman" w:eastAsia="宋体" w:cs="Times New Roman"/>
                <w:bCs/>
                <w:color w:val="000000" w:themeColor="text1"/>
                <w:sz w:val="21"/>
                <w:szCs w:val="21"/>
                <w:lang w:val="en-US" w:eastAsia="zh-CN"/>
              </w:rPr>
              <w:t>12月和1月不生产，矿山周边主要为山林，夏季凉爽，故本项目无</w:t>
            </w:r>
            <w:r>
              <w:rPr>
                <w:rFonts w:hint="default" w:ascii="Times New Roman" w:hAnsi="Times New Roman" w:eastAsia="宋体" w:cs="Times New Roman"/>
                <w:bCs/>
                <w:color w:val="000000" w:themeColor="text1"/>
                <w:sz w:val="21"/>
                <w:szCs w:val="21"/>
              </w:rPr>
              <w:t>采暖和制冷</w:t>
            </w:r>
            <w:r>
              <w:rPr>
                <w:rFonts w:hint="eastAsia" w:ascii="Times New Roman" w:hAnsi="Times New Roman" w:eastAsia="宋体" w:cs="Times New Roman"/>
                <w:bCs/>
                <w:color w:val="000000" w:themeColor="text1"/>
                <w:sz w:val="21"/>
                <w:szCs w:val="21"/>
                <w:lang w:eastAsia="zh-CN"/>
              </w:rPr>
              <w:t>的</w:t>
            </w:r>
            <w:r>
              <w:rPr>
                <w:rFonts w:hint="default" w:ascii="Times New Roman" w:hAnsi="Times New Roman" w:eastAsia="宋体" w:cs="Times New Roman"/>
                <w:bCs/>
                <w:color w:val="000000" w:themeColor="text1"/>
                <w:sz w:val="21"/>
                <w:szCs w:val="21"/>
              </w:rPr>
              <w:t>相应设备。</w:t>
            </w:r>
          </w:p>
        </w:tc>
        <w:tc>
          <w:tcPr>
            <w:tcW w:w="14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消防</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井下消防与防尘合用一条供水管网。消防供水管自地面容量为</w:t>
            </w:r>
            <w:r>
              <w:rPr>
                <w:rFonts w:hint="default" w:ascii="Times New Roman" w:hAnsi="Times New Roman" w:eastAsia="宋体" w:cs="Times New Roman"/>
                <w:bCs/>
                <w:color w:val="FF0000"/>
                <w:sz w:val="21"/>
                <w:szCs w:val="21"/>
                <w:lang w:val="en-US"/>
              </w:rPr>
              <w:t>1</w:t>
            </w:r>
            <w:r>
              <w:rPr>
                <w:rFonts w:hint="default" w:ascii="Times New Roman" w:hAnsi="Times New Roman" w:eastAsia="宋体" w:cs="Times New Roman"/>
                <w:bCs/>
                <w:color w:val="FF0000"/>
                <w:sz w:val="21"/>
                <w:szCs w:val="21"/>
              </w:rPr>
              <w:t>00m</w:t>
            </w:r>
            <w:r>
              <w:rPr>
                <w:rFonts w:hint="default" w:ascii="Times New Roman" w:hAnsi="Times New Roman" w:eastAsia="宋体" w:cs="Times New Roman"/>
                <w:bCs/>
                <w:color w:val="FF0000"/>
                <w:sz w:val="21"/>
                <w:szCs w:val="21"/>
                <w:vertAlign w:val="superscript"/>
              </w:rPr>
              <w:t>3</w:t>
            </w:r>
            <w:r>
              <w:rPr>
                <w:rFonts w:hint="default" w:ascii="Times New Roman" w:hAnsi="Times New Roman" w:eastAsia="宋体" w:cs="Times New Roman"/>
                <w:bCs/>
                <w:color w:val="FF0000"/>
                <w:sz w:val="21"/>
                <w:szCs w:val="21"/>
              </w:rPr>
              <w:t>的高位水池接管</w:t>
            </w:r>
          </w:p>
        </w:tc>
        <w:tc>
          <w:tcPr>
            <w:tcW w:w="14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FF0000"/>
                <w:sz w:val="21"/>
                <w:szCs w:val="21"/>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环保</w:t>
            </w:r>
          </w:p>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工程</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废气</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湿式凿岩，对凿岩爆破及出矿过程各产尘点进行喷洒水，粉尘采用洒水降尘处理。</w:t>
            </w:r>
          </w:p>
        </w:tc>
        <w:tc>
          <w:tcPr>
            <w:tcW w:w="14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废水</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矿山设置防渗</w:t>
            </w:r>
            <w:r>
              <w:rPr>
                <w:rFonts w:hint="eastAsia" w:ascii="Times New Roman" w:hAnsi="Times New Roman" w:eastAsia="宋体" w:cs="Times New Roman"/>
                <w:bCs/>
                <w:color w:val="000000" w:themeColor="text1"/>
                <w:sz w:val="21"/>
                <w:szCs w:val="21"/>
                <w:lang w:val="en-US" w:eastAsia="zh-CN"/>
              </w:rPr>
              <w:t>化粪池</w:t>
            </w:r>
            <w:r>
              <w:rPr>
                <w:rFonts w:hint="default" w:ascii="Times New Roman" w:hAnsi="Times New Roman" w:eastAsia="宋体" w:cs="Times New Roman"/>
                <w:bCs/>
                <w:color w:val="000000" w:themeColor="text1"/>
                <w:sz w:val="21"/>
                <w:szCs w:val="21"/>
              </w:rPr>
              <w:t>，定期清掏。</w:t>
            </w:r>
          </w:p>
        </w:tc>
        <w:tc>
          <w:tcPr>
            <w:tcW w:w="14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噪声</w:t>
            </w:r>
          </w:p>
        </w:tc>
        <w:tc>
          <w:tcPr>
            <w:tcW w:w="55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rPr>
              <w:t>选择低噪声设备；</w:t>
            </w:r>
            <w:r>
              <w:rPr>
                <w:rFonts w:hint="eastAsia" w:ascii="Times New Roman" w:hAnsi="Times New Roman" w:eastAsia="宋体" w:cs="Times New Roman"/>
                <w:bCs/>
                <w:color w:val="000000" w:themeColor="text1"/>
                <w:sz w:val="21"/>
                <w:szCs w:val="21"/>
                <w:lang w:val="en-US" w:eastAsia="zh-CN"/>
              </w:rPr>
              <w:t>隔声、消声。</w:t>
            </w:r>
          </w:p>
        </w:tc>
        <w:tc>
          <w:tcPr>
            <w:tcW w:w="14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color w:val="000000" w:themeColor="text1"/>
                <w:sz w:val="21"/>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固体废物</w:t>
            </w:r>
          </w:p>
        </w:tc>
        <w:tc>
          <w:tcPr>
            <w:tcW w:w="55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矿石一部分用于矿区基建和矿区道路，剩余</w:t>
            </w:r>
            <w:r>
              <w:rPr>
                <w:rFonts w:hint="default" w:ascii="Times New Roman" w:hAnsi="Times New Roman" w:eastAsia="宋体" w:cs="Times New Roman"/>
                <w:bCs/>
                <w:color w:val="000000" w:themeColor="text1"/>
                <w:sz w:val="21"/>
                <w:szCs w:val="21"/>
              </w:rPr>
              <w:t>废石在硐口分散堆放</w:t>
            </w:r>
            <w:r>
              <w:rPr>
                <w:rFonts w:hint="eastAsia" w:ascii="Times New Roman" w:hAnsi="Times New Roman" w:eastAsia="宋体" w:cs="Times New Roman"/>
                <w:bCs/>
                <w:color w:val="000000" w:themeColor="text1"/>
                <w:sz w:val="21"/>
                <w:szCs w:val="21"/>
                <w:lang w:eastAsia="zh-CN"/>
              </w:rPr>
              <w:t>。</w:t>
            </w:r>
          </w:p>
        </w:tc>
        <w:tc>
          <w:tcPr>
            <w:tcW w:w="14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生态环境</w:t>
            </w:r>
          </w:p>
        </w:tc>
        <w:tc>
          <w:tcPr>
            <w:tcW w:w="55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土地平整、边坡、护坡、截洪沟、植被恢复、废石场生态恢复等措施。</w:t>
            </w:r>
          </w:p>
        </w:tc>
        <w:tc>
          <w:tcPr>
            <w:tcW w:w="14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15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环境风险</w:t>
            </w:r>
          </w:p>
        </w:tc>
        <w:tc>
          <w:tcPr>
            <w:tcW w:w="55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建设有粉尘、废水、固废防治措施，减少环境风险的发生；为减少废矿石滑坡坍塌等风险，现有工程建设有挡渣坝，井下支护措施，职工安全教育等。</w:t>
            </w:r>
          </w:p>
        </w:tc>
        <w:tc>
          <w:tcPr>
            <w:tcW w:w="14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已建成</w:t>
            </w:r>
          </w:p>
        </w:tc>
      </w:tr>
    </w:tbl>
    <w:p>
      <w:pPr>
        <w:pStyle w:val="5"/>
        <w:rPr>
          <w:rFonts w:hint="default"/>
          <w:color w:val="000000" w:themeColor="text1"/>
        </w:rPr>
      </w:pPr>
      <w:bookmarkStart w:id="175" w:name="_Toc28784"/>
      <w:bookmarkStart w:id="176" w:name="_Toc8694_WPSOffice_Level3"/>
      <w:r>
        <w:rPr>
          <w:rFonts w:hint="default"/>
          <w:color w:val="000000" w:themeColor="text1"/>
        </w:rPr>
        <w:t>矿山开采现状</w:t>
      </w:r>
      <w:bookmarkEnd w:id="175"/>
      <w:bookmarkEnd w:id="176"/>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由于该矿山为老矿山，2002年8月至今，矿山主要通过PD</w:t>
      </w:r>
      <w:r>
        <w:rPr>
          <w:rFonts w:hint="eastAsia" w:ascii="Times New Roman" w:hAnsi="Times New Roman" w:eastAsia="宋体" w:cs="Times New Roman"/>
          <w:color w:val="FF0000"/>
          <w:sz w:val="24"/>
          <w:szCs w:val="24"/>
          <w:lang w:val="en-US" w:eastAsia="zh-CN"/>
        </w:rPr>
        <w:t>810</w:t>
      </w:r>
      <w:r>
        <w:rPr>
          <w:rFonts w:hint="default" w:ascii="Times New Roman" w:hAnsi="Times New Roman" w:eastAsia="宋体" w:cs="Times New Roman"/>
          <w:color w:val="FF0000"/>
          <w:sz w:val="24"/>
          <w:szCs w:val="24"/>
        </w:rPr>
        <w:t>、PD</w:t>
      </w:r>
      <w:r>
        <w:rPr>
          <w:rFonts w:hint="eastAsia" w:ascii="Times New Roman" w:hAnsi="Times New Roman" w:eastAsia="宋体" w:cs="Times New Roman"/>
          <w:color w:val="FF0000"/>
          <w:sz w:val="24"/>
          <w:szCs w:val="24"/>
          <w:lang w:val="en-US" w:eastAsia="zh-CN"/>
        </w:rPr>
        <w:t>760和PD660</w:t>
      </w:r>
      <w:r>
        <w:rPr>
          <w:rFonts w:hint="default" w:ascii="Times New Roman" w:hAnsi="Times New Roman" w:eastAsia="宋体" w:cs="Times New Roman"/>
          <w:color w:val="FF0000"/>
          <w:sz w:val="24"/>
          <w:szCs w:val="24"/>
        </w:rPr>
        <w:t>对K1矿体进行了开采，初步建成开拓工程及工业场地、水电路等矿山设施。开采平硐深度</w:t>
      </w:r>
      <w:r>
        <w:rPr>
          <w:rFonts w:hint="eastAsia" w:ascii="Times New Roman" w:hAnsi="Times New Roman" w:eastAsia="宋体" w:cs="Times New Roman"/>
          <w:color w:val="FF0000"/>
          <w:sz w:val="24"/>
          <w:szCs w:val="24"/>
          <w:lang w:val="en-US" w:eastAsia="zh-CN"/>
        </w:rPr>
        <w:t>15</w:t>
      </w:r>
      <w:r>
        <w:rPr>
          <w:rFonts w:hint="default" w:ascii="Times New Roman" w:hAnsi="Times New Roman" w:eastAsia="宋体" w:cs="Times New Roman"/>
          <w:color w:val="FF0000"/>
          <w:sz w:val="24"/>
          <w:szCs w:val="24"/>
        </w:rPr>
        <w:t>0～300m不等。</w:t>
      </w:r>
      <w:r>
        <w:rPr>
          <w:rFonts w:hint="eastAsia" w:ascii="Times New Roman" w:hAnsi="Times New Roman" w:eastAsia="宋体" w:cs="Times New Roman"/>
          <w:color w:val="FF0000"/>
          <w:sz w:val="24"/>
          <w:szCs w:val="24"/>
          <w:lang w:eastAsia="zh-CN"/>
        </w:rPr>
        <w:t>截止</w:t>
      </w:r>
      <w:r>
        <w:rPr>
          <w:rFonts w:hint="eastAsia" w:ascii="Times New Roman" w:hAnsi="Times New Roman" w:eastAsia="宋体" w:cs="Times New Roman"/>
          <w:color w:val="FF0000"/>
          <w:sz w:val="24"/>
          <w:szCs w:val="24"/>
          <w:lang w:val="en-US" w:eastAsia="zh-CN"/>
        </w:rPr>
        <w:t>到2018年，</w:t>
      </w:r>
      <w:r>
        <w:rPr>
          <w:rFonts w:hint="default" w:ascii="Times New Roman" w:hAnsi="Times New Roman" w:eastAsia="宋体" w:cs="Times New Roman"/>
          <w:color w:val="FF0000"/>
          <w:sz w:val="24"/>
          <w:szCs w:val="24"/>
        </w:rPr>
        <w:t>矿山仅进行了小规模采矿，累计消耗资源量</w:t>
      </w:r>
      <w:r>
        <w:rPr>
          <w:rFonts w:hint="eastAsia" w:ascii="Times New Roman" w:hAnsi="Times New Roman" w:eastAsia="宋体" w:cs="Times New Roman"/>
          <w:color w:val="FF0000"/>
          <w:sz w:val="24"/>
          <w:szCs w:val="24"/>
          <w:lang w:eastAsia="zh-CN"/>
        </w:rPr>
        <w:t>约</w:t>
      </w:r>
      <w:r>
        <w:rPr>
          <w:rFonts w:hint="eastAsia" w:ascii="Times New Roman" w:hAnsi="Times New Roman" w:eastAsia="宋体" w:cs="Times New Roman"/>
          <w:color w:val="FF0000"/>
          <w:sz w:val="24"/>
          <w:szCs w:val="24"/>
          <w:lang w:val="en-US" w:eastAsia="zh-CN"/>
        </w:rPr>
        <w:t>3.5</w:t>
      </w:r>
      <w:r>
        <w:rPr>
          <w:rFonts w:hint="default" w:ascii="Times New Roman" w:hAnsi="Times New Roman" w:eastAsia="宋体" w:cs="Times New Roman"/>
          <w:color w:val="FF0000"/>
          <w:sz w:val="24"/>
          <w:szCs w:val="24"/>
        </w:rPr>
        <w:t>万吨</w:t>
      </w:r>
      <w:r>
        <w:rPr>
          <w:rFonts w:hint="eastAsia" w:ascii="Times New Roman" w:hAnsi="Times New Roman" w:eastAsia="宋体" w:cs="Times New Roman"/>
          <w:color w:val="FF0000"/>
          <w:sz w:val="24"/>
          <w:szCs w:val="24"/>
          <w:lang w:eastAsia="zh-CN"/>
        </w:rPr>
        <w:t>，未形成产能，</w:t>
      </w:r>
      <w:r>
        <w:rPr>
          <w:rFonts w:hint="eastAsia" w:ascii="Times New Roman" w:hAnsi="Times New Roman" w:eastAsia="宋体" w:cs="Times New Roman"/>
          <w:color w:val="FF0000"/>
          <w:sz w:val="24"/>
          <w:szCs w:val="24"/>
          <w:lang w:val="en-US" w:eastAsia="zh-CN"/>
        </w:rPr>
        <w:t>2018年至今矿山未开采</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PD710</w:t>
      </w:r>
      <w:r>
        <w:rPr>
          <w:rFonts w:hint="default" w:ascii="Times New Roman" w:hAnsi="Times New Roman" w:eastAsia="宋体" w:cs="Times New Roman"/>
          <w:color w:val="FF0000"/>
          <w:sz w:val="24"/>
          <w:szCs w:val="24"/>
        </w:rPr>
        <w:t>为探矿平硐。历年来采矿形成的弃渣</w:t>
      </w:r>
      <w:r>
        <w:rPr>
          <w:rFonts w:hint="eastAsia" w:ascii="Times New Roman" w:hAnsi="Times New Roman" w:eastAsia="宋体" w:cs="Times New Roman"/>
          <w:color w:val="FF0000"/>
          <w:sz w:val="24"/>
          <w:szCs w:val="24"/>
          <w:lang w:eastAsia="zh-CN"/>
        </w:rPr>
        <w:t>一</w:t>
      </w:r>
      <w:r>
        <w:rPr>
          <w:rFonts w:hint="default" w:ascii="Times New Roman" w:hAnsi="Times New Roman" w:eastAsia="宋体" w:cs="Times New Roman"/>
          <w:color w:val="FF0000"/>
          <w:sz w:val="24"/>
          <w:szCs w:val="24"/>
        </w:rPr>
        <w:t>部分用于矿区道路的铺垫和养护，大部分顺坡堆积于洞口下部</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共形成3个废石场</w:t>
      </w:r>
      <w:r>
        <w:rPr>
          <w:rFonts w:hint="default" w:ascii="Times New Roman" w:hAnsi="Times New Roman" w:eastAsia="宋体" w:cs="Times New Roman"/>
          <w:color w:val="FF0000"/>
          <w:sz w:val="24"/>
          <w:szCs w:val="24"/>
        </w:rPr>
        <w:t>，采空区仅局限于开采穿脉和延脉，面积不大。地表未发现岩石移动、地裂缝和地面塌陷现象。K2矿体由于交通运输不便，以及投入的探矿工程有限，至今未采矿。</w:t>
      </w:r>
    </w:p>
    <w:p>
      <w:pPr>
        <w:pStyle w:val="5"/>
        <w:rPr>
          <w:rFonts w:hint="eastAsia"/>
          <w:color w:val="000000" w:themeColor="text1"/>
          <w:lang w:val="en-US" w:eastAsia="zh-CN"/>
        </w:rPr>
      </w:pPr>
      <w:bookmarkStart w:id="177" w:name="_Toc25250_WPSOffice_Level3"/>
      <w:bookmarkStart w:id="178" w:name="_Toc15109"/>
      <w:r>
        <w:rPr>
          <w:rFonts w:hint="eastAsia"/>
          <w:color w:val="000000" w:themeColor="text1"/>
          <w:lang w:val="en-US" w:eastAsia="zh-CN"/>
        </w:rPr>
        <w:t>现有项目环境影响评价手续履行情况</w:t>
      </w:r>
      <w:bookmarkEnd w:id="177"/>
      <w:bookmarkEnd w:id="178"/>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现有项目于2008年进行了现有项目的环境影响评价，并与当年取得环评批复（旬环保函</w:t>
      </w:r>
      <w:r>
        <w:rPr>
          <w:rFonts w:hint="eastAsia" w:ascii="黑体" w:hAnsi="黑体" w:eastAsia="黑体" w:cs="黑体"/>
          <w:color w:val="000000" w:themeColor="text1"/>
          <w:sz w:val="24"/>
          <w:szCs w:val="24"/>
        </w:rPr>
        <w:t>〔</w:t>
      </w:r>
      <w:r>
        <w:rPr>
          <w:rFonts w:hint="default" w:ascii="Times New Roman" w:hAnsi="Times New Roman" w:eastAsia="宋体" w:cs="Times New Roman"/>
          <w:color w:val="000000" w:themeColor="text1"/>
          <w:sz w:val="24"/>
          <w:szCs w:val="24"/>
        </w:rPr>
        <w:t>2008</w:t>
      </w:r>
      <w:r>
        <w:rPr>
          <w:rFonts w:hint="eastAsia" w:ascii="黑体" w:hAnsi="黑体" w:eastAsia="黑体" w:cs="黑体"/>
          <w:color w:val="000000" w:themeColor="text1"/>
          <w:sz w:val="24"/>
          <w:szCs w:val="24"/>
        </w:rPr>
        <w:t>〕</w:t>
      </w:r>
      <w:r>
        <w:rPr>
          <w:rFonts w:hint="default" w:ascii="Times New Roman" w:hAnsi="Times New Roman" w:eastAsia="宋体" w:cs="Times New Roman"/>
          <w:color w:val="000000" w:themeColor="text1"/>
          <w:sz w:val="24"/>
          <w:szCs w:val="24"/>
        </w:rPr>
        <w:t>66号），详见附件7</w:t>
      </w:r>
      <w:r>
        <w:rPr>
          <w:rFonts w:hint="eastAsia" w:ascii="Times New Roman" w:hAnsi="Times New Roman" w:eastAsia="宋体" w:cs="Times New Roman"/>
          <w:color w:val="000000" w:themeColor="text1"/>
          <w:sz w:val="24"/>
          <w:szCs w:val="24"/>
          <w:lang w:eastAsia="zh-CN"/>
        </w:rPr>
        <w:t>；本项目于</w:t>
      </w:r>
      <w:r>
        <w:rPr>
          <w:rFonts w:hint="eastAsia" w:ascii="Times New Roman" w:hAnsi="Times New Roman" w:eastAsia="宋体" w:cs="Times New Roman"/>
          <w:color w:val="000000" w:themeColor="text1"/>
          <w:sz w:val="24"/>
          <w:szCs w:val="24"/>
          <w:lang w:val="en-US" w:eastAsia="zh-CN"/>
        </w:rPr>
        <w:t>2020年5月进行了排污许可登记，登记回执单详见附件12；本项目于2022年8月11日完成企业事业单位突发环境事件应急预案备案，备案表详见附件15。</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FF0000"/>
          <w:sz w:val="24"/>
          <w:szCs w:val="24"/>
        </w:rPr>
        <w:t>2001年9月，旬阳县矿产资源管理局为旬阳县金城矿业有限公司首次颁发了赤岩毒重石矿采矿许可证</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2009年3月25日，安康市国土资源局将旬阳县金城矿业有限公司（采矿许可证号：6124290730007）和旬阳县赤岩镇大磨沟重晶石矿（采矿许可证号：6124290510002）进行整合</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旬阳恒欣矿业有限公司</w:t>
      </w:r>
      <w:r>
        <w:rPr>
          <w:rFonts w:hint="default" w:ascii="Times New Roman" w:hAnsi="Times New Roman" w:eastAsia="宋体" w:cs="Times New Roman"/>
          <w:color w:val="FF0000"/>
          <w:sz w:val="24"/>
          <w:szCs w:val="24"/>
        </w:rPr>
        <w:t>旬阳县赤岩镇大磨沟重晶石矿</w:t>
      </w:r>
      <w:r>
        <w:rPr>
          <w:rFonts w:hint="eastAsia" w:ascii="Times New Roman" w:hAnsi="Times New Roman" w:eastAsia="宋体" w:cs="Times New Roman"/>
          <w:color w:val="FF0000"/>
          <w:sz w:val="24"/>
          <w:szCs w:val="24"/>
          <w:lang w:val="en-US" w:eastAsia="zh-CN"/>
        </w:rPr>
        <w:t>于2007年12月14日取得采矿许可证，2008年初进行环评，2008年9月19日旬阳县环保局下发了本项目的环评批复。本项目不存在未批先建的情形。</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vertAlign w:val="baseline"/>
          <w:lang w:val="en-US" w:eastAsia="zh-CN"/>
        </w:rPr>
        <w:t>本项目于2008年9月19日取得环评批复，当时产能为3万吨/a，</w:t>
      </w:r>
      <w:r>
        <w:rPr>
          <w:rFonts w:hint="eastAsia" w:ascii="Times New Roman" w:hAnsi="Times New Roman" w:eastAsia="宋体" w:cs="Times New Roman"/>
          <w:color w:val="FF0000"/>
          <w:sz w:val="24"/>
          <w:szCs w:val="24"/>
          <w:vertAlign w:val="baseline"/>
          <w:lang w:val="en-US" w:eastAsia="zh-CN"/>
        </w:rPr>
        <w:t>2015年的开发利用方案中表明当时开采资源量为2.02万吨；</w:t>
      </w:r>
      <w:r>
        <w:rPr>
          <w:rFonts w:hint="default" w:ascii="Times New Roman" w:hAnsi="Times New Roman" w:eastAsia="宋体" w:cs="Times New Roman"/>
          <w:color w:val="FF0000"/>
          <w:sz w:val="24"/>
          <w:szCs w:val="24"/>
          <w:vertAlign w:val="baseline"/>
          <w:lang w:val="en-US" w:eastAsia="zh-CN"/>
        </w:rPr>
        <w:t>2018年2月停产，</w:t>
      </w:r>
      <w:r>
        <w:rPr>
          <w:rFonts w:hint="eastAsia" w:ascii="Times New Roman" w:hAnsi="Times New Roman" w:eastAsia="宋体" w:cs="Times New Roman"/>
          <w:color w:val="FF0000"/>
          <w:sz w:val="24"/>
          <w:szCs w:val="24"/>
          <w:vertAlign w:val="baseline"/>
          <w:lang w:val="en-US" w:eastAsia="zh-CN"/>
        </w:rPr>
        <w:t>此时的总</w:t>
      </w:r>
      <w:r>
        <w:rPr>
          <w:rFonts w:hint="default" w:ascii="Times New Roman" w:hAnsi="Times New Roman" w:eastAsia="宋体" w:cs="Times New Roman"/>
          <w:color w:val="FF0000"/>
          <w:sz w:val="24"/>
          <w:szCs w:val="24"/>
          <w:vertAlign w:val="baseline"/>
          <w:lang w:val="en-US" w:eastAsia="zh-CN"/>
        </w:rPr>
        <w:t>开采量约为</w:t>
      </w:r>
      <w:r>
        <w:rPr>
          <w:rFonts w:hint="eastAsia" w:ascii="Times New Roman" w:hAnsi="Times New Roman" w:eastAsia="宋体" w:cs="Times New Roman"/>
          <w:color w:val="FF0000"/>
          <w:sz w:val="24"/>
          <w:szCs w:val="24"/>
          <w:vertAlign w:val="baseline"/>
          <w:lang w:val="en-US" w:eastAsia="zh-CN"/>
        </w:rPr>
        <w:t>3.5</w:t>
      </w:r>
      <w:r>
        <w:rPr>
          <w:rFonts w:hint="default" w:ascii="Times New Roman" w:hAnsi="Times New Roman" w:eastAsia="宋体" w:cs="Times New Roman"/>
          <w:color w:val="FF0000"/>
          <w:sz w:val="24"/>
          <w:szCs w:val="24"/>
          <w:vertAlign w:val="baseline"/>
          <w:lang w:val="en-US" w:eastAsia="zh-CN"/>
        </w:rPr>
        <w:t>万吨，主要为探矿平硐的掘进，矿硐未进行规模</w:t>
      </w:r>
      <w:r>
        <w:rPr>
          <w:rFonts w:hint="eastAsia" w:ascii="Times New Roman" w:hAnsi="Times New Roman" w:eastAsia="宋体" w:cs="Times New Roman"/>
          <w:color w:val="FF0000"/>
          <w:sz w:val="24"/>
          <w:szCs w:val="24"/>
          <w:vertAlign w:val="baseline"/>
          <w:lang w:val="en-US" w:eastAsia="zh-CN"/>
        </w:rPr>
        <w:t>性</w:t>
      </w:r>
      <w:r>
        <w:rPr>
          <w:rFonts w:hint="default" w:ascii="Times New Roman" w:hAnsi="Times New Roman" w:eastAsia="宋体" w:cs="Times New Roman"/>
          <w:color w:val="FF0000"/>
          <w:sz w:val="24"/>
          <w:szCs w:val="24"/>
          <w:vertAlign w:val="baseline"/>
          <w:lang w:val="en-US" w:eastAsia="zh-CN"/>
        </w:rPr>
        <w:t>生产。</w:t>
      </w:r>
      <w:r>
        <w:rPr>
          <w:rFonts w:hint="eastAsia" w:ascii="Times New Roman" w:hAnsi="Times New Roman" w:eastAsia="宋体" w:cs="Times New Roman"/>
          <w:color w:val="FF0000"/>
          <w:sz w:val="24"/>
          <w:szCs w:val="24"/>
          <w:vertAlign w:val="baseline"/>
          <w:lang w:val="en-US" w:eastAsia="zh-CN"/>
        </w:rPr>
        <w:t>2018年至今尚未开采。</w:t>
      </w:r>
      <w:r>
        <w:rPr>
          <w:rFonts w:hint="default" w:ascii="Times New Roman" w:hAnsi="Times New Roman" w:eastAsia="宋体" w:cs="Times New Roman"/>
          <w:color w:val="FF0000"/>
          <w:sz w:val="24"/>
          <w:szCs w:val="24"/>
          <w:vertAlign w:val="baseline"/>
          <w:lang w:val="en-US" w:eastAsia="zh-CN"/>
        </w:rPr>
        <w:t>期间由于需要对资源进行整合，将原来3万吨/a的产能扩大至5万吨/a，自取得环评批复至2018年停产期间，采矿</w:t>
      </w:r>
      <w:r>
        <w:rPr>
          <w:rFonts w:hint="eastAsia" w:ascii="Times New Roman" w:hAnsi="Times New Roman" w:eastAsia="宋体" w:cs="Times New Roman"/>
          <w:color w:val="FF0000"/>
          <w:sz w:val="24"/>
          <w:szCs w:val="24"/>
          <w:vertAlign w:val="baseline"/>
          <w:lang w:val="en-US" w:eastAsia="zh-CN"/>
        </w:rPr>
        <w:t>活动</w:t>
      </w:r>
      <w:r>
        <w:rPr>
          <w:rFonts w:hint="default" w:ascii="Times New Roman" w:hAnsi="Times New Roman" w:eastAsia="宋体" w:cs="Times New Roman"/>
          <w:color w:val="FF0000"/>
          <w:sz w:val="24"/>
          <w:szCs w:val="24"/>
          <w:vertAlign w:val="baseline"/>
          <w:lang w:val="en-US" w:eastAsia="zh-CN"/>
        </w:rPr>
        <w:t>时采时停，</w:t>
      </w:r>
      <w:r>
        <w:rPr>
          <w:rFonts w:hint="eastAsia" w:ascii="Times New Roman" w:hAnsi="Times New Roman" w:eastAsia="宋体" w:cs="Times New Roman"/>
          <w:color w:val="FF0000"/>
          <w:sz w:val="24"/>
          <w:szCs w:val="24"/>
          <w:vertAlign w:val="baseline"/>
          <w:lang w:val="en-US" w:eastAsia="zh-CN"/>
        </w:rPr>
        <w:t>加上期间资金运转问题，</w:t>
      </w:r>
      <w:r>
        <w:rPr>
          <w:rFonts w:hint="default" w:ascii="Times New Roman" w:hAnsi="Times New Roman" w:eastAsia="宋体" w:cs="Times New Roman"/>
          <w:color w:val="FF0000"/>
          <w:sz w:val="24"/>
          <w:szCs w:val="24"/>
          <w:vertAlign w:val="baseline"/>
          <w:lang w:val="en-US" w:eastAsia="zh-CN"/>
        </w:rPr>
        <w:t>未正式投入</w:t>
      </w:r>
      <w:r>
        <w:rPr>
          <w:rFonts w:hint="eastAsia" w:ascii="Times New Roman" w:hAnsi="Times New Roman" w:eastAsia="宋体" w:cs="Times New Roman"/>
          <w:color w:val="FF0000"/>
          <w:sz w:val="24"/>
          <w:szCs w:val="24"/>
          <w:vertAlign w:val="baseline"/>
          <w:lang w:val="en-US" w:eastAsia="zh-CN"/>
        </w:rPr>
        <w:t>试</w:t>
      </w:r>
      <w:r>
        <w:rPr>
          <w:rFonts w:hint="default" w:ascii="Times New Roman" w:hAnsi="Times New Roman" w:eastAsia="宋体" w:cs="Times New Roman"/>
          <w:color w:val="FF0000"/>
          <w:sz w:val="24"/>
          <w:szCs w:val="24"/>
          <w:vertAlign w:val="baseline"/>
          <w:lang w:val="en-US" w:eastAsia="zh-CN"/>
        </w:rPr>
        <w:t>运营，故</w:t>
      </w:r>
      <w:r>
        <w:rPr>
          <w:rFonts w:hint="eastAsia" w:ascii="Times New Roman" w:hAnsi="Times New Roman" w:eastAsia="宋体" w:cs="Times New Roman"/>
          <w:color w:val="FF0000"/>
          <w:sz w:val="24"/>
          <w:szCs w:val="24"/>
          <w:vertAlign w:val="baseline"/>
          <w:lang w:val="en-US" w:eastAsia="zh-CN"/>
        </w:rPr>
        <w:t>未</w:t>
      </w:r>
      <w:r>
        <w:rPr>
          <w:rFonts w:hint="default" w:ascii="Times New Roman" w:hAnsi="Times New Roman" w:eastAsia="宋体" w:cs="Times New Roman"/>
          <w:color w:val="FF0000"/>
          <w:sz w:val="24"/>
          <w:szCs w:val="24"/>
          <w:vertAlign w:val="baseline"/>
          <w:lang w:val="en-US" w:eastAsia="zh-CN"/>
        </w:rPr>
        <w:t>对3万吨/a产能的报告表进行验收，自2018年至今，由于矿山一直处于停产状态，无法验收，故不存在</w:t>
      </w:r>
      <w:r>
        <w:rPr>
          <w:rFonts w:hint="eastAsia" w:ascii="Times New Roman" w:hAnsi="Times New Roman" w:eastAsia="宋体" w:cs="Times New Roman"/>
          <w:color w:val="FF0000"/>
          <w:sz w:val="24"/>
          <w:szCs w:val="24"/>
          <w:vertAlign w:val="baseline"/>
          <w:lang w:val="en-US" w:eastAsia="zh-CN"/>
        </w:rPr>
        <w:t>“</w:t>
      </w:r>
      <w:r>
        <w:rPr>
          <w:rFonts w:hint="default" w:ascii="Times New Roman" w:hAnsi="Times New Roman" w:eastAsia="宋体" w:cs="Times New Roman"/>
          <w:color w:val="FF0000"/>
          <w:sz w:val="24"/>
          <w:szCs w:val="24"/>
          <w:vertAlign w:val="baseline"/>
          <w:lang w:val="en-US" w:eastAsia="zh-CN"/>
        </w:rPr>
        <w:t>未验先投</w:t>
      </w:r>
      <w:r>
        <w:rPr>
          <w:rFonts w:hint="eastAsia" w:ascii="Times New Roman" w:hAnsi="Times New Roman" w:eastAsia="宋体" w:cs="Times New Roman"/>
          <w:color w:val="FF0000"/>
          <w:sz w:val="24"/>
          <w:szCs w:val="24"/>
          <w:vertAlign w:val="baseline"/>
          <w:lang w:val="en-US" w:eastAsia="zh-CN"/>
        </w:rPr>
        <w:t>”</w:t>
      </w:r>
      <w:r>
        <w:rPr>
          <w:rFonts w:hint="default" w:ascii="Times New Roman" w:hAnsi="Times New Roman" w:eastAsia="宋体" w:cs="Times New Roman"/>
          <w:color w:val="FF0000"/>
          <w:sz w:val="24"/>
          <w:szCs w:val="24"/>
          <w:vertAlign w:val="baseline"/>
          <w:lang w:val="en-US" w:eastAsia="zh-CN"/>
        </w:rPr>
        <w:t>的情况。</w:t>
      </w:r>
    </w:p>
    <w:p>
      <w:pPr>
        <w:pStyle w:val="5"/>
        <w:rPr>
          <w:rFonts w:hint="eastAsia"/>
          <w:color w:val="000000" w:themeColor="text1"/>
          <w:lang w:val="en-US" w:eastAsia="zh-CN"/>
        </w:rPr>
      </w:pPr>
      <w:bookmarkStart w:id="179" w:name="_Toc7570_WPSOffice_Level3"/>
      <w:bookmarkStart w:id="180" w:name="_Toc7671"/>
      <w:r>
        <w:rPr>
          <w:rFonts w:hint="eastAsia"/>
          <w:color w:val="000000" w:themeColor="text1"/>
          <w:lang w:val="en-US" w:eastAsia="zh-CN"/>
        </w:rPr>
        <w:t>现有项目主要生产设备</w:t>
      </w:r>
      <w:bookmarkEnd w:id="179"/>
      <w:bookmarkEnd w:id="180"/>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现有工程使用的生产设备见下表</w:t>
      </w:r>
      <w:r>
        <w:rPr>
          <w:rFonts w:hint="eastAsia" w:ascii="Times New Roman" w:hAnsi="Times New Roman" w:eastAsia="宋体" w:cs="Times New Roman"/>
          <w:color w:val="000000" w:themeColor="text1"/>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0" w:firstLineChars="0"/>
        <w:jc w:val="center"/>
        <w:textAlignment w:val="auto"/>
        <w:rPr>
          <w:rFonts w:hint="eastAsia" w:ascii="Times New Roman" w:hAnsi="Times New Roman" w:eastAsia="宋体" w:cs="Times New Roman"/>
          <w:b/>
          <w:bCs w:val="0"/>
          <w:color w:val="000000" w:themeColor="text1"/>
          <w:sz w:val="21"/>
          <w:szCs w:val="21"/>
          <w:lang w:val="en-US" w:eastAsia="zh-CN"/>
        </w:rPr>
      </w:pPr>
      <w:r>
        <w:rPr>
          <w:rFonts w:hint="default" w:ascii="Times New Roman" w:hAnsi="Times New Roman" w:eastAsia="宋体" w:cs="Times New Roman"/>
          <w:b/>
          <w:bCs w:val="0"/>
          <w:color w:val="000000" w:themeColor="text1"/>
          <w:sz w:val="21"/>
          <w:szCs w:val="21"/>
        </w:rPr>
        <w:t>表3.</w:t>
      </w:r>
      <w:r>
        <w:rPr>
          <w:rFonts w:hint="eastAsia" w:ascii="Times New Roman" w:hAnsi="Times New Roman" w:eastAsia="宋体" w:cs="Times New Roman"/>
          <w:b/>
          <w:bCs w:val="0"/>
          <w:color w:val="000000" w:themeColor="text1"/>
          <w:sz w:val="21"/>
          <w:szCs w:val="21"/>
          <w:lang w:val="en-US" w:eastAsia="zh-CN"/>
        </w:rPr>
        <w:t>1</w:t>
      </w:r>
      <w:r>
        <w:rPr>
          <w:rFonts w:hint="default" w:ascii="Times New Roman" w:hAnsi="Times New Roman" w:eastAsia="宋体" w:cs="Times New Roman"/>
          <w:b/>
          <w:bCs w:val="0"/>
          <w:color w:val="000000" w:themeColor="text1"/>
          <w:sz w:val="21"/>
          <w:szCs w:val="21"/>
        </w:rPr>
        <w:t>-2  现有主要生产设备</w:t>
      </w:r>
      <w:r>
        <w:rPr>
          <w:rFonts w:hint="eastAsia" w:ascii="Times New Roman" w:hAnsi="Times New Roman" w:eastAsia="宋体" w:cs="Times New Roman"/>
          <w:b/>
          <w:bCs w:val="0"/>
          <w:color w:val="000000" w:themeColor="text1"/>
          <w:sz w:val="21"/>
          <w:szCs w:val="21"/>
          <w:lang w:val="en-US" w:eastAsia="zh-CN"/>
        </w:rPr>
        <w:t xml:space="preserve">      </w:t>
      </w:r>
    </w:p>
    <w:tbl>
      <w:tblPr>
        <w:tblStyle w:val="40"/>
        <w:tblW w:w="899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812"/>
        <w:gridCol w:w="2239"/>
        <w:gridCol w:w="945"/>
        <w:gridCol w:w="1360"/>
        <w:gridCol w:w="18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30"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序号</w:t>
            </w:r>
          </w:p>
        </w:tc>
        <w:tc>
          <w:tcPr>
            <w:tcW w:w="1812"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名称</w:t>
            </w:r>
          </w:p>
        </w:tc>
        <w:tc>
          <w:tcPr>
            <w:tcW w:w="2239"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规格型号</w:t>
            </w:r>
          </w:p>
        </w:tc>
        <w:tc>
          <w:tcPr>
            <w:tcW w:w="945"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单位</w:t>
            </w:r>
          </w:p>
        </w:tc>
        <w:tc>
          <w:tcPr>
            <w:tcW w:w="1360"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数量</w:t>
            </w:r>
          </w:p>
        </w:tc>
        <w:tc>
          <w:tcPr>
            <w:tcW w:w="1809"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30"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w:t>
            </w:r>
          </w:p>
        </w:tc>
        <w:tc>
          <w:tcPr>
            <w:tcW w:w="1812"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空压机</w:t>
            </w:r>
          </w:p>
        </w:tc>
        <w:tc>
          <w:tcPr>
            <w:tcW w:w="2239"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t>活塞式空压机</w:t>
            </w:r>
          </w:p>
        </w:tc>
        <w:tc>
          <w:tcPr>
            <w:tcW w:w="945"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台</w:t>
            </w:r>
          </w:p>
        </w:tc>
        <w:tc>
          <w:tcPr>
            <w:tcW w:w="1360"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default" w:ascii="Times New Roman" w:hAnsi="Times New Roman" w:eastAsia="宋体" w:cs="Times New Roman"/>
                <w:color w:val="000000" w:themeColor="text1"/>
                <w:szCs w:val="21"/>
              </w:rPr>
              <w:t>2</w:t>
            </w:r>
            <w:r>
              <w:rPr>
                <w:rFonts w:hint="eastAsia" w:ascii="Times New Roman" w:hAnsi="Times New Roman" w:eastAsia="宋体" w:cs="Times New Roman"/>
                <w:color w:val="000000" w:themeColor="text1"/>
                <w:szCs w:val="21"/>
                <w:lang w:eastAsia="zh-CN"/>
              </w:rPr>
              <w:t>（</w:t>
            </w:r>
            <w:r>
              <w:rPr>
                <w:rFonts w:hint="default" w:ascii="Times New Roman" w:hAnsi="Times New Roman" w:eastAsia="宋体" w:cs="Times New Roman"/>
                <w:color w:val="000000" w:themeColor="text1"/>
                <w:szCs w:val="21"/>
              </w:rPr>
              <w:t>1用1备</w:t>
            </w:r>
            <w:r>
              <w:rPr>
                <w:rFonts w:hint="eastAsia" w:ascii="Times New Roman" w:hAnsi="Times New Roman" w:eastAsia="宋体" w:cs="Times New Roman"/>
                <w:color w:val="000000" w:themeColor="text1"/>
                <w:szCs w:val="21"/>
                <w:lang w:eastAsia="zh-CN"/>
              </w:rPr>
              <w:t>）</w:t>
            </w:r>
          </w:p>
        </w:tc>
        <w:tc>
          <w:tcPr>
            <w:tcW w:w="1809"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t>淘汰，需新增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0"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2</w:t>
            </w:r>
          </w:p>
        </w:tc>
        <w:tc>
          <w:tcPr>
            <w:tcW w:w="1812"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主扇风机</w:t>
            </w:r>
          </w:p>
        </w:tc>
        <w:tc>
          <w:tcPr>
            <w:tcW w:w="2239"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FKZ-№10型</w:t>
            </w:r>
          </w:p>
        </w:tc>
        <w:tc>
          <w:tcPr>
            <w:tcW w:w="945"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台</w:t>
            </w:r>
          </w:p>
        </w:tc>
        <w:tc>
          <w:tcPr>
            <w:tcW w:w="1360"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w:t>
            </w:r>
          </w:p>
        </w:tc>
        <w:tc>
          <w:tcPr>
            <w:tcW w:w="180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0"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3</w:t>
            </w:r>
          </w:p>
        </w:tc>
        <w:tc>
          <w:tcPr>
            <w:tcW w:w="1812"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t>局扇</w:t>
            </w:r>
          </w:p>
        </w:tc>
        <w:tc>
          <w:tcPr>
            <w:tcW w:w="223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c>
          <w:tcPr>
            <w:tcW w:w="945"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t>台</w:t>
            </w:r>
          </w:p>
        </w:tc>
        <w:tc>
          <w:tcPr>
            <w:tcW w:w="1360"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2</w:t>
            </w:r>
          </w:p>
        </w:tc>
        <w:tc>
          <w:tcPr>
            <w:tcW w:w="180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30"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4</w:t>
            </w:r>
          </w:p>
        </w:tc>
        <w:tc>
          <w:tcPr>
            <w:tcW w:w="1812" w:type="dxa"/>
            <w:tcBorders>
              <w:tl2br w:val="nil"/>
              <w:tr2bl w:val="nil"/>
            </w:tcBorders>
          </w:tcPr>
          <w:p>
            <w:pPr>
              <w:pStyle w:val="42"/>
              <w:adjustRightIn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凿岩机</w:t>
            </w:r>
          </w:p>
        </w:tc>
        <w:tc>
          <w:tcPr>
            <w:tcW w:w="2239" w:type="dxa"/>
            <w:tcBorders>
              <w:tl2br w:val="nil"/>
              <w:tr2bl w:val="nil"/>
            </w:tcBorders>
          </w:tcPr>
          <w:p>
            <w:pPr>
              <w:pStyle w:val="42"/>
              <w:adjustRightInd w:val="0"/>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YSP-45型</w:t>
            </w:r>
          </w:p>
        </w:tc>
        <w:tc>
          <w:tcPr>
            <w:tcW w:w="945"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台</w:t>
            </w:r>
          </w:p>
        </w:tc>
        <w:tc>
          <w:tcPr>
            <w:tcW w:w="1360"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2</w:t>
            </w:r>
          </w:p>
        </w:tc>
        <w:tc>
          <w:tcPr>
            <w:tcW w:w="180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30"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5</w:t>
            </w:r>
          </w:p>
        </w:tc>
        <w:tc>
          <w:tcPr>
            <w:tcW w:w="1812"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装载机</w:t>
            </w:r>
          </w:p>
        </w:tc>
        <w:tc>
          <w:tcPr>
            <w:tcW w:w="2239"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柳工30</w:t>
            </w:r>
          </w:p>
        </w:tc>
        <w:tc>
          <w:tcPr>
            <w:tcW w:w="945"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台</w:t>
            </w:r>
          </w:p>
        </w:tc>
        <w:tc>
          <w:tcPr>
            <w:tcW w:w="1360" w:type="dxa"/>
            <w:tcBorders>
              <w:tl2br w:val="nil"/>
              <w:tr2bl w:val="nil"/>
            </w:tcBorders>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w:t>
            </w:r>
          </w:p>
        </w:tc>
        <w:tc>
          <w:tcPr>
            <w:tcW w:w="180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30" w:type="dxa"/>
            <w:tcBorders>
              <w:tl2br w:val="nil"/>
              <w:tr2bl w:val="nil"/>
            </w:tcBorders>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6</w:t>
            </w:r>
          </w:p>
        </w:tc>
        <w:tc>
          <w:tcPr>
            <w:tcW w:w="1812" w:type="dxa"/>
            <w:tcBorders>
              <w:tl2br w:val="nil"/>
              <w:tr2bl w:val="nil"/>
            </w:tcBorders>
            <w:vAlign w:val="top"/>
          </w:tcPr>
          <w:p>
            <w:pPr>
              <w:pStyle w:val="42"/>
              <w:adjustRightInd w:val="0"/>
              <w:rPr>
                <w:rFonts w:hint="eastAsia" w:ascii="Times New Roman" w:hAnsi="Times New Roman" w:eastAsia="宋体" w:cs="Times New Roman"/>
                <w:color w:val="000000" w:themeColor="text1"/>
                <w:szCs w:val="21"/>
                <w:lang w:eastAsia="zh-CN"/>
              </w:rPr>
            </w:pPr>
            <w:r>
              <w:rPr>
                <w:rFonts w:hint="default" w:ascii="Times New Roman" w:hAnsi="Times New Roman" w:eastAsia="宋体" w:cs="Times New Roman"/>
                <w:color w:val="000000" w:themeColor="text1"/>
                <w:szCs w:val="21"/>
              </w:rPr>
              <w:t>柴油三轮车</w:t>
            </w:r>
          </w:p>
        </w:tc>
        <w:tc>
          <w:tcPr>
            <w:tcW w:w="2239" w:type="dxa"/>
            <w:tcBorders>
              <w:tl2br w:val="nil"/>
              <w:tr2bl w:val="nil"/>
            </w:tcBorders>
            <w:vAlign w:val="top"/>
          </w:tcPr>
          <w:p>
            <w:pPr>
              <w:pStyle w:val="42"/>
              <w:adjustRightInd w:val="0"/>
              <w:rPr>
                <w:rFonts w:hint="eastAsia" w:ascii="Times New Roman" w:hAnsi="Times New Roman" w:eastAsia="宋体" w:cs="Times New Roman"/>
                <w:color w:val="000000" w:themeColor="text1"/>
                <w:szCs w:val="21"/>
                <w:lang w:eastAsia="zh-CN"/>
              </w:rPr>
            </w:pPr>
            <w:r>
              <w:rPr>
                <w:rFonts w:hint="default" w:ascii="Times New Roman" w:hAnsi="Times New Roman" w:eastAsia="宋体" w:cs="Times New Roman"/>
                <w:color w:val="000000" w:themeColor="text1"/>
                <w:szCs w:val="21"/>
              </w:rPr>
              <w:t>7YP-1450B115</w:t>
            </w:r>
          </w:p>
        </w:tc>
        <w:tc>
          <w:tcPr>
            <w:tcW w:w="945" w:type="dxa"/>
            <w:tcBorders>
              <w:tl2br w:val="nil"/>
              <w:tr2bl w:val="nil"/>
            </w:tcBorders>
            <w:vAlign w:val="top"/>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台</w:t>
            </w:r>
          </w:p>
        </w:tc>
        <w:tc>
          <w:tcPr>
            <w:tcW w:w="1360" w:type="dxa"/>
            <w:tcBorders>
              <w:tl2br w:val="nil"/>
              <w:tr2bl w:val="nil"/>
            </w:tcBorders>
            <w:vAlign w:val="top"/>
          </w:tcPr>
          <w:p>
            <w:pPr>
              <w:pStyle w:val="42"/>
              <w:adjustRightInd w:val="0"/>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2</w:t>
            </w:r>
          </w:p>
        </w:tc>
        <w:tc>
          <w:tcPr>
            <w:tcW w:w="1809" w:type="dxa"/>
            <w:tcBorders>
              <w:tl2br w:val="nil"/>
              <w:tr2bl w:val="nil"/>
            </w:tcBorders>
            <w:vAlign w:val="top"/>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30"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w:t>
            </w:r>
          </w:p>
        </w:tc>
        <w:tc>
          <w:tcPr>
            <w:tcW w:w="1812" w:type="dxa"/>
            <w:tcBorders>
              <w:tl2br w:val="nil"/>
              <w:tr2bl w:val="nil"/>
            </w:tcBorders>
            <w:vAlign w:val="top"/>
          </w:tcPr>
          <w:p>
            <w:pPr>
              <w:pStyle w:val="42"/>
              <w:adjustRightInd w:val="0"/>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val="en-US" w:eastAsia="zh-CN"/>
              </w:rPr>
              <w:t>自卸式汽车</w:t>
            </w:r>
          </w:p>
        </w:tc>
        <w:tc>
          <w:tcPr>
            <w:tcW w:w="2239" w:type="dxa"/>
            <w:tcBorders>
              <w:tl2br w:val="nil"/>
              <w:tr2bl w:val="nil"/>
            </w:tcBorders>
            <w:vAlign w:val="top"/>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c>
          <w:tcPr>
            <w:tcW w:w="945" w:type="dxa"/>
            <w:tcBorders>
              <w:tl2br w:val="nil"/>
              <w:tr2bl w:val="nil"/>
            </w:tcBorders>
            <w:vAlign w:val="top"/>
          </w:tcPr>
          <w:p>
            <w:pPr>
              <w:pStyle w:val="42"/>
              <w:adjustRightInd w:val="0"/>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台</w:t>
            </w:r>
          </w:p>
        </w:tc>
        <w:tc>
          <w:tcPr>
            <w:tcW w:w="1360" w:type="dxa"/>
            <w:tcBorders>
              <w:tl2br w:val="nil"/>
              <w:tr2bl w:val="nil"/>
            </w:tcBorders>
            <w:vAlign w:val="top"/>
          </w:tcPr>
          <w:p>
            <w:pPr>
              <w:pStyle w:val="42"/>
              <w:adjustRightInd w:val="0"/>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w:t>
            </w:r>
          </w:p>
        </w:tc>
        <w:tc>
          <w:tcPr>
            <w:tcW w:w="1809" w:type="dxa"/>
            <w:tcBorders>
              <w:tl2br w:val="nil"/>
              <w:tr2bl w:val="nil"/>
            </w:tcBorders>
            <w:vAlign w:val="top"/>
          </w:tcPr>
          <w:p>
            <w:pPr>
              <w:pStyle w:val="42"/>
              <w:adjustRightInd w:val="0"/>
              <w:jc w:val="center"/>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30"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w:t>
            </w:r>
          </w:p>
        </w:tc>
        <w:tc>
          <w:tcPr>
            <w:tcW w:w="1812" w:type="dxa"/>
            <w:tcBorders>
              <w:tl2br w:val="nil"/>
              <w:tr2bl w:val="nil"/>
            </w:tcBorders>
          </w:tcPr>
          <w:p>
            <w:pPr>
              <w:pStyle w:val="42"/>
              <w:adjustRightInd w:val="0"/>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自卸式汽车</w:t>
            </w:r>
          </w:p>
        </w:tc>
        <w:tc>
          <w:tcPr>
            <w:tcW w:w="223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c>
          <w:tcPr>
            <w:tcW w:w="945"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台</w:t>
            </w:r>
          </w:p>
        </w:tc>
        <w:tc>
          <w:tcPr>
            <w:tcW w:w="1360"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2</w:t>
            </w:r>
          </w:p>
        </w:tc>
        <w:tc>
          <w:tcPr>
            <w:tcW w:w="1809" w:type="dxa"/>
            <w:tcBorders>
              <w:tl2br w:val="nil"/>
              <w:tr2bl w:val="nil"/>
            </w:tcBorders>
          </w:tcPr>
          <w:p>
            <w:pPr>
              <w:pStyle w:val="42"/>
              <w:adjustRightInd w:val="0"/>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w:t>
            </w:r>
          </w:p>
        </w:tc>
      </w:tr>
    </w:tbl>
    <w:p>
      <w:pPr>
        <w:rPr>
          <w:rFonts w:hint="eastAsia"/>
          <w:color w:val="FF0000"/>
          <w:lang w:eastAsia="zh-CN"/>
        </w:rPr>
      </w:pPr>
    </w:p>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bookmarkStart w:id="181" w:name="_Toc24596_WPSOffice_Level3"/>
      <w:bookmarkStart w:id="182" w:name="_Toc17216"/>
      <w:r>
        <w:rPr>
          <w:rFonts w:hint="eastAsia"/>
          <w:color w:val="000000" w:themeColor="text1"/>
          <w:lang w:val="en-US" w:eastAsia="zh-CN"/>
        </w:rPr>
        <w:t>现有项目原辅材料用量情况</w:t>
      </w:r>
      <w:bookmarkEnd w:id="181"/>
      <w:bookmarkEnd w:id="182"/>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000000" w:themeColor="text1"/>
          <w:kern w:val="28"/>
          <w:sz w:val="21"/>
          <w:szCs w:val="21"/>
        </w:rPr>
      </w:pPr>
      <w:bookmarkStart w:id="183" w:name="_Toc26227"/>
      <w:r>
        <w:rPr>
          <w:rFonts w:hint="default" w:ascii="Times New Roman" w:hAnsi="Times New Roman" w:eastAsia="宋体" w:cs="Times New Roman"/>
          <w:b/>
          <w:bCs w:val="0"/>
          <w:color w:val="000000" w:themeColor="text1"/>
          <w:kern w:val="28"/>
          <w:sz w:val="21"/>
          <w:szCs w:val="21"/>
        </w:rPr>
        <w:t>表3.</w:t>
      </w:r>
      <w:r>
        <w:rPr>
          <w:rFonts w:hint="eastAsia" w:ascii="Times New Roman" w:hAnsi="Times New Roman" w:eastAsia="宋体" w:cs="Times New Roman"/>
          <w:b/>
          <w:bCs w:val="0"/>
          <w:color w:val="000000" w:themeColor="text1"/>
          <w:kern w:val="28"/>
          <w:sz w:val="21"/>
          <w:szCs w:val="21"/>
          <w:lang w:val="en-US" w:eastAsia="zh-CN"/>
        </w:rPr>
        <w:t>1</w:t>
      </w:r>
      <w:r>
        <w:rPr>
          <w:rFonts w:hint="default" w:ascii="Times New Roman" w:hAnsi="Times New Roman" w:eastAsia="宋体" w:cs="Times New Roman"/>
          <w:b/>
          <w:bCs w:val="0"/>
          <w:color w:val="000000" w:themeColor="text1"/>
          <w:kern w:val="28"/>
          <w:sz w:val="21"/>
          <w:szCs w:val="21"/>
        </w:rPr>
        <w:t>-3 原辅材料一览表</w:t>
      </w:r>
      <w:bookmarkEnd w:id="183"/>
    </w:p>
    <w:tbl>
      <w:tblPr>
        <w:tblStyle w:val="40"/>
        <w:tblW w:w="89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141"/>
        <w:gridCol w:w="1713"/>
        <w:gridCol w:w="2032"/>
        <w:gridCol w:w="19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名称</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年耗量</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来源</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重晶石及伴生毒重石</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3万t</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自采</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项目采矿区矿山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2</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snapToGrid w:val="0"/>
                <w:color w:val="000000" w:themeColor="text1"/>
                <w:sz w:val="21"/>
                <w:szCs w:val="21"/>
              </w:rPr>
              <w:t>3000</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商品桶装水、山泉水</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用于生产和生活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3</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电</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80000kw.h</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10KV电路供电专线由赤岩变电所架设至矿区</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用于生产和生活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FF0000"/>
                <w:sz w:val="21"/>
                <w:szCs w:val="21"/>
                <w:lang w:val="en-US" w:eastAsia="zh-CN"/>
              </w:rPr>
              <w:t>4</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FF0000"/>
                <w:sz w:val="21"/>
                <w:szCs w:val="21"/>
                <w:lang w:eastAsia="zh-CN"/>
              </w:rPr>
              <w:t>雷管</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sz w:val="21"/>
                <w:szCs w:val="21"/>
                <w:lang w:val="en-US" w:eastAsia="zh-CN"/>
              </w:rPr>
              <w:t>6000</w:t>
            </w:r>
            <w:r>
              <w:rPr>
                <w:rFonts w:hint="default" w:ascii="Times New Roman" w:hAnsi="Times New Roman" w:eastAsia="宋体" w:cs="Times New Roman"/>
                <w:color w:val="FF0000"/>
                <w:sz w:val="21"/>
                <w:szCs w:val="21"/>
                <w:lang w:eastAsia="zh-CN"/>
              </w:rPr>
              <w:t>发</w:t>
            </w:r>
            <w:r>
              <w:rPr>
                <w:rFonts w:hint="default" w:ascii="Times New Roman" w:hAnsi="Times New Roman" w:eastAsia="宋体" w:cs="Times New Roman"/>
                <w:color w:val="FF0000"/>
                <w:sz w:val="21"/>
                <w:szCs w:val="21"/>
              </w:rPr>
              <w:t>/a</w:t>
            </w:r>
          </w:p>
        </w:tc>
        <w:tc>
          <w:tcPr>
            <w:tcW w:w="20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FF0000"/>
                <w:sz w:val="21"/>
                <w:szCs w:val="21"/>
                <w:lang w:eastAsia="zh-CN"/>
              </w:rPr>
              <w:t>由外委爆破公司提供，并实施爆破</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FF0000"/>
                <w:sz w:val="21"/>
                <w:szCs w:val="21"/>
                <w:lang w:val="en-US" w:eastAsia="zh-CN"/>
              </w:rPr>
              <w:t>5</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FF0000"/>
                <w:sz w:val="21"/>
                <w:szCs w:val="21"/>
                <w:lang w:eastAsia="zh-CN"/>
              </w:rPr>
              <w:t>炸药</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sz w:val="21"/>
                <w:szCs w:val="21"/>
                <w:lang w:val="en-US" w:eastAsia="zh-CN"/>
              </w:rPr>
              <w:t>9t/a</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rPr>
              <w:t>单位炸药消耗量0.30kg/t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仿宋_GB2312"/>
                <w:color w:val="FF0000"/>
                <w:lang w:val="en-US" w:eastAsia="zh-CN"/>
              </w:rPr>
              <w:t>6</w:t>
            </w:r>
          </w:p>
        </w:tc>
        <w:tc>
          <w:tcPr>
            <w:tcW w:w="214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仿宋_GB2312"/>
                <w:color w:val="FF0000"/>
                <w:lang w:eastAsia="zh-CN"/>
              </w:rPr>
              <w:t>柴油</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lang w:val="en-US" w:eastAsia="zh-CN"/>
              </w:rPr>
              <w:t>1.2t/a</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仿宋_GB2312"/>
                <w:color w:val="FF0000"/>
                <w:lang w:val="en-US" w:eastAsia="zh-CN"/>
              </w:rPr>
              <w:t>外购</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FF0000"/>
                <w:lang w:val="en-US" w:eastAsia="zh-CN"/>
              </w:rPr>
              <w:t>柴油现卖现用，不在矿区贮存</w:t>
            </w:r>
          </w:p>
        </w:tc>
      </w:tr>
    </w:tbl>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bookmarkStart w:id="184" w:name="_Toc2913"/>
      <w:bookmarkStart w:id="185" w:name="_Toc16395_WPSOffice_Level3"/>
      <w:r>
        <w:rPr>
          <w:rFonts w:hint="eastAsia"/>
          <w:color w:val="000000" w:themeColor="text1"/>
          <w:lang w:val="en-US" w:eastAsia="zh-CN"/>
        </w:rPr>
        <w:t>现有项目劳动定员及工作制度</w:t>
      </w:r>
      <w:bookmarkEnd w:id="184"/>
      <w:bookmarkEnd w:id="18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现有员工约</w:t>
      </w:r>
      <w:r>
        <w:rPr>
          <w:rFonts w:hint="eastAsia" w:ascii="Times New Roman" w:hAnsi="Times New Roman" w:eastAsia="宋体" w:cs="Times New Roman"/>
          <w:color w:val="000000" w:themeColor="text1"/>
          <w:sz w:val="24"/>
          <w:szCs w:val="24"/>
          <w:lang w:val="en-US" w:eastAsia="zh-CN"/>
        </w:rPr>
        <w:t>15</w:t>
      </w:r>
      <w:r>
        <w:rPr>
          <w:rFonts w:hint="default" w:ascii="Times New Roman" w:hAnsi="Times New Roman" w:eastAsia="宋体" w:cs="Times New Roman"/>
          <w:color w:val="000000" w:themeColor="text1"/>
          <w:sz w:val="24"/>
          <w:szCs w:val="24"/>
        </w:rPr>
        <w:t>人，年工作300天，每天工作</w:t>
      </w:r>
      <w:r>
        <w:rPr>
          <w:rFonts w:hint="eastAsia"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班，每班工作8小时。</w:t>
      </w:r>
    </w:p>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bookmarkStart w:id="186" w:name="_Toc23031"/>
      <w:bookmarkStart w:id="187" w:name="_Toc25957_WPSOffice_Level3"/>
      <w:r>
        <w:rPr>
          <w:rFonts w:hint="eastAsia"/>
          <w:color w:val="000000" w:themeColor="text1"/>
          <w:lang w:val="en-US" w:eastAsia="zh-CN"/>
        </w:rPr>
        <w:t>现有工程生产工艺及流程图</w:t>
      </w:r>
      <w:bookmarkEnd w:id="186"/>
      <w:bookmarkEnd w:id="187"/>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color w:val="000000" w:themeColor="text1"/>
          <w:sz w:val="24"/>
          <w:szCs w:val="24"/>
        </w:rPr>
        <w:t>扩建项目生产工艺流程与现有工艺相同，只是在现有工程基础上将产量进行增加，扩建项目会详细介绍工程的生产工艺及流程图，这里不再赘述。</w:t>
      </w:r>
    </w:p>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bookmarkStart w:id="188" w:name="_Toc12940_WPSOffice_Level3"/>
      <w:bookmarkStart w:id="189" w:name="_Toc15174"/>
      <w:r>
        <w:rPr>
          <w:rFonts w:hint="eastAsia"/>
          <w:color w:val="000000" w:themeColor="text1"/>
          <w:lang w:val="en-US" w:eastAsia="zh-CN"/>
        </w:rPr>
        <w:t>现有工程污染防治措施及排放量</w:t>
      </w:r>
      <w:bookmarkEnd w:id="188"/>
      <w:bookmarkEnd w:id="18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现有工程污染物防治措施情况简介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环境空气：现有工程针对矿井污风采用湿式凿岩，对凿岩爆破及出矿过程各产尘点进行喷洒水，</w:t>
      </w:r>
      <w:r>
        <w:rPr>
          <w:rFonts w:hint="eastAsia" w:ascii="Times New Roman" w:hAnsi="Times New Roman" w:eastAsia="宋体" w:cs="Times New Roman"/>
          <w:color w:val="000000" w:themeColor="text1"/>
          <w:sz w:val="24"/>
          <w:szCs w:val="24"/>
          <w:lang w:val="en-US" w:eastAsia="zh-CN"/>
        </w:rPr>
        <w:t>矿石堆场</w:t>
      </w:r>
      <w:r>
        <w:rPr>
          <w:rFonts w:hint="default" w:ascii="Times New Roman" w:hAnsi="Times New Roman" w:eastAsia="宋体" w:cs="Times New Roman"/>
          <w:color w:val="000000" w:themeColor="text1"/>
          <w:sz w:val="24"/>
          <w:szCs w:val="24"/>
        </w:rPr>
        <w:t>粉尘采用洒水降尘处理措施。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水环境：</w:t>
      </w:r>
      <w:r>
        <w:rPr>
          <w:rFonts w:hint="eastAsia" w:ascii="Times New Roman" w:hAnsi="Times New Roman" w:eastAsia="宋体" w:cs="Times New Roman"/>
          <w:color w:val="000000" w:themeColor="text1"/>
          <w:sz w:val="24"/>
          <w:szCs w:val="24"/>
          <w:lang w:val="en-US" w:eastAsia="zh-CN"/>
        </w:rPr>
        <w:t>K1矿体PD760处设有废水沉淀池。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声环境：噪声影响主要空压机、风机工作</w:t>
      </w:r>
      <w:r>
        <w:rPr>
          <w:rFonts w:hint="eastAsia" w:ascii="Times New Roman" w:hAnsi="Times New Roman" w:eastAsia="宋体" w:cs="Times New Roman"/>
          <w:color w:val="000000" w:themeColor="text1"/>
          <w:sz w:val="24"/>
          <w:szCs w:val="24"/>
          <w:lang w:val="en-US" w:eastAsia="zh-CN"/>
        </w:rPr>
        <w:t>时</w:t>
      </w:r>
      <w:r>
        <w:rPr>
          <w:rFonts w:hint="default" w:ascii="Times New Roman" w:hAnsi="Times New Roman" w:eastAsia="宋体" w:cs="Times New Roman"/>
          <w:color w:val="000000" w:themeColor="text1"/>
          <w:sz w:val="24"/>
          <w:szCs w:val="24"/>
        </w:rPr>
        <w:t>发出的噪</w:t>
      </w:r>
      <w:r>
        <w:rPr>
          <w:rFonts w:hint="eastAsia" w:ascii="Times New Roman" w:hAnsi="Times New Roman" w:eastAsia="宋体" w:cs="Times New Roman"/>
          <w:color w:val="000000" w:themeColor="text1"/>
          <w:sz w:val="24"/>
          <w:szCs w:val="24"/>
          <w:lang w:val="en-US" w:eastAsia="zh-CN"/>
        </w:rPr>
        <w:t>声</w:t>
      </w:r>
      <w:r>
        <w:rPr>
          <w:rFonts w:hint="default" w:ascii="Times New Roman" w:hAnsi="Times New Roman" w:eastAsia="宋体" w:cs="Times New Roman"/>
          <w:color w:val="000000" w:themeColor="text1"/>
          <w:sz w:val="24"/>
          <w:szCs w:val="24"/>
        </w:rPr>
        <w:t>，在设备选型时，已经选用了低噪音设备；装载机在运输过程中的噪声，采用降低车速远离敏感目标等措施。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固废：</w:t>
      </w:r>
      <w:r>
        <w:rPr>
          <w:rFonts w:hint="default" w:ascii="Times New Roman" w:hAnsi="Times New Roman" w:eastAsia="宋体" w:cs="Times New Roman"/>
          <w:color w:val="FF0000"/>
          <w:sz w:val="24"/>
          <w:szCs w:val="24"/>
        </w:rPr>
        <w:t>现有工程将废石分散堆放在</w:t>
      </w:r>
      <w:r>
        <w:rPr>
          <w:rFonts w:hint="eastAsia" w:ascii="Times New Roman" w:hAnsi="Times New Roman" w:eastAsia="宋体" w:cs="Times New Roman"/>
          <w:color w:val="FF0000"/>
          <w:sz w:val="24"/>
          <w:szCs w:val="24"/>
          <w:lang w:val="en-US" w:eastAsia="zh-CN"/>
        </w:rPr>
        <w:t>K1矿体PD660、PD760和PD810</w:t>
      </w:r>
      <w:r>
        <w:rPr>
          <w:rFonts w:hint="default" w:ascii="Times New Roman" w:hAnsi="Times New Roman" w:eastAsia="宋体" w:cs="Times New Roman"/>
          <w:color w:val="FF0000"/>
          <w:sz w:val="24"/>
          <w:szCs w:val="24"/>
        </w:rPr>
        <w:t>平硐口</w:t>
      </w:r>
      <w:r>
        <w:rPr>
          <w:rFonts w:hint="eastAsia" w:ascii="Times New Roman" w:hAnsi="Times New Roman" w:eastAsia="宋体" w:cs="Times New Roman"/>
          <w:color w:val="FF0000"/>
          <w:sz w:val="24"/>
          <w:szCs w:val="24"/>
          <w:lang w:val="en-US" w:eastAsia="zh-CN"/>
        </w:rPr>
        <w:t>边坡处的废石场。</w:t>
      </w:r>
      <w:r>
        <w:rPr>
          <w:rFonts w:hint="default" w:ascii="Times New Roman" w:hAnsi="Times New Roman" w:eastAsia="宋体" w:cs="Times New Roman"/>
          <w:color w:val="FF0000"/>
          <w:sz w:val="24"/>
          <w:szCs w:val="24"/>
          <w:lang w:val="en-US" w:eastAsia="zh-CN"/>
        </w:rPr>
        <w:t>PD810，占地面积</w:t>
      </w:r>
      <w:r>
        <w:rPr>
          <w:rFonts w:hint="eastAsia" w:ascii="Times New Roman" w:hAnsi="Times New Roman" w:eastAsia="宋体" w:cs="Times New Roman"/>
          <w:color w:val="FF0000"/>
          <w:sz w:val="24"/>
          <w:szCs w:val="24"/>
          <w:lang w:val="en-US" w:eastAsia="zh-CN"/>
        </w:rPr>
        <w:t>约1100</w:t>
      </w:r>
      <w:r>
        <w:rPr>
          <w:rFonts w:hint="default" w:ascii="Times New Roman" w:hAnsi="Times New Roman" w:eastAsia="宋体" w:cs="Times New Roman"/>
          <w:color w:val="FF0000"/>
          <w:sz w:val="24"/>
          <w:szCs w:val="24"/>
          <w:lang w:val="en-US" w:eastAsia="zh-CN"/>
        </w:rPr>
        <w:t>m</w:t>
      </w:r>
      <w:r>
        <w:rPr>
          <w:rFonts w:hint="default" w:ascii="Times New Roman" w:hAnsi="Times New Roman" w:eastAsia="宋体" w:cs="Times New Roman"/>
          <w:color w:val="FF0000"/>
          <w:sz w:val="24"/>
          <w:szCs w:val="24"/>
          <w:vertAlign w:val="superscript"/>
          <w:lang w:val="en-US" w:eastAsia="zh-CN"/>
        </w:rPr>
        <w:t>2</w:t>
      </w:r>
      <w:r>
        <w:rPr>
          <w:rFonts w:hint="default" w:ascii="Times New Roman" w:hAnsi="Times New Roman" w:eastAsia="宋体" w:cs="Times New Roman"/>
          <w:color w:val="FF0000"/>
          <w:sz w:val="24"/>
          <w:szCs w:val="24"/>
          <w:lang w:val="en-US" w:eastAsia="zh-CN"/>
        </w:rPr>
        <w:t>；PD760，占地面积约</w:t>
      </w:r>
      <w:r>
        <w:rPr>
          <w:rFonts w:hint="eastAsia" w:ascii="Times New Roman" w:hAnsi="Times New Roman" w:eastAsia="宋体" w:cs="Times New Roman"/>
          <w:color w:val="FF0000"/>
          <w:sz w:val="24"/>
          <w:szCs w:val="24"/>
          <w:lang w:val="en-US" w:eastAsia="zh-CN"/>
        </w:rPr>
        <w:t>2000</w:t>
      </w:r>
      <w:r>
        <w:rPr>
          <w:rFonts w:hint="default" w:ascii="Times New Roman" w:hAnsi="Times New Roman" w:eastAsia="宋体" w:cs="Times New Roman"/>
          <w:color w:val="FF0000"/>
          <w:sz w:val="24"/>
          <w:szCs w:val="24"/>
          <w:lang w:val="en-US" w:eastAsia="zh-CN"/>
        </w:rPr>
        <w:t>m</w:t>
      </w:r>
      <w:r>
        <w:rPr>
          <w:rFonts w:hint="default" w:ascii="Times New Roman" w:hAnsi="Times New Roman" w:eastAsia="宋体" w:cs="Times New Roman"/>
          <w:color w:val="FF0000"/>
          <w:sz w:val="24"/>
          <w:szCs w:val="24"/>
          <w:vertAlign w:val="superscript"/>
          <w:lang w:val="en-US" w:eastAsia="zh-CN"/>
        </w:rPr>
        <w:t>2</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PD</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60，占地面积约</w:t>
      </w:r>
      <w:r>
        <w:rPr>
          <w:rFonts w:hint="eastAsia" w:ascii="Times New Roman" w:hAnsi="Times New Roman" w:eastAsia="宋体" w:cs="Times New Roman"/>
          <w:color w:val="FF0000"/>
          <w:sz w:val="24"/>
          <w:szCs w:val="24"/>
          <w:lang w:val="en-US" w:eastAsia="zh-CN"/>
        </w:rPr>
        <w:t>1100</w:t>
      </w:r>
      <w:r>
        <w:rPr>
          <w:rFonts w:hint="default" w:ascii="Times New Roman" w:hAnsi="Times New Roman" w:eastAsia="宋体" w:cs="Times New Roman"/>
          <w:color w:val="FF0000"/>
          <w:sz w:val="24"/>
          <w:szCs w:val="24"/>
          <w:lang w:val="en-US" w:eastAsia="zh-CN"/>
        </w:rPr>
        <w:t>m</w:t>
      </w:r>
      <w:r>
        <w:rPr>
          <w:rFonts w:hint="default" w:ascii="Times New Roman" w:hAnsi="Times New Roman" w:eastAsia="宋体" w:cs="Times New Roman"/>
          <w:color w:val="FF0000"/>
          <w:sz w:val="24"/>
          <w:szCs w:val="24"/>
          <w:vertAlign w:val="superscript"/>
          <w:lang w:val="en-US" w:eastAsia="zh-CN"/>
        </w:rPr>
        <w:t>2</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现有废石场占地总面积</w:t>
      </w:r>
      <w:r>
        <w:rPr>
          <w:rFonts w:hint="eastAsia" w:ascii="Times New Roman" w:hAnsi="Times New Roman" w:eastAsia="宋体" w:cs="Times New Roman"/>
          <w:color w:val="FF0000"/>
          <w:sz w:val="24"/>
          <w:szCs w:val="24"/>
          <w:lang w:val="en-US" w:eastAsia="zh-CN"/>
        </w:rPr>
        <w:t>为42</w:t>
      </w:r>
      <w:r>
        <w:rPr>
          <w:rFonts w:hint="default" w:ascii="Times New Roman" w:hAnsi="Times New Roman" w:eastAsia="宋体" w:cs="Times New Roman"/>
          <w:color w:val="FF0000"/>
          <w:sz w:val="24"/>
          <w:szCs w:val="24"/>
          <w:lang w:val="en-US" w:eastAsia="zh-CN"/>
        </w:rPr>
        <w:t>00m</w:t>
      </w:r>
      <w:r>
        <w:rPr>
          <w:rFonts w:hint="default" w:ascii="Times New Roman" w:hAnsi="Times New Roman" w:eastAsia="宋体" w:cs="Times New Roman"/>
          <w:color w:val="FF0000"/>
          <w:sz w:val="24"/>
          <w:szCs w:val="24"/>
          <w:vertAlign w:val="superscript"/>
          <w:lang w:val="en-US" w:eastAsia="zh-CN"/>
        </w:rPr>
        <w:t>2</w:t>
      </w:r>
      <w:r>
        <w:rPr>
          <w:rFonts w:hint="default" w:ascii="Times New Roman" w:hAnsi="Times New Roman" w:eastAsia="宋体" w:cs="Times New Roman"/>
          <w:color w:val="FF0000"/>
          <w:sz w:val="24"/>
          <w:szCs w:val="24"/>
          <w:vertAlign w:val="baseline"/>
          <w:lang w:val="en-US" w:eastAsia="zh-CN"/>
        </w:rPr>
        <w:t>。</w:t>
      </w:r>
      <w:r>
        <w:rPr>
          <w:rFonts w:hint="eastAsia" w:ascii="Times New Roman" w:hAnsi="Times New Roman" w:eastAsia="宋体" w:cs="Times New Roman"/>
          <w:color w:val="000000" w:themeColor="text1"/>
          <w:sz w:val="24"/>
          <w:szCs w:val="24"/>
          <w:vertAlign w:val="baseline"/>
          <w:lang w:val="en-US" w:eastAsia="zh-CN"/>
        </w:rPr>
        <w:t>PD810和PD760</w:t>
      </w:r>
      <w:r>
        <w:rPr>
          <w:rFonts w:hint="eastAsia" w:ascii="Times New Roman" w:hAnsi="Times New Roman" w:eastAsia="宋体" w:cs="Times New Roman"/>
          <w:color w:val="000000" w:themeColor="text1"/>
          <w:sz w:val="24"/>
          <w:szCs w:val="24"/>
          <w:lang w:val="en-US" w:eastAsia="zh-CN"/>
        </w:rPr>
        <w:t>采取的防护措施有挡渣坝</w:t>
      </w:r>
      <w:r>
        <w:rPr>
          <w:rFonts w:hint="default" w:ascii="Times New Roman" w:hAnsi="Times New Roman" w:eastAsia="宋体" w:cs="Times New Roman"/>
          <w:color w:val="000000" w:themeColor="text1"/>
          <w:sz w:val="24"/>
          <w:szCs w:val="24"/>
        </w:rPr>
        <w:t>，生活垃圾分类收集；危险废物</w:t>
      </w:r>
      <w:r>
        <w:rPr>
          <w:rFonts w:hint="eastAsia" w:ascii="Times New Roman" w:hAnsi="Times New Roman" w:eastAsia="宋体" w:cs="Times New Roman"/>
          <w:color w:val="000000" w:themeColor="text1"/>
          <w:sz w:val="24"/>
          <w:szCs w:val="24"/>
          <w:lang w:val="en-US" w:eastAsia="zh-CN"/>
        </w:rPr>
        <w:t>置于危废暂存间</w:t>
      </w:r>
      <w:r>
        <w:rPr>
          <w:rFonts w:hint="default" w:ascii="Times New Roman" w:hAnsi="Times New Roman" w:eastAsia="宋体" w:cs="Times New Roman"/>
          <w:color w:val="000000" w:themeColor="text1"/>
          <w:sz w:val="24"/>
          <w:szCs w:val="24"/>
        </w:rPr>
        <w:t>。</w:t>
      </w:r>
    </w:p>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现有工程排放量核算</w:t>
      </w:r>
    </w:p>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color w:val="000000" w:themeColor="text1"/>
          <w:sz w:val="24"/>
          <w:lang w:eastAsia="zh-CN"/>
        </w:rPr>
      </w:pPr>
      <w:r>
        <w:rPr>
          <w:rFonts w:hint="default" w:ascii="Times New Roman" w:hAnsi="Times New Roman" w:eastAsia="宋体" w:cs="Times New Roman"/>
          <w:color w:val="000000" w:themeColor="text1"/>
          <w:sz w:val="24"/>
          <w:szCs w:val="24"/>
        </w:rPr>
        <w:t>由于目前项目处于停工状态，无法对项目的实际影响情况做出准确的监测</w:t>
      </w:r>
      <w:r>
        <w:rPr>
          <w:rFonts w:hint="eastAsia" w:ascii="Times New Roman" w:hAnsi="Times New Roman" w:eastAsia="宋体" w:cs="Times New Roman"/>
          <w:color w:val="000000" w:themeColor="text1"/>
          <w:sz w:val="24"/>
          <w:szCs w:val="24"/>
          <w:lang w:eastAsia="zh-CN"/>
        </w:rPr>
        <w:t>，</w:t>
      </w:r>
      <w:r>
        <w:rPr>
          <w:rFonts w:hint="eastAsia" w:asciiTheme="minorEastAsia" w:hAnsiTheme="minorEastAsia" w:cstheme="minorEastAsia"/>
          <w:color w:val="000000" w:themeColor="text1"/>
          <w:sz w:val="24"/>
          <w:lang w:eastAsia="zh-CN"/>
        </w:rPr>
        <w:t>故现有</w:t>
      </w:r>
      <w:r>
        <w:rPr>
          <w:rFonts w:hint="eastAsia" w:asciiTheme="minorEastAsia" w:hAnsiTheme="minorEastAsia" w:cstheme="minorEastAsia"/>
          <w:color w:val="000000" w:themeColor="text1"/>
          <w:sz w:val="24"/>
        </w:rPr>
        <w:t>项目</w:t>
      </w:r>
      <w:r>
        <w:rPr>
          <w:rFonts w:hint="eastAsia" w:asciiTheme="minorEastAsia" w:hAnsiTheme="minorEastAsia" w:cstheme="minorEastAsia"/>
          <w:color w:val="000000" w:themeColor="text1"/>
          <w:sz w:val="24"/>
          <w:lang w:eastAsia="zh-CN"/>
        </w:rPr>
        <w:t>的污染排放情况按照扩建工程进行折算。</w:t>
      </w:r>
    </w:p>
    <w:p>
      <w:pPr>
        <w:pStyle w:val="22"/>
        <w:numPr>
          <w:ilvl w:val="0"/>
          <w:numId w:val="0"/>
        </w:numPr>
        <w:adjustRightInd w:val="0"/>
        <w:snapToGrid w:val="0"/>
        <w:spacing w:after="0" w:line="360" w:lineRule="auto"/>
        <w:ind w:left="480" w:leftChars="0"/>
        <w:rPr>
          <w:rFonts w:hint="default" w:ascii="Times New Roman" w:hAnsi="Times New Roman" w:eastAsia="宋体" w:cs="Times New Roman"/>
          <w:color w:val="000000" w:themeColor="text1"/>
          <w:sz w:val="24"/>
          <w:lang w:eastAsia="zh-CN"/>
        </w:rPr>
      </w:pPr>
      <w:bookmarkStart w:id="190" w:name="_Toc11433_WPSOffice_Level3"/>
      <w:bookmarkStart w:id="191" w:name="_Toc13871_WPSOffice_Level3"/>
      <w:r>
        <w:rPr>
          <w:rFonts w:hint="default" w:ascii="Times New Roman" w:hAnsi="Times New Roman" w:eastAsia="宋体" w:cs="Times New Roman"/>
          <w:color w:val="000000" w:themeColor="text1"/>
          <w:sz w:val="24"/>
          <w:lang w:val="en-US" w:eastAsia="zh-CN"/>
        </w:rPr>
        <w:t>A.</w:t>
      </w:r>
      <w:r>
        <w:rPr>
          <w:rFonts w:hint="default" w:ascii="Times New Roman" w:hAnsi="Times New Roman" w:eastAsia="宋体" w:cs="Times New Roman"/>
          <w:color w:val="000000" w:themeColor="text1"/>
          <w:sz w:val="24"/>
          <w:lang w:eastAsia="zh-CN"/>
        </w:rPr>
        <w:t>废气</w:t>
      </w:r>
      <w:bookmarkEnd w:id="190"/>
      <w:bookmarkEnd w:id="191"/>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heme="minorEastAsia" w:hAnsiTheme="minorEastAsia" w:cstheme="minorEastAsia"/>
          <w:color w:val="000000" w:themeColor="text1"/>
          <w:sz w:val="24"/>
          <w:lang w:eastAsia="zh-CN"/>
        </w:rPr>
      </w:pPr>
      <w:r>
        <w:rPr>
          <w:rFonts w:hint="eastAsia" w:asciiTheme="minorEastAsia" w:hAnsiTheme="minorEastAsia" w:cstheme="minorEastAsia"/>
          <w:color w:val="000000" w:themeColor="text1"/>
          <w:sz w:val="24"/>
        </w:rPr>
        <w:t>对于废气治理的措施</w:t>
      </w:r>
      <w:r>
        <w:rPr>
          <w:rFonts w:hint="eastAsia" w:asciiTheme="minorEastAsia" w:hAnsiTheme="minorEastAsia" w:cstheme="minorEastAsia"/>
          <w:color w:val="000000" w:themeColor="text1"/>
          <w:sz w:val="24"/>
          <w:lang w:eastAsia="zh-CN"/>
        </w:rPr>
        <w:t>现有项目</w:t>
      </w:r>
      <w:r>
        <w:rPr>
          <w:rFonts w:hint="eastAsia" w:asciiTheme="minorEastAsia" w:hAnsiTheme="minorEastAsia" w:cstheme="minorEastAsia"/>
          <w:color w:val="000000" w:themeColor="text1"/>
          <w:sz w:val="24"/>
        </w:rPr>
        <w:t>与扩建项目相同</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污染物产生量是根据扩建项目5万吨</w:t>
      </w:r>
      <w:r>
        <w:rPr>
          <w:rFonts w:hint="eastAsia" w:asciiTheme="minorEastAsia" w:hAnsiTheme="minorEastAsia" w:cstheme="minorEastAsia"/>
          <w:color w:val="000000" w:themeColor="text1"/>
          <w:sz w:val="24"/>
          <w:lang w:val="en-US" w:eastAsia="zh-CN"/>
        </w:rPr>
        <w:t>的产能</w:t>
      </w:r>
      <w:r>
        <w:rPr>
          <w:rFonts w:hint="eastAsia" w:asciiTheme="minorEastAsia" w:hAnsiTheme="minorEastAsia" w:cstheme="minorEastAsia"/>
          <w:color w:val="000000" w:themeColor="text1"/>
          <w:sz w:val="24"/>
        </w:rPr>
        <w:t>折算成现有</w:t>
      </w:r>
      <w:r>
        <w:rPr>
          <w:rFonts w:hint="eastAsia" w:asciiTheme="minorEastAsia" w:hAnsiTheme="minorEastAsia" w:cstheme="minorEastAsia"/>
          <w:color w:val="000000" w:themeColor="text1"/>
          <w:sz w:val="24"/>
          <w:lang w:val="en-US" w:eastAsia="zh-CN"/>
        </w:rPr>
        <w:t>工程</w:t>
      </w:r>
      <w:r>
        <w:rPr>
          <w:rFonts w:hint="eastAsia" w:asciiTheme="minorEastAsia" w:hAnsiTheme="minorEastAsia" w:cstheme="minorEastAsia"/>
          <w:color w:val="000000" w:themeColor="text1"/>
          <w:sz w:val="24"/>
        </w:rPr>
        <w:t>3万吨</w:t>
      </w:r>
      <w:r>
        <w:rPr>
          <w:rFonts w:hint="eastAsia" w:asciiTheme="minorEastAsia" w:hAnsiTheme="minorEastAsia" w:cstheme="minorEastAsia"/>
          <w:color w:val="000000" w:themeColor="text1"/>
          <w:sz w:val="24"/>
          <w:lang w:eastAsia="zh-CN"/>
        </w:rPr>
        <w:t>的预测值。</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1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lang w:eastAsia="zh-CN"/>
        </w:rPr>
        <w:fldChar w:fldCharType="end"/>
      </w:r>
      <w:r>
        <w:rPr>
          <w:rFonts w:hint="default" w:ascii="Times New Roman" w:hAnsi="Times New Roman" w:eastAsia="宋体" w:cs="Times New Roman"/>
          <w:color w:val="000000" w:themeColor="text1"/>
          <w:sz w:val="24"/>
          <w:szCs w:val="24"/>
        </w:rPr>
        <w:t>风井污风</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根据工程分析，</w:t>
      </w:r>
      <w:r>
        <w:rPr>
          <w:rFonts w:hint="default" w:ascii="Times New Roman" w:hAnsi="Times New Roman" w:eastAsia="宋体" w:cs="Times New Roman"/>
          <w:color w:val="000000" w:themeColor="text1"/>
          <w:sz w:val="24"/>
          <w:szCs w:val="24"/>
          <w:lang w:eastAsia="zh-CN"/>
        </w:rPr>
        <w:t>扩建项目</w:t>
      </w:r>
      <w:r>
        <w:rPr>
          <w:rFonts w:hint="eastAsia" w:ascii="Times New Roman" w:hAnsi="Times New Roman" w:eastAsia="宋体" w:cs="Times New Roman"/>
          <w:color w:val="000000" w:themeColor="text1"/>
          <w:sz w:val="24"/>
          <w:szCs w:val="24"/>
          <w:lang w:eastAsia="zh-CN"/>
        </w:rPr>
        <w:t>产能</w:t>
      </w:r>
      <w:r>
        <w:rPr>
          <w:rFonts w:hint="eastAsia" w:ascii="Times New Roman" w:hAnsi="Times New Roman" w:eastAsia="宋体" w:cs="Times New Roman"/>
          <w:color w:val="000000" w:themeColor="text1"/>
          <w:sz w:val="24"/>
          <w:szCs w:val="24"/>
          <w:lang w:val="en-US" w:eastAsia="zh-CN"/>
        </w:rPr>
        <w:t>5万吨/a粉尘排放量为0.0158</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sz w:val="24"/>
          <w:szCs w:val="24"/>
          <w:lang w:val="en-US" w:eastAsia="zh-CN"/>
        </w:rPr>
        <w:t>，现有项目产能为3万吨/a，现有项目粉尘排放量</w:t>
      </w:r>
      <w:r>
        <w:rPr>
          <w:rFonts w:hint="default" w:ascii="Times New Roman" w:hAnsi="Times New Roman" w:eastAsia="宋体" w:cs="Times New Roman"/>
          <w:color w:val="000000" w:themeColor="text1"/>
          <w:sz w:val="24"/>
          <w:szCs w:val="24"/>
          <w:lang w:val="en-US" w:eastAsia="zh-CN"/>
        </w:rPr>
        <w:t>为</w:t>
      </w:r>
      <w:r>
        <w:rPr>
          <w:rFonts w:hint="default" w:ascii="Times New Roman" w:hAnsi="Times New Roman" w:eastAsia="宋体" w:cs="Times New Roman"/>
          <w:bCs/>
          <w:color w:val="000000" w:themeColor="text1"/>
          <w:sz w:val="24"/>
          <w:szCs w:val="24"/>
          <w:lang w:val="en-US" w:eastAsia="zh-CN" w:bidi="en-US"/>
        </w:rPr>
        <w:t>0.00948</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sz w:val="24"/>
          <w:szCs w:val="24"/>
          <w:lang w:val="en-US" w:eastAsia="zh-CN"/>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2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lang w:eastAsia="zh-CN"/>
        </w:rPr>
        <w:t>②</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bCs/>
          <w:color w:val="000000" w:themeColor="text1"/>
          <w:sz w:val="24"/>
          <w:szCs w:val="24"/>
          <w:lang w:val="en-US" w:eastAsia="zh-CN" w:bidi="en-US"/>
        </w:rPr>
        <w:t>矿石堆场扬尘</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根据工程分析，</w:t>
      </w:r>
      <w:r>
        <w:rPr>
          <w:rFonts w:hint="default" w:ascii="Times New Roman" w:hAnsi="Times New Roman" w:eastAsia="宋体" w:cs="Times New Roman"/>
          <w:color w:val="000000" w:themeColor="text1"/>
          <w:sz w:val="24"/>
          <w:szCs w:val="24"/>
          <w:lang w:eastAsia="zh-CN"/>
        </w:rPr>
        <w:t>扩建项目</w:t>
      </w:r>
      <w:r>
        <w:rPr>
          <w:rFonts w:hint="eastAsia" w:ascii="Times New Roman" w:hAnsi="Times New Roman" w:eastAsia="宋体" w:cs="Times New Roman"/>
          <w:color w:val="000000" w:themeColor="text1"/>
          <w:sz w:val="24"/>
          <w:szCs w:val="24"/>
          <w:lang w:eastAsia="zh-CN"/>
        </w:rPr>
        <w:t>产能</w:t>
      </w:r>
      <w:r>
        <w:rPr>
          <w:rFonts w:hint="eastAsia" w:ascii="Times New Roman" w:hAnsi="Times New Roman" w:eastAsia="宋体" w:cs="Times New Roman"/>
          <w:color w:val="000000" w:themeColor="text1"/>
          <w:sz w:val="24"/>
          <w:szCs w:val="24"/>
          <w:lang w:val="en-US" w:eastAsia="zh-CN"/>
        </w:rPr>
        <w:t>5万吨/a粉尘排放量为0.015</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sz w:val="24"/>
          <w:szCs w:val="24"/>
          <w:lang w:val="en-US" w:eastAsia="zh-CN"/>
        </w:rPr>
        <w:t>，现有项目产能为3万吨/a，现有项目粉尘排放量</w:t>
      </w:r>
      <w:r>
        <w:rPr>
          <w:rFonts w:hint="default" w:ascii="Times New Roman" w:hAnsi="Times New Roman" w:eastAsia="宋体" w:cs="Times New Roman"/>
          <w:color w:val="000000" w:themeColor="text1"/>
          <w:sz w:val="24"/>
          <w:szCs w:val="24"/>
          <w:lang w:val="en-US" w:eastAsia="zh-CN"/>
        </w:rPr>
        <w:t>为</w:t>
      </w:r>
      <w:r>
        <w:rPr>
          <w:rFonts w:hint="eastAsia" w:ascii="Times New Roman" w:hAnsi="Times New Roman" w:eastAsia="宋体" w:cs="Times New Roman"/>
          <w:bCs/>
          <w:color w:val="000000" w:themeColor="text1"/>
          <w:sz w:val="24"/>
          <w:szCs w:val="24"/>
          <w:lang w:val="en-US" w:eastAsia="zh-CN" w:bidi="en-US"/>
        </w:rPr>
        <w:t>0.009</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sz w:val="24"/>
          <w:szCs w:val="24"/>
          <w:lang w:val="en-US" w:eastAsia="zh-CN"/>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3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eastAsia" w:ascii="Times New Roman" w:hAnsi="Times New Roman" w:eastAsia="宋体" w:cs="Times New Roman"/>
          <w:color w:val="000000" w:themeColor="text1"/>
          <w:sz w:val="24"/>
          <w:szCs w:val="24"/>
          <w:lang w:eastAsia="zh-CN"/>
        </w:rPr>
        <w:t>③</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餐饮油烟</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heme="minorEastAsia" w:hAnsiTheme="minorEastAsia" w:cstheme="minorEastAsia"/>
          <w:color w:val="000000" w:themeColor="text1"/>
          <w:sz w:val="24"/>
          <w:lang w:eastAsia="zh-CN"/>
        </w:rPr>
      </w:pPr>
      <w:r>
        <w:rPr>
          <w:rFonts w:hint="eastAsia" w:ascii="Times New Roman" w:hAnsi="Times New Roman" w:eastAsia="宋体" w:cs="Times New Roman"/>
          <w:color w:val="000000" w:themeColor="text1"/>
          <w:sz w:val="24"/>
          <w:szCs w:val="24"/>
          <w:lang w:eastAsia="zh-CN"/>
        </w:rPr>
        <w:t>根据工程分析，</w:t>
      </w:r>
      <w:r>
        <w:rPr>
          <w:rFonts w:hint="default" w:ascii="Times New Roman" w:hAnsi="Times New Roman" w:eastAsia="宋体" w:cs="Times New Roman"/>
          <w:color w:val="000000" w:themeColor="text1"/>
          <w:sz w:val="24"/>
          <w:szCs w:val="24"/>
          <w:lang w:eastAsia="zh-CN"/>
        </w:rPr>
        <w:t>扩建</w:t>
      </w:r>
      <w:r>
        <w:rPr>
          <w:rFonts w:hint="eastAsia" w:ascii="Times New Roman" w:hAnsi="Times New Roman" w:eastAsia="宋体" w:cs="Times New Roman"/>
          <w:color w:val="000000" w:themeColor="text1"/>
          <w:sz w:val="24"/>
          <w:szCs w:val="24"/>
          <w:lang w:eastAsia="zh-CN"/>
        </w:rPr>
        <w:t>后</w:t>
      </w:r>
      <w:r>
        <w:rPr>
          <w:rFonts w:hint="default" w:ascii="Times New Roman" w:hAnsi="Times New Roman" w:eastAsia="宋体" w:cs="Times New Roman"/>
          <w:color w:val="000000" w:themeColor="text1"/>
          <w:sz w:val="24"/>
          <w:szCs w:val="24"/>
          <w:lang w:eastAsia="zh-CN"/>
        </w:rPr>
        <w:t>项目</w:t>
      </w:r>
      <w:r>
        <w:rPr>
          <w:rFonts w:hint="eastAsia" w:ascii="Times New Roman" w:hAnsi="Times New Roman" w:eastAsia="宋体" w:cs="Times New Roman"/>
          <w:color w:val="000000" w:themeColor="text1"/>
          <w:sz w:val="24"/>
          <w:szCs w:val="24"/>
          <w:lang w:eastAsia="zh-CN"/>
        </w:rPr>
        <w:t>共</w:t>
      </w:r>
      <w:r>
        <w:rPr>
          <w:rFonts w:hint="eastAsia" w:ascii="Times New Roman" w:hAnsi="Times New Roman" w:eastAsia="宋体" w:cs="Times New Roman"/>
          <w:color w:val="000000" w:themeColor="text1"/>
          <w:sz w:val="24"/>
          <w:szCs w:val="24"/>
          <w:lang w:val="en-US" w:eastAsia="zh-CN"/>
        </w:rPr>
        <w:t>21人，油烟产生量为0.0063</w:t>
      </w:r>
      <w:r>
        <w:rPr>
          <w:rFonts w:hint="default"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lang w:eastAsia="zh-CN"/>
        </w:rPr>
        <w:t>，现有项目</w:t>
      </w:r>
      <w:r>
        <w:rPr>
          <w:rFonts w:hint="eastAsia" w:ascii="Times New Roman" w:hAnsi="Times New Roman" w:eastAsia="宋体" w:cs="Times New Roman"/>
          <w:color w:val="000000" w:themeColor="text1"/>
          <w:sz w:val="24"/>
          <w:szCs w:val="24"/>
          <w:lang w:val="en-US" w:eastAsia="zh-CN"/>
        </w:rPr>
        <w:t>15人，由于现有项目未安装油烟净化器，则现有项目油烟产生量和排放量均为为0.0045</w:t>
      </w:r>
      <w:r>
        <w:rPr>
          <w:rFonts w:hint="default"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lang w:eastAsia="zh-CN"/>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lang w:eastAsia="zh-CN"/>
        </w:rPr>
      </w:pPr>
      <w:bookmarkStart w:id="192" w:name="_Toc3595_WPSOffice_Level3"/>
      <w:bookmarkStart w:id="193" w:name="_Toc12561_WPSOffice_Level3"/>
      <w:r>
        <w:rPr>
          <w:rFonts w:hint="eastAsia" w:ascii="Times New Roman" w:hAnsi="Times New Roman" w:eastAsia="宋体" w:cs="Times New Roman"/>
          <w:color w:val="000000" w:themeColor="text1"/>
          <w:sz w:val="24"/>
          <w:lang w:val="en-US" w:eastAsia="zh-CN"/>
        </w:rPr>
        <w:t>B.</w:t>
      </w:r>
      <w:r>
        <w:rPr>
          <w:rFonts w:hint="default" w:ascii="Times New Roman" w:hAnsi="Times New Roman" w:eastAsia="宋体" w:cs="Times New Roman"/>
          <w:color w:val="000000" w:themeColor="text1"/>
          <w:sz w:val="24"/>
          <w:lang w:eastAsia="zh-CN"/>
        </w:rPr>
        <w:t>废水</w:t>
      </w:r>
      <w:bookmarkEnd w:id="192"/>
      <w:bookmarkEnd w:id="193"/>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1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矿井涌水</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cs="Times New Roman"/>
          <w:color w:val="000000" w:themeColor="text1"/>
          <w:sz w:val="24"/>
          <w:lang w:eastAsia="zh-CN"/>
        </w:rPr>
      </w:pPr>
      <w:r>
        <w:rPr>
          <w:rFonts w:hint="eastAsia" w:asciiTheme="minorEastAsia" w:hAnsiTheme="minorEastAsia" w:cstheme="minorEastAsia"/>
          <w:color w:val="000000" w:themeColor="text1"/>
          <w:sz w:val="24"/>
          <w:lang w:eastAsia="zh-CN"/>
        </w:rPr>
        <w:t>现有</w:t>
      </w:r>
      <w:r>
        <w:rPr>
          <w:rFonts w:hint="eastAsia" w:asciiTheme="minorEastAsia" w:hAnsiTheme="minorEastAsia" w:cstheme="minorEastAsia"/>
          <w:color w:val="000000" w:themeColor="text1"/>
          <w:sz w:val="24"/>
        </w:rPr>
        <w:t>项目在开采过程中几乎无涌水产生，仅在雨季（每年6～9月）偶尔有涌水产生，最多时涌水量为</w:t>
      </w:r>
      <w:r>
        <w:rPr>
          <w:rFonts w:hint="eastAsia" w:ascii="Times New Roman" w:hAnsi="Times New Roman" w:cs="Times New Roman"/>
          <w:color w:val="000000" w:themeColor="text1"/>
          <w:sz w:val="24"/>
          <w:lang w:val="en-US" w:eastAsia="zh-CN"/>
        </w:rPr>
        <w:t>1</w:t>
      </w:r>
      <w:r>
        <w:rPr>
          <w:rFonts w:ascii="Times New Roman" w:hAnsi="Times New Roman" w:cs="Times New Roman"/>
          <w:color w:val="000000" w:themeColor="text1"/>
          <w:sz w:val="24"/>
        </w:rPr>
        <w:t>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/d</w:t>
      </w:r>
      <w:r>
        <w:rPr>
          <w:rFonts w:hint="eastAsia" w:ascii="Times New Roman" w:hAnsi="Times New Roman" w:cs="Times New Roman"/>
          <w:color w:val="000000" w:themeColor="text1"/>
          <w:sz w:val="24"/>
          <w:lang w:eastAsia="zh-CN"/>
        </w:rPr>
        <w:t>，全部收集回用不外排。</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2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lang w:eastAsia="zh-CN"/>
        </w:rPr>
        <w:t>②</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井下除尘废水</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cs="Times New Roman"/>
          <w:color w:val="000000" w:themeColor="text1"/>
          <w:sz w:val="24"/>
          <w:lang w:eastAsia="zh-CN"/>
        </w:rPr>
      </w:pPr>
      <w:r>
        <w:rPr>
          <w:rFonts w:hint="eastAsia" w:ascii="Times New Roman" w:hAnsi="Times New Roman" w:eastAsia="宋体" w:cs="Times New Roman"/>
          <w:color w:val="000000" w:themeColor="text1"/>
          <w:sz w:val="24"/>
          <w:szCs w:val="24"/>
          <w:lang w:eastAsia="zh-CN"/>
        </w:rPr>
        <w:t>根据工程分析，</w:t>
      </w:r>
      <w:r>
        <w:rPr>
          <w:rFonts w:hint="default" w:ascii="Times New Roman" w:hAnsi="Times New Roman" w:eastAsia="宋体" w:cs="Times New Roman"/>
          <w:color w:val="000000" w:themeColor="text1"/>
          <w:sz w:val="24"/>
          <w:szCs w:val="24"/>
          <w:lang w:eastAsia="zh-CN"/>
        </w:rPr>
        <w:t>扩建项目</w:t>
      </w:r>
      <w:r>
        <w:rPr>
          <w:rFonts w:hint="eastAsia" w:ascii="Times New Roman" w:hAnsi="Times New Roman" w:eastAsia="宋体" w:cs="Times New Roman"/>
          <w:color w:val="000000" w:themeColor="text1"/>
          <w:sz w:val="24"/>
          <w:szCs w:val="24"/>
          <w:lang w:eastAsia="zh-CN"/>
        </w:rPr>
        <w:t>产能</w:t>
      </w:r>
      <w:r>
        <w:rPr>
          <w:rFonts w:hint="eastAsia" w:ascii="Times New Roman" w:hAnsi="Times New Roman" w:eastAsia="宋体" w:cs="Times New Roman"/>
          <w:color w:val="000000" w:themeColor="text1"/>
          <w:sz w:val="24"/>
          <w:szCs w:val="24"/>
          <w:lang w:val="en-US" w:eastAsia="zh-CN"/>
        </w:rPr>
        <w:t>5万吨/a井下除尘废水产生量为</w:t>
      </w:r>
      <w:r>
        <w:rPr>
          <w:rFonts w:hint="eastAsia" w:ascii="Times New Roman" w:hAnsi="Times New Roman" w:eastAsia="宋体" w:cs="Times New Roman"/>
          <w:color w:val="000000" w:themeColor="text1"/>
          <w:kern w:val="0"/>
          <w:sz w:val="24"/>
          <w:szCs w:val="22"/>
          <w:lang w:val="en-US" w:eastAsia="zh-CN"/>
        </w:rPr>
        <w:t>3</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w:t>
      </w:r>
      <w:r>
        <w:rPr>
          <w:rFonts w:hint="eastAsia" w:ascii="Times New Roman" w:hAnsi="Times New Roman" w:eastAsia="宋体" w:cs="Times New Roman"/>
          <w:color w:val="000000" w:themeColor="text1"/>
          <w:kern w:val="0"/>
          <w:sz w:val="24"/>
          <w:szCs w:val="24"/>
          <w:lang w:eastAsia="zh-CN"/>
        </w:rPr>
        <w:t>（</w:t>
      </w:r>
      <w:r>
        <w:rPr>
          <w:rFonts w:hint="eastAsia" w:ascii="Times New Roman" w:hAnsi="Times New Roman" w:eastAsia="宋体" w:cs="Times New Roman"/>
          <w:bCs/>
          <w:color w:val="000000" w:themeColor="text1"/>
          <w:sz w:val="24"/>
          <w:szCs w:val="24"/>
          <w:lang w:val="en-US" w:eastAsia="zh-CN" w:bidi="en-US"/>
        </w:rPr>
        <w:t>900</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kern w:val="0"/>
          <w:sz w:val="24"/>
          <w:szCs w:val="24"/>
          <w:lang w:eastAsia="zh-CN"/>
        </w:rPr>
        <w:t>）</w:t>
      </w:r>
      <w:r>
        <w:rPr>
          <w:rFonts w:hint="eastAsia" w:ascii="Times New Roman" w:hAnsi="Times New Roman" w:eastAsia="宋体" w:cs="Times New Roman"/>
          <w:color w:val="000000" w:themeColor="text1"/>
          <w:sz w:val="24"/>
          <w:szCs w:val="24"/>
          <w:lang w:val="en-US" w:eastAsia="zh-CN"/>
        </w:rPr>
        <w:t>，现有项目产能为3万吨/a，现有项目井下除尘废水产生量为</w:t>
      </w:r>
      <w:r>
        <w:rPr>
          <w:rFonts w:hint="eastAsia" w:ascii="Times New Roman" w:hAnsi="Times New Roman" w:eastAsia="宋体" w:cs="Times New Roman"/>
          <w:color w:val="000000" w:themeColor="text1"/>
          <w:kern w:val="0"/>
          <w:sz w:val="24"/>
          <w:szCs w:val="22"/>
          <w:lang w:val="en-US" w:eastAsia="zh-CN"/>
        </w:rPr>
        <w:t>1.8</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w:t>
      </w:r>
      <w:r>
        <w:rPr>
          <w:rFonts w:hint="eastAsia" w:ascii="Times New Roman" w:hAnsi="Times New Roman" w:eastAsia="宋体" w:cs="Times New Roman"/>
          <w:color w:val="000000" w:themeColor="text1"/>
          <w:kern w:val="0"/>
          <w:sz w:val="24"/>
          <w:szCs w:val="24"/>
          <w:lang w:eastAsia="zh-CN"/>
        </w:rPr>
        <w:t>（</w:t>
      </w:r>
      <w:r>
        <w:rPr>
          <w:rFonts w:hint="eastAsia" w:ascii="Times New Roman" w:hAnsi="Times New Roman" w:eastAsia="宋体" w:cs="Times New Roman"/>
          <w:bCs/>
          <w:color w:val="000000" w:themeColor="text1"/>
          <w:sz w:val="24"/>
          <w:szCs w:val="24"/>
          <w:lang w:val="en-US" w:eastAsia="zh-CN" w:bidi="en-US"/>
        </w:rPr>
        <w:t>540</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kern w:val="0"/>
          <w:sz w:val="24"/>
          <w:szCs w:val="24"/>
          <w:lang w:eastAsia="zh-CN"/>
        </w:rPr>
        <w:t>），现有项目与扩建项目除尘废水均沉淀后回用，不外排</w:t>
      </w:r>
      <w:r>
        <w:rPr>
          <w:rFonts w:hint="eastAsia" w:ascii="Times New Roman" w:hAnsi="Times New Roman" w:eastAsia="宋体" w:cs="Times New Roman"/>
          <w:color w:val="000000" w:themeColor="text1"/>
          <w:sz w:val="24"/>
          <w:szCs w:val="24"/>
          <w:lang w:val="en-US" w:eastAsia="zh-CN"/>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3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eastAsia" w:ascii="Times New Roman" w:hAnsi="Times New Roman" w:eastAsia="宋体" w:cs="Times New Roman"/>
          <w:color w:val="000000" w:themeColor="text1"/>
          <w:sz w:val="24"/>
          <w:szCs w:val="24"/>
          <w:lang w:eastAsia="zh-CN"/>
        </w:rPr>
        <w:t>③</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矿石堆场</w:t>
      </w:r>
      <w:r>
        <w:rPr>
          <w:rFonts w:hint="default" w:ascii="Times New Roman" w:hAnsi="Times New Roman" w:eastAsia="宋体" w:cs="Times New Roman"/>
          <w:color w:val="000000" w:themeColor="text1"/>
          <w:sz w:val="24"/>
          <w:szCs w:val="24"/>
        </w:rPr>
        <w:t>除尘</w:t>
      </w:r>
      <w:r>
        <w:rPr>
          <w:rFonts w:hint="eastAsia" w:ascii="Times New Roman" w:hAnsi="Times New Roman" w:eastAsia="宋体" w:cs="Times New Roman"/>
          <w:color w:val="000000" w:themeColor="text1"/>
          <w:sz w:val="24"/>
          <w:szCs w:val="24"/>
          <w:lang w:eastAsia="zh-CN"/>
        </w:rPr>
        <w:t>废水</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根据工程分析，</w:t>
      </w:r>
      <w:r>
        <w:rPr>
          <w:rFonts w:hint="default" w:ascii="Times New Roman" w:hAnsi="Times New Roman" w:eastAsia="宋体" w:cs="Times New Roman"/>
          <w:color w:val="000000" w:themeColor="text1"/>
          <w:sz w:val="24"/>
          <w:szCs w:val="24"/>
          <w:lang w:eastAsia="zh-CN"/>
        </w:rPr>
        <w:t>扩建项目</w:t>
      </w:r>
      <w:r>
        <w:rPr>
          <w:rFonts w:hint="eastAsia" w:ascii="Times New Roman" w:hAnsi="Times New Roman" w:eastAsia="宋体" w:cs="Times New Roman"/>
          <w:color w:val="000000" w:themeColor="text1"/>
          <w:sz w:val="24"/>
          <w:szCs w:val="24"/>
          <w:lang w:eastAsia="zh-CN"/>
        </w:rPr>
        <w:t>产能</w:t>
      </w:r>
      <w:r>
        <w:rPr>
          <w:rFonts w:hint="eastAsia" w:ascii="Times New Roman" w:hAnsi="Times New Roman" w:eastAsia="宋体" w:cs="Times New Roman"/>
          <w:color w:val="000000" w:themeColor="text1"/>
          <w:sz w:val="24"/>
          <w:szCs w:val="24"/>
          <w:lang w:val="en-US" w:eastAsia="zh-CN"/>
        </w:rPr>
        <w:t>5万吨/a矿石堆场除尘废水产生量为</w:t>
      </w:r>
      <w:r>
        <w:rPr>
          <w:rFonts w:hint="eastAsia" w:ascii="Times New Roman" w:hAnsi="Times New Roman" w:eastAsia="宋体" w:cs="Times New Roman"/>
          <w:color w:val="000000" w:themeColor="text1"/>
          <w:kern w:val="0"/>
          <w:sz w:val="24"/>
          <w:szCs w:val="22"/>
          <w:lang w:val="en-US" w:eastAsia="zh-CN"/>
        </w:rPr>
        <w:t>1</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w:t>
      </w:r>
      <w:r>
        <w:rPr>
          <w:rFonts w:hint="eastAsia" w:ascii="Times New Roman" w:hAnsi="Times New Roman" w:eastAsia="宋体" w:cs="Times New Roman"/>
          <w:color w:val="000000" w:themeColor="text1"/>
          <w:kern w:val="0"/>
          <w:sz w:val="24"/>
          <w:szCs w:val="24"/>
          <w:lang w:eastAsia="zh-CN"/>
        </w:rPr>
        <w:t>（</w:t>
      </w:r>
      <w:r>
        <w:rPr>
          <w:rFonts w:hint="eastAsia" w:ascii="Times New Roman" w:hAnsi="Times New Roman" w:eastAsia="宋体" w:cs="Times New Roman"/>
          <w:bCs/>
          <w:color w:val="000000" w:themeColor="text1"/>
          <w:sz w:val="24"/>
          <w:szCs w:val="24"/>
          <w:lang w:val="en-US" w:eastAsia="zh-CN" w:bidi="en-US"/>
        </w:rPr>
        <w:t>300</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kern w:val="0"/>
          <w:sz w:val="24"/>
          <w:szCs w:val="24"/>
          <w:lang w:eastAsia="zh-CN"/>
        </w:rPr>
        <w:t>）</w:t>
      </w:r>
      <w:r>
        <w:rPr>
          <w:rFonts w:hint="eastAsia" w:ascii="Times New Roman" w:hAnsi="Times New Roman" w:eastAsia="宋体" w:cs="Times New Roman"/>
          <w:color w:val="000000" w:themeColor="text1"/>
          <w:sz w:val="24"/>
          <w:szCs w:val="24"/>
          <w:lang w:val="en-US" w:eastAsia="zh-CN"/>
        </w:rPr>
        <w:t>，现有项目产能为3万吨/a，现有项目井下除尘废水产生量为</w:t>
      </w:r>
      <w:r>
        <w:rPr>
          <w:rFonts w:hint="eastAsia" w:ascii="Times New Roman" w:hAnsi="Times New Roman" w:eastAsia="宋体" w:cs="Times New Roman"/>
          <w:color w:val="000000" w:themeColor="text1"/>
          <w:kern w:val="0"/>
          <w:sz w:val="24"/>
          <w:szCs w:val="22"/>
          <w:lang w:val="en-US" w:eastAsia="zh-CN"/>
        </w:rPr>
        <w:t>0.6</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w:t>
      </w:r>
      <w:r>
        <w:rPr>
          <w:rFonts w:hint="eastAsia" w:ascii="Times New Roman" w:hAnsi="Times New Roman" w:eastAsia="宋体" w:cs="Times New Roman"/>
          <w:color w:val="000000" w:themeColor="text1"/>
          <w:kern w:val="0"/>
          <w:sz w:val="24"/>
          <w:szCs w:val="24"/>
          <w:lang w:eastAsia="zh-CN"/>
        </w:rPr>
        <w:t>（</w:t>
      </w:r>
      <w:r>
        <w:rPr>
          <w:rFonts w:hint="eastAsia" w:ascii="Times New Roman" w:hAnsi="Times New Roman" w:eastAsia="宋体" w:cs="Times New Roman"/>
          <w:bCs/>
          <w:color w:val="000000" w:themeColor="text1"/>
          <w:sz w:val="24"/>
          <w:szCs w:val="24"/>
          <w:lang w:val="en-US" w:eastAsia="zh-CN" w:bidi="en-US"/>
        </w:rPr>
        <w:t>180</w:t>
      </w:r>
      <w:r>
        <w:rPr>
          <w:rFonts w:hint="default" w:ascii="Times New Roman" w:hAnsi="Times New Roman" w:eastAsia="宋体" w:cs="Times New Roman"/>
          <w:color w:val="000000" w:themeColor="text1"/>
          <w:sz w:val="24"/>
          <w:szCs w:val="24"/>
          <w:lang w:val="en-US" w:eastAsia="zh-CN"/>
        </w:rPr>
        <w:t>t/a</w:t>
      </w:r>
      <w:r>
        <w:rPr>
          <w:rFonts w:hint="eastAsia" w:ascii="Times New Roman" w:hAnsi="Times New Roman" w:eastAsia="宋体" w:cs="Times New Roman"/>
          <w:color w:val="000000" w:themeColor="text1"/>
          <w:kern w:val="0"/>
          <w:sz w:val="24"/>
          <w:szCs w:val="24"/>
          <w:lang w:eastAsia="zh-CN"/>
        </w:rPr>
        <w:t>），现有项目与扩建项目除尘废水均沉淀后回用，不外排</w:t>
      </w:r>
      <w:r>
        <w:rPr>
          <w:rFonts w:hint="eastAsia" w:ascii="Times New Roman" w:hAnsi="Times New Roman" w:eastAsia="宋体" w:cs="Times New Roman"/>
          <w:color w:val="000000" w:themeColor="text1"/>
          <w:sz w:val="24"/>
          <w:szCs w:val="24"/>
          <w:lang w:val="en-US" w:eastAsia="zh-CN"/>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4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eastAsia" w:ascii="Times New Roman" w:hAnsi="Times New Roman" w:eastAsia="宋体" w:cs="Times New Roman"/>
          <w:color w:val="000000" w:themeColor="text1"/>
          <w:sz w:val="24"/>
          <w:szCs w:val="24"/>
          <w:lang w:eastAsia="zh-CN"/>
        </w:rPr>
        <w:t>④</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生活废水</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eastAsiaTheme="minorEastAsia"/>
          <w:color w:val="000000" w:themeColor="text1"/>
          <w:lang w:val="en-US" w:eastAsia="zh-CN"/>
        </w:rPr>
      </w:pPr>
      <w:r>
        <w:rPr>
          <w:rFonts w:hint="eastAsia" w:ascii="Times New Roman" w:hAnsi="Times New Roman" w:cs="Times New Roman"/>
          <w:color w:val="000000" w:themeColor="text1"/>
          <w:sz w:val="24"/>
          <w:lang w:eastAsia="zh-CN"/>
        </w:rPr>
        <w:t>现有项目生活废水产生量按照扩建工程进行折算，扩建工程</w:t>
      </w:r>
      <w:r>
        <w:rPr>
          <w:rFonts w:hint="eastAsia" w:ascii="Times New Roman" w:hAnsi="Times New Roman" w:cs="Times New Roman"/>
          <w:color w:val="000000" w:themeColor="text1"/>
          <w:sz w:val="24"/>
          <w:lang w:val="en-US" w:eastAsia="zh-CN"/>
        </w:rPr>
        <w:t>21人，根据工程分析，扩建工程生活废水产生量为151.2m</w:t>
      </w:r>
      <w:r>
        <w:rPr>
          <w:rFonts w:hint="eastAsia" w:ascii="Times New Roman" w:hAnsi="Times New Roman" w:cs="Times New Roman"/>
          <w:color w:val="000000" w:themeColor="text1"/>
          <w:sz w:val="24"/>
          <w:vertAlign w:val="superscript"/>
          <w:lang w:val="en-US" w:eastAsia="zh-CN"/>
        </w:rPr>
        <w:t>3</w:t>
      </w:r>
      <w:r>
        <w:rPr>
          <w:rFonts w:hint="eastAsia" w:ascii="Times New Roman" w:hAnsi="Times New Roman" w:cs="Times New Roman"/>
          <w:color w:val="000000" w:themeColor="text1"/>
          <w:sz w:val="24"/>
          <w:vertAlign w:val="baseline"/>
          <w:lang w:val="en-US" w:eastAsia="zh-CN"/>
        </w:rPr>
        <w:t>/a，</w:t>
      </w:r>
      <w:r>
        <w:rPr>
          <w:rFonts w:hint="eastAsia" w:ascii="Times New Roman" w:hAnsi="Times New Roman" w:cs="Times New Roman"/>
          <w:color w:val="000000" w:themeColor="text1"/>
          <w:sz w:val="24"/>
          <w:lang w:val="en-US" w:eastAsia="zh-CN"/>
        </w:rPr>
        <w:t>现有项目15人，</w:t>
      </w:r>
      <w:r>
        <w:rPr>
          <w:rFonts w:hint="eastAsia" w:ascii="Times New Roman" w:hAnsi="Times New Roman" w:cs="Times New Roman"/>
          <w:color w:val="000000" w:themeColor="text1"/>
          <w:sz w:val="24"/>
          <w:lang w:eastAsia="zh-CN"/>
        </w:rPr>
        <w:t>现有工程废水产生量约为</w:t>
      </w:r>
      <w:r>
        <w:rPr>
          <w:rFonts w:hint="eastAsia" w:ascii="Times New Roman" w:hAnsi="Times New Roman" w:cs="Times New Roman"/>
          <w:color w:val="000000" w:themeColor="text1"/>
          <w:sz w:val="24"/>
          <w:lang w:val="en-US" w:eastAsia="zh-CN"/>
        </w:rPr>
        <w:t>108m</w:t>
      </w:r>
      <w:r>
        <w:rPr>
          <w:rFonts w:hint="eastAsia" w:ascii="Times New Roman" w:hAnsi="Times New Roman" w:cs="Times New Roman"/>
          <w:color w:val="000000" w:themeColor="text1"/>
          <w:sz w:val="24"/>
          <w:vertAlign w:val="superscript"/>
          <w:lang w:val="en-US" w:eastAsia="zh-CN"/>
        </w:rPr>
        <w:t>3</w:t>
      </w:r>
      <w:r>
        <w:rPr>
          <w:rFonts w:hint="eastAsia" w:ascii="Times New Roman" w:hAnsi="Times New Roman" w:cs="Times New Roman"/>
          <w:color w:val="000000" w:themeColor="text1"/>
          <w:sz w:val="24"/>
          <w:vertAlign w:val="baseline"/>
          <w:lang w:val="en-US" w:eastAsia="zh-CN"/>
        </w:rPr>
        <w:t>/a，废水全部用于肥田，不外排。</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bookmarkStart w:id="194" w:name="_Toc14221_WPSOffice_Level3"/>
      <w:bookmarkStart w:id="195" w:name="_Toc23913_WPSOffice_Level3"/>
      <w:r>
        <w:rPr>
          <w:rFonts w:hint="eastAsia" w:ascii="Times New Roman" w:hAnsi="Times New Roman" w:eastAsia="宋体" w:cs="Times New Roman"/>
          <w:color w:val="000000" w:themeColor="text1"/>
          <w:sz w:val="24"/>
          <w:szCs w:val="24"/>
          <w:lang w:val="en-US" w:eastAsia="zh-CN"/>
        </w:rPr>
        <w:t>C.固废</w:t>
      </w:r>
      <w:bookmarkEnd w:id="194"/>
      <w:bookmarkEnd w:id="195"/>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1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采矿废石</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eastAsia" w:ascii="Times New Roman" w:hAnsi="Times New Roman" w:eastAsia="宋体" w:cs="Times New Roman"/>
          <w:color w:val="000000" w:themeColor="text1"/>
          <w:sz w:val="24"/>
          <w:szCs w:val="24"/>
          <w:vertAlign w:val="baseline"/>
          <w:lang w:val="en-US" w:eastAsia="zh-CN"/>
        </w:rPr>
      </w:pPr>
      <w:r>
        <w:rPr>
          <w:rFonts w:hint="eastAsia" w:ascii="Times New Roman" w:hAnsi="Times New Roman" w:eastAsia="宋体" w:cs="Times New Roman"/>
          <w:color w:val="000000" w:themeColor="text1"/>
          <w:sz w:val="24"/>
          <w:szCs w:val="24"/>
          <w:lang w:val="en-US" w:eastAsia="zh-CN"/>
        </w:rPr>
        <w:t>根据本项目开发利用方案，K1和K2矿体废石总量为</w:t>
      </w:r>
      <w:r>
        <w:rPr>
          <w:rFonts w:hint="default" w:ascii="Times New Roman" w:hAnsi="Times New Roman" w:eastAsia="宋体" w:cs="Times New Roman"/>
          <w:b w:val="0"/>
          <w:color w:val="000000" w:themeColor="text1"/>
          <w:sz w:val="24"/>
          <w:szCs w:val="24"/>
        </w:rPr>
        <w:t>1.4万m</w:t>
      </w:r>
      <w:r>
        <w:rPr>
          <w:rFonts w:hint="default" w:ascii="Times New Roman" w:hAnsi="Times New Roman" w:eastAsia="宋体" w:cs="Times New Roman"/>
          <w:b w:val="0"/>
          <w:color w:val="000000" w:themeColor="text1"/>
          <w:sz w:val="24"/>
          <w:szCs w:val="24"/>
          <w:vertAlign w:val="superscript"/>
        </w:rPr>
        <w:t>3</w:t>
      </w:r>
      <w:r>
        <w:rPr>
          <w:rFonts w:hint="eastAsia" w:ascii="Times New Roman" w:hAnsi="Times New Roman" w:eastAsia="宋体" w:cs="Times New Roman"/>
          <w:b w:val="0"/>
          <w:color w:val="000000" w:themeColor="text1"/>
          <w:sz w:val="24"/>
          <w:szCs w:val="24"/>
          <w:vertAlign w:val="baseline"/>
          <w:lang w:eastAsia="zh-CN"/>
        </w:rPr>
        <w:t>。</w:t>
      </w:r>
      <w:r>
        <w:rPr>
          <w:rFonts w:hint="eastAsia" w:ascii="Times New Roman" w:hAnsi="Times New Roman" w:eastAsia="宋体" w:cs="Times New Roman"/>
          <w:color w:val="000000" w:themeColor="text1"/>
          <w:sz w:val="24"/>
          <w:szCs w:val="24"/>
          <w:lang w:eastAsia="zh-CN"/>
        </w:rPr>
        <w:t>现有项目采矿废石产生量约为</w:t>
      </w:r>
      <w:r>
        <w:rPr>
          <w:rFonts w:hint="eastAsia" w:ascii="Times New Roman" w:hAnsi="Times New Roman" w:eastAsia="宋体" w:cs="Times New Roman"/>
          <w:color w:val="000000" w:themeColor="text1"/>
          <w:sz w:val="24"/>
          <w:szCs w:val="24"/>
          <w:lang w:val="en-US" w:eastAsia="zh-CN"/>
        </w:rPr>
        <w:t>0.3</w:t>
      </w:r>
      <w:r>
        <w:rPr>
          <w:rFonts w:hint="default" w:ascii="Times New Roman" w:hAnsi="Times New Roman" w:eastAsia="宋体" w:cs="Times New Roman"/>
          <w:b w:val="0"/>
          <w:color w:val="000000" w:themeColor="text1"/>
          <w:sz w:val="24"/>
          <w:szCs w:val="24"/>
        </w:rPr>
        <w:t>万m</w:t>
      </w:r>
      <w:r>
        <w:rPr>
          <w:rFonts w:hint="default" w:ascii="Times New Roman" w:hAnsi="Times New Roman" w:eastAsia="宋体" w:cs="Times New Roman"/>
          <w:b w:val="0"/>
          <w:color w:val="000000" w:themeColor="text1"/>
          <w:sz w:val="24"/>
          <w:szCs w:val="24"/>
          <w:vertAlign w:val="superscript"/>
        </w:rPr>
        <w:t>3</w:t>
      </w:r>
      <w:r>
        <w:rPr>
          <w:rFonts w:hint="eastAsia" w:ascii="Times New Roman" w:hAnsi="Times New Roman" w:eastAsia="宋体" w:cs="Times New Roman"/>
          <w:color w:val="000000" w:themeColor="text1"/>
          <w:sz w:val="24"/>
          <w:szCs w:val="24"/>
          <w:lang w:eastAsia="zh-CN"/>
        </w:rPr>
        <w:t>，一部分用于矿区基建外，剩余全部堆放于硐口下方的废石场，根据估算，堆放量约为</w:t>
      </w:r>
      <w:r>
        <w:rPr>
          <w:rFonts w:hint="eastAsia" w:ascii="Times New Roman" w:hAnsi="Times New Roman" w:eastAsia="宋体" w:cs="Times New Roman"/>
          <w:color w:val="000000" w:themeColor="text1"/>
          <w:sz w:val="24"/>
          <w:szCs w:val="24"/>
          <w:lang w:val="en-US" w:eastAsia="zh-CN"/>
        </w:rPr>
        <w:t>0.2</w:t>
      </w:r>
      <w:r>
        <w:rPr>
          <w:rFonts w:hint="default" w:ascii="Times New Roman" w:hAnsi="Times New Roman" w:eastAsia="宋体" w:cs="Times New Roman"/>
          <w:b w:val="0"/>
          <w:color w:val="000000" w:themeColor="text1"/>
          <w:sz w:val="24"/>
          <w:szCs w:val="24"/>
        </w:rPr>
        <w:t>万m</w:t>
      </w:r>
      <w:r>
        <w:rPr>
          <w:rFonts w:hint="default" w:ascii="Times New Roman" w:hAnsi="Times New Roman" w:eastAsia="宋体" w:cs="Times New Roman"/>
          <w:b w:val="0"/>
          <w:color w:val="000000" w:themeColor="text1"/>
          <w:sz w:val="24"/>
          <w:szCs w:val="24"/>
          <w:vertAlign w:val="superscript"/>
        </w:rPr>
        <w:t>3</w:t>
      </w:r>
      <w:r>
        <w:rPr>
          <w:rFonts w:hint="eastAsia" w:ascii="Times New Roman" w:hAnsi="Times New Roman" w:eastAsia="宋体" w:cs="Times New Roman"/>
          <w:b w:val="0"/>
          <w:color w:val="000000" w:themeColor="text1"/>
          <w:sz w:val="24"/>
          <w:szCs w:val="24"/>
          <w:vertAlign w:val="baseline"/>
          <w:lang w:eastAsia="zh-CN"/>
        </w:rPr>
        <w:t>。扩建工程废石量为</w:t>
      </w:r>
      <w:r>
        <w:rPr>
          <w:rFonts w:hint="eastAsia" w:ascii="Times New Roman" w:hAnsi="Times New Roman" w:eastAsia="宋体" w:cs="Times New Roman"/>
          <w:b w:val="0"/>
          <w:color w:val="000000" w:themeColor="text1"/>
          <w:sz w:val="24"/>
          <w:szCs w:val="24"/>
          <w:vertAlign w:val="baseline"/>
          <w:lang w:val="en-US" w:eastAsia="zh-CN"/>
        </w:rPr>
        <w:t>1.1</w:t>
      </w:r>
      <w:r>
        <w:rPr>
          <w:rFonts w:hint="default" w:ascii="Times New Roman" w:hAnsi="Times New Roman" w:eastAsia="宋体" w:cs="Times New Roman"/>
          <w:b w:val="0"/>
          <w:color w:val="000000" w:themeColor="text1"/>
          <w:sz w:val="24"/>
          <w:szCs w:val="24"/>
        </w:rPr>
        <w:t>万m</w:t>
      </w:r>
      <w:r>
        <w:rPr>
          <w:rFonts w:hint="default" w:ascii="Times New Roman" w:hAnsi="Times New Roman" w:eastAsia="宋体" w:cs="Times New Roman"/>
          <w:b w:val="0"/>
          <w:color w:val="000000" w:themeColor="text1"/>
          <w:sz w:val="24"/>
          <w:szCs w:val="24"/>
          <w:vertAlign w:val="superscript"/>
        </w:rPr>
        <w:t>3</w:t>
      </w:r>
      <w:r>
        <w:rPr>
          <w:rFonts w:hint="eastAsia" w:ascii="Times New Roman" w:hAnsi="Times New Roman" w:eastAsia="宋体" w:cs="Times New Roman"/>
          <w:b w:val="0"/>
          <w:color w:val="000000" w:themeColor="text1"/>
          <w:sz w:val="24"/>
          <w:szCs w:val="24"/>
          <w:vertAlign w:val="baseline"/>
          <w:lang w:eastAsia="zh-CN"/>
        </w:rPr>
        <w:t>，大约</w:t>
      </w:r>
      <w:r>
        <w:rPr>
          <w:rFonts w:hint="eastAsia" w:ascii="Times New Roman" w:hAnsi="Times New Roman" w:eastAsia="宋体" w:cs="Times New Roman"/>
          <w:b w:val="0"/>
          <w:color w:val="000000" w:themeColor="text1"/>
          <w:sz w:val="24"/>
          <w:szCs w:val="24"/>
          <w:vertAlign w:val="baseline"/>
          <w:lang w:val="en-US" w:eastAsia="zh-CN"/>
        </w:rPr>
        <w:t>0.1</w:t>
      </w:r>
      <w:r>
        <w:rPr>
          <w:rFonts w:hint="default" w:ascii="Times New Roman" w:hAnsi="Times New Roman" w:eastAsia="宋体" w:cs="Times New Roman"/>
          <w:b w:val="0"/>
          <w:color w:val="000000" w:themeColor="text1"/>
          <w:sz w:val="24"/>
          <w:szCs w:val="24"/>
        </w:rPr>
        <w:t>万m</w:t>
      </w:r>
      <w:r>
        <w:rPr>
          <w:rFonts w:hint="default" w:ascii="Times New Roman" w:hAnsi="Times New Roman" w:eastAsia="宋体" w:cs="Times New Roman"/>
          <w:b w:val="0"/>
          <w:color w:val="000000" w:themeColor="text1"/>
          <w:sz w:val="24"/>
          <w:szCs w:val="24"/>
          <w:vertAlign w:val="superscript"/>
        </w:rPr>
        <w:t>3</w:t>
      </w:r>
      <w:r>
        <w:rPr>
          <w:rFonts w:hint="eastAsia" w:ascii="Times New Roman" w:hAnsi="Times New Roman" w:eastAsia="宋体" w:cs="Times New Roman"/>
          <w:color w:val="000000" w:themeColor="text1"/>
          <w:sz w:val="24"/>
          <w:szCs w:val="24"/>
          <w:lang w:eastAsia="zh-CN"/>
        </w:rPr>
        <w:t>用于后期的矿区基建，剩余</w:t>
      </w:r>
      <w:r>
        <w:rPr>
          <w:rFonts w:hint="eastAsia" w:ascii="Times New Roman" w:hAnsi="Times New Roman" w:eastAsia="宋体" w:cs="Times New Roman"/>
          <w:b w:val="0"/>
          <w:color w:val="000000" w:themeColor="text1"/>
          <w:sz w:val="24"/>
          <w:szCs w:val="24"/>
          <w:vertAlign w:val="baseline"/>
          <w:lang w:val="en-US" w:eastAsia="zh-CN"/>
        </w:rPr>
        <w:t>1.0</w:t>
      </w:r>
      <w:r>
        <w:rPr>
          <w:rFonts w:hint="default" w:ascii="Times New Roman" w:hAnsi="Times New Roman" w:eastAsia="宋体" w:cs="Times New Roman"/>
          <w:b w:val="0"/>
          <w:color w:val="000000" w:themeColor="text1"/>
          <w:sz w:val="24"/>
          <w:szCs w:val="24"/>
        </w:rPr>
        <w:t>万m</w:t>
      </w:r>
      <w:r>
        <w:rPr>
          <w:rFonts w:hint="default" w:ascii="Times New Roman" w:hAnsi="Times New Roman" w:eastAsia="宋体" w:cs="Times New Roman"/>
          <w:b w:val="0"/>
          <w:color w:val="000000" w:themeColor="text1"/>
          <w:sz w:val="24"/>
          <w:szCs w:val="24"/>
          <w:vertAlign w:val="superscript"/>
        </w:rPr>
        <w:t>3</w:t>
      </w:r>
      <w:r>
        <w:rPr>
          <w:rFonts w:hint="eastAsia" w:ascii="Times New Roman" w:hAnsi="Times New Roman" w:eastAsia="宋体" w:cs="Times New Roman"/>
          <w:b w:val="0"/>
          <w:color w:val="000000" w:themeColor="text1"/>
          <w:sz w:val="24"/>
          <w:szCs w:val="24"/>
          <w:vertAlign w:val="baseline"/>
          <w:lang w:eastAsia="zh-CN"/>
        </w:rPr>
        <w:t>全部井下充填，不再新建废石场，也不再向现有废石场排放废石。</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2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lang w:eastAsia="zh-CN"/>
        </w:rPr>
        <w:t>②</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废机油</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根据工程分析，</w:t>
      </w:r>
      <w:r>
        <w:rPr>
          <w:rFonts w:hint="default" w:ascii="Times New Roman" w:hAnsi="Times New Roman" w:eastAsia="宋体" w:cs="Times New Roman"/>
          <w:color w:val="000000" w:themeColor="text1"/>
          <w:sz w:val="24"/>
          <w:szCs w:val="24"/>
          <w:lang w:eastAsia="zh-CN"/>
        </w:rPr>
        <w:t>扩建项目</w:t>
      </w:r>
      <w:r>
        <w:rPr>
          <w:rFonts w:hint="eastAsia" w:ascii="Times New Roman" w:hAnsi="Times New Roman" w:eastAsia="宋体" w:cs="Times New Roman"/>
          <w:color w:val="000000" w:themeColor="text1"/>
          <w:sz w:val="24"/>
          <w:szCs w:val="24"/>
          <w:lang w:eastAsia="zh-CN"/>
        </w:rPr>
        <w:t>产能</w:t>
      </w:r>
      <w:r>
        <w:rPr>
          <w:rFonts w:hint="eastAsia" w:ascii="Times New Roman" w:hAnsi="Times New Roman" w:eastAsia="宋体" w:cs="Times New Roman"/>
          <w:color w:val="000000" w:themeColor="text1"/>
          <w:sz w:val="24"/>
          <w:szCs w:val="24"/>
          <w:lang w:val="en-US" w:eastAsia="zh-CN"/>
        </w:rPr>
        <w:t>5万吨/a废机油产生量为</w:t>
      </w:r>
      <w:r>
        <w:rPr>
          <w:rFonts w:hint="default" w:ascii="Times New Roman" w:hAnsi="Times New Roman" w:eastAsia="宋体" w:cs="Times New Roman"/>
          <w:color w:val="000000" w:themeColor="text1"/>
          <w:sz w:val="24"/>
          <w:szCs w:val="24"/>
        </w:rPr>
        <w:t>0.01t/a</w:t>
      </w:r>
      <w:r>
        <w:rPr>
          <w:rFonts w:hint="eastAsia" w:ascii="Times New Roman" w:hAnsi="Times New Roman" w:eastAsia="宋体" w:cs="Times New Roman"/>
          <w:color w:val="000000" w:themeColor="text1"/>
          <w:sz w:val="24"/>
          <w:szCs w:val="24"/>
          <w:lang w:val="en-US" w:eastAsia="zh-CN"/>
        </w:rPr>
        <w:t>，现有项目产能为3万吨/a，现有项目废机油产生量为</w:t>
      </w:r>
      <w:r>
        <w:rPr>
          <w:rFonts w:hint="eastAsia" w:ascii="Times New Roman" w:hAnsi="Times New Roman" w:eastAsia="宋体" w:cs="Times New Roman"/>
          <w:color w:val="000000" w:themeColor="text1"/>
          <w:kern w:val="0"/>
          <w:sz w:val="24"/>
          <w:szCs w:val="22"/>
          <w:lang w:val="en-US" w:eastAsia="zh-CN"/>
        </w:rPr>
        <w:t>0.006</w:t>
      </w:r>
      <w:r>
        <w:rPr>
          <w:rFonts w:hint="default"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kern w:val="0"/>
          <w:sz w:val="24"/>
          <w:szCs w:val="24"/>
          <w:lang w:eastAsia="zh-CN"/>
        </w:rPr>
        <w:t>，现有项目与扩建项目废机油均收集于危险废物暂存间，交由有资质单位处置，不外排。</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fldChar w:fldCharType="begin"/>
      </w:r>
      <w:r>
        <w:rPr>
          <w:rFonts w:hint="eastAsia" w:ascii="Times New Roman" w:hAnsi="Times New Roman" w:eastAsia="宋体" w:cs="Times New Roman"/>
          <w:color w:val="000000" w:themeColor="text1"/>
          <w:sz w:val="24"/>
          <w:szCs w:val="24"/>
          <w:lang w:eastAsia="zh-CN"/>
        </w:rPr>
        <w:instrText xml:space="preserve"> = 3 \* GB3 \* MERGEFORMAT </w:instrText>
      </w:r>
      <w:r>
        <w:rPr>
          <w:rFonts w:hint="eastAsia" w:ascii="Times New Roman" w:hAnsi="Times New Roman" w:eastAsia="宋体" w:cs="Times New Roman"/>
          <w:color w:val="000000" w:themeColor="text1"/>
          <w:sz w:val="24"/>
          <w:szCs w:val="24"/>
          <w:lang w:eastAsia="zh-CN"/>
        </w:rPr>
        <w:fldChar w:fldCharType="separate"/>
      </w:r>
      <w:r>
        <w:rPr>
          <w:rFonts w:hint="eastAsia" w:ascii="Times New Roman" w:hAnsi="Times New Roman" w:eastAsia="宋体" w:cs="Times New Roman"/>
          <w:color w:val="000000" w:themeColor="text1"/>
          <w:sz w:val="24"/>
          <w:szCs w:val="24"/>
          <w:lang w:eastAsia="zh-CN"/>
        </w:rPr>
        <w:t>③</w:t>
      </w:r>
      <w:r>
        <w:rPr>
          <w:rFonts w:hint="eastAsia"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生活垃圾</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cs="Times New Roman"/>
          <w:color w:val="000000" w:themeColor="text1"/>
          <w:sz w:val="24"/>
          <w:lang w:eastAsia="zh-CN"/>
        </w:rPr>
        <w:t>现有项目生活垃圾产生量按照扩建工程进行折算，扩建工程</w:t>
      </w:r>
      <w:r>
        <w:rPr>
          <w:rFonts w:hint="eastAsia" w:ascii="Times New Roman" w:hAnsi="Times New Roman" w:cs="Times New Roman"/>
          <w:color w:val="000000" w:themeColor="text1"/>
          <w:sz w:val="24"/>
          <w:lang w:val="en-US" w:eastAsia="zh-CN"/>
        </w:rPr>
        <w:t>21人，根据工程分析，扩建工程生活垃圾产生量为3.15</w:t>
      </w:r>
      <w:r>
        <w:rPr>
          <w:rFonts w:hint="default" w:ascii="Times New Roman" w:hAnsi="Times New Roman" w:eastAsia="宋体" w:cs="Times New Roman"/>
          <w:color w:val="000000" w:themeColor="text1"/>
          <w:sz w:val="24"/>
          <w:szCs w:val="24"/>
        </w:rPr>
        <w:t>t</w:t>
      </w:r>
      <w:r>
        <w:rPr>
          <w:rFonts w:hint="eastAsia" w:ascii="Times New Roman" w:hAnsi="Times New Roman" w:cs="Times New Roman"/>
          <w:color w:val="000000" w:themeColor="text1"/>
          <w:sz w:val="24"/>
          <w:vertAlign w:val="baseline"/>
          <w:lang w:val="en-US" w:eastAsia="zh-CN"/>
        </w:rPr>
        <w:t>/a，</w:t>
      </w:r>
      <w:r>
        <w:rPr>
          <w:rFonts w:hint="eastAsia" w:ascii="Times New Roman" w:hAnsi="Times New Roman" w:cs="Times New Roman"/>
          <w:color w:val="000000" w:themeColor="text1"/>
          <w:sz w:val="24"/>
          <w:lang w:val="en-US" w:eastAsia="zh-CN"/>
        </w:rPr>
        <w:t>现有项目15人，</w:t>
      </w:r>
      <w:r>
        <w:rPr>
          <w:rFonts w:hint="eastAsia" w:ascii="Times New Roman" w:hAnsi="Times New Roman" w:cs="Times New Roman"/>
          <w:color w:val="000000" w:themeColor="text1"/>
          <w:sz w:val="24"/>
          <w:lang w:eastAsia="zh-CN"/>
        </w:rPr>
        <w:t>现有工程废水产生量约为</w:t>
      </w:r>
      <w:r>
        <w:rPr>
          <w:rFonts w:hint="eastAsia" w:ascii="Times New Roman" w:hAnsi="Times New Roman" w:cs="Times New Roman"/>
          <w:color w:val="000000" w:themeColor="text1"/>
          <w:sz w:val="24"/>
          <w:lang w:val="en-US" w:eastAsia="zh-CN"/>
        </w:rPr>
        <w:t>1.89</w:t>
      </w:r>
      <w:r>
        <w:rPr>
          <w:rFonts w:hint="default" w:ascii="Times New Roman" w:hAnsi="Times New Roman" w:eastAsia="宋体" w:cs="Times New Roman"/>
          <w:color w:val="000000" w:themeColor="text1"/>
          <w:sz w:val="24"/>
          <w:szCs w:val="24"/>
        </w:rPr>
        <w:t>t</w:t>
      </w:r>
      <w:r>
        <w:rPr>
          <w:rFonts w:hint="eastAsia" w:ascii="Times New Roman" w:hAnsi="Times New Roman" w:cs="Times New Roman"/>
          <w:color w:val="000000" w:themeColor="text1"/>
          <w:sz w:val="24"/>
          <w:vertAlign w:val="baseline"/>
          <w:lang w:val="en-US" w:eastAsia="zh-CN"/>
        </w:rPr>
        <w:t>/a，现有项目与扩建项目生活垃圾全部交由环卫部门处置，不外排。</w:t>
      </w:r>
    </w:p>
    <w:p>
      <w:pPr>
        <w:pStyle w:val="5"/>
        <w:rPr>
          <w:rFonts w:hint="eastAsia"/>
          <w:color w:val="000000" w:themeColor="text1"/>
          <w:lang w:val="en-US" w:eastAsia="zh-CN"/>
        </w:rPr>
      </w:pPr>
      <w:bookmarkStart w:id="196" w:name="_Toc24724"/>
      <w:bookmarkStart w:id="197" w:name="_Toc11438_WPSOffice_Level3"/>
      <w:r>
        <w:rPr>
          <w:rFonts w:hint="eastAsia"/>
          <w:color w:val="000000" w:themeColor="text1"/>
          <w:lang w:val="en-US" w:eastAsia="zh-CN"/>
        </w:rPr>
        <w:t>现有工程存在的主要环境问题及整改措施</w:t>
      </w:r>
      <w:bookmarkEnd w:id="196"/>
      <w:bookmarkEnd w:id="197"/>
    </w:p>
    <w:p>
      <w:pPr>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主要环境问题</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经现场勘查，现有工程主要存在的环境问题有</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lang w:val="en-US" w:eastAsia="zh-CN"/>
        </w:rPr>
        <w:t>K1</w:t>
      </w:r>
      <w:r>
        <w:rPr>
          <w:rFonts w:hint="default" w:ascii="Times New Roman" w:hAnsi="Times New Roman" w:eastAsia="宋体" w:cs="Times New Roman"/>
          <w:color w:val="FF0000"/>
          <w:sz w:val="24"/>
          <w:szCs w:val="24"/>
        </w:rPr>
        <w:t>矿</w:t>
      </w:r>
      <w:r>
        <w:rPr>
          <w:rFonts w:hint="eastAsia" w:ascii="Times New Roman" w:hAnsi="Times New Roman" w:eastAsia="宋体" w:cs="Times New Roman"/>
          <w:color w:val="FF0000"/>
          <w:sz w:val="24"/>
          <w:szCs w:val="24"/>
          <w:lang w:eastAsia="zh-CN"/>
        </w:rPr>
        <w:t>硐</w:t>
      </w:r>
      <w:r>
        <w:rPr>
          <w:rFonts w:hint="default" w:ascii="Times New Roman" w:hAnsi="Times New Roman" w:eastAsia="宋体" w:cs="Times New Roman"/>
          <w:color w:val="FF0000"/>
          <w:sz w:val="24"/>
          <w:szCs w:val="24"/>
        </w:rPr>
        <w:t>产生的废石</w:t>
      </w:r>
      <w:r>
        <w:rPr>
          <w:rFonts w:hint="default" w:ascii="Times New Roman" w:hAnsi="Times New Roman" w:eastAsia="宋体" w:cs="Times New Roman"/>
          <w:color w:val="FF0000"/>
          <w:sz w:val="24"/>
          <w:szCs w:val="24"/>
          <w:lang w:val="en-US" w:eastAsia="zh-CN"/>
        </w:rPr>
        <w:t>堆放在平硐口边坡下方</w:t>
      </w:r>
      <w:r>
        <w:rPr>
          <w:rFonts w:hint="eastAsia" w:ascii="Times New Roman" w:hAnsi="Times New Roman" w:eastAsia="宋体" w:cs="Times New Roman"/>
          <w:color w:val="FF0000"/>
          <w:sz w:val="24"/>
          <w:szCs w:val="24"/>
          <w:lang w:val="en-US" w:eastAsia="zh-CN"/>
        </w:rPr>
        <w:t>的废石场，由于废石场的废石在堆放前，未按照相关规范要求建设，散乱的堆放于平硐口的边坡，存在占压土地、破坏植被、环境风险等环境问题。目前建设单位已编制了土地复垦方案，方案对废石场的复垦情况进行了详细介绍，</w:t>
      </w:r>
      <w:r>
        <w:rPr>
          <w:rFonts w:hint="default" w:ascii="Times New Roman" w:hAnsi="Times New Roman" w:eastAsia="宋体" w:cs="Times New Roman"/>
          <w:color w:val="FF0000"/>
          <w:sz w:val="24"/>
          <w:szCs w:val="24"/>
          <w:lang w:eastAsia="zh-CN"/>
        </w:rPr>
        <w:t>目前已开始进行土地复垦，</w:t>
      </w:r>
      <w:r>
        <w:rPr>
          <w:rFonts w:hint="eastAsia" w:ascii="Times New Roman" w:hAnsi="Times New Roman" w:eastAsia="宋体" w:cs="Times New Roman"/>
          <w:color w:val="FF0000"/>
          <w:sz w:val="24"/>
          <w:szCs w:val="24"/>
          <w:lang w:val="en-US" w:eastAsia="zh-CN"/>
        </w:rPr>
        <w:t>PD760废石场已恢复，植被生长状况基本良好，但是仍有小范围区域存在土地裸露情况。PD810废石场目前正在覆土阶段，PD660废石场目前尚未开始恢复治理。</w:t>
      </w:r>
      <w:r>
        <w:rPr>
          <w:rFonts w:hint="eastAsia" w:ascii="Times New Roman" w:hAnsi="Times New Roman" w:eastAsia="宋体" w:cs="Times New Roman"/>
          <w:color w:val="FF0000"/>
          <w:sz w:val="24"/>
          <w:szCs w:val="24"/>
          <w:lang w:eastAsia="zh-CN"/>
        </w:rPr>
        <w:t>废石场的现状</w:t>
      </w:r>
      <w:r>
        <w:rPr>
          <w:rFonts w:hint="default" w:ascii="Times New Roman" w:hAnsi="Times New Roman" w:eastAsia="宋体" w:cs="Times New Roman"/>
          <w:color w:val="FF0000"/>
          <w:sz w:val="24"/>
          <w:szCs w:val="24"/>
          <w:lang w:val="en-US" w:eastAsia="zh-CN"/>
        </w:rPr>
        <w:t>如下图所示：</w:t>
      </w:r>
    </w:p>
    <w:p>
      <w:pPr>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FF0000"/>
          <w:sz w:val="21"/>
          <w:szCs w:val="21"/>
          <w:vertAlign w:val="baseline"/>
          <w:lang w:val="en-US" w:eastAsia="zh-CN"/>
        </w:rPr>
      </w:pPr>
      <w:r>
        <w:rPr>
          <w:rFonts w:hint="eastAsia" w:ascii="Times New Roman" w:hAnsi="Times New Roman" w:eastAsia="宋体" w:cs="Times New Roman"/>
          <w:b/>
          <w:bCs/>
          <w:color w:val="FF0000"/>
          <w:sz w:val="21"/>
          <w:szCs w:val="21"/>
          <w:lang w:val="en-US" w:eastAsia="zh-CN"/>
        </w:rPr>
        <w:t>表3.1-4  现有工程废石场情况一览表</w:t>
      </w:r>
    </w:p>
    <w:tbl>
      <w:tblPr>
        <w:tblStyle w:val="40"/>
        <w:tblW w:w="921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04"/>
        <w:gridCol w:w="870"/>
        <w:gridCol w:w="870"/>
        <w:gridCol w:w="1020"/>
        <w:gridCol w:w="1905"/>
        <w:gridCol w:w="32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48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序号</w:t>
            </w:r>
          </w:p>
        </w:tc>
        <w:tc>
          <w:tcPr>
            <w:tcW w:w="8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位置</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废石量（m</w:t>
            </w:r>
            <w:r>
              <w:rPr>
                <w:rFonts w:hint="eastAsia" w:ascii="Times New Roman" w:hAnsi="Times New Roman" w:eastAsia="宋体" w:cs="Times New Roman"/>
                <w:color w:val="000000" w:themeColor="text1"/>
                <w:sz w:val="21"/>
                <w:szCs w:val="21"/>
                <w:vertAlign w:val="superscript"/>
                <w:lang w:val="en-US" w:eastAsia="zh-CN"/>
              </w:rPr>
              <w:t>3</w:t>
            </w:r>
            <w:r>
              <w:rPr>
                <w:rFonts w:hint="eastAsia" w:ascii="Times New Roman" w:hAnsi="Times New Roman" w:eastAsia="宋体" w:cs="Times New Roman"/>
                <w:color w:val="000000" w:themeColor="text1"/>
                <w:sz w:val="21"/>
                <w:szCs w:val="21"/>
                <w:vertAlign w:val="baseline"/>
                <w:lang w:val="en-US" w:eastAsia="zh-CN"/>
              </w:rPr>
              <w:t>）</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占地面积(m</w:t>
            </w:r>
            <w:r>
              <w:rPr>
                <w:rFonts w:hint="eastAsia" w:ascii="Times New Roman" w:hAnsi="Times New Roman" w:eastAsia="宋体" w:cs="Times New Roman"/>
                <w:color w:val="000000" w:themeColor="text1"/>
                <w:sz w:val="21"/>
                <w:szCs w:val="21"/>
                <w:vertAlign w:val="superscript"/>
                <w:lang w:val="en-US" w:eastAsia="zh-CN"/>
              </w:rPr>
              <w:t>2</w:t>
            </w:r>
            <w:r>
              <w:rPr>
                <w:rFonts w:hint="eastAsia" w:ascii="Times New Roman" w:hAnsi="Times New Roman" w:eastAsia="宋体" w:cs="Times New Roman"/>
                <w:color w:val="000000" w:themeColor="text1"/>
                <w:sz w:val="21"/>
                <w:szCs w:val="21"/>
                <w:vertAlign w:val="baseline"/>
                <w:lang w:val="en-US" w:eastAsia="zh-CN"/>
              </w:rPr>
              <w:t>）</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已采取的环保措施</w:t>
            </w:r>
          </w:p>
        </w:tc>
        <w:tc>
          <w:tcPr>
            <w:tcW w:w="19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应进一步采取的措施</w:t>
            </w:r>
          </w:p>
        </w:tc>
        <w:tc>
          <w:tcPr>
            <w:tcW w:w="326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48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w:t>
            </w:r>
          </w:p>
        </w:tc>
        <w:tc>
          <w:tcPr>
            <w:tcW w:w="8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PD660硐口边坡</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810</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1100</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w:t>
            </w:r>
          </w:p>
        </w:tc>
        <w:tc>
          <w:tcPr>
            <w:tcW w:w="19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修建拦渣坝、覆土、绿化</w:t>
            </w:r>
          </w:p>
        </w:tc>
        <w:tc>
          <w:tcPr>
            <w:tcW w:w="326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eastAsiaTheme="minorEastAsia"/>
                <w:color w:val="000000" w:themeColor="text1"/>
                <w:lang w:eastAsia="zh-CN"/>
              </w:rPr>
            </w:pPr>
            <w:r>
              <w:drawing>
                <wp:inline distT="0" distB="0" distL="114300" distR="114300">
                  <wp:extent cx="2020570" cy="2331720"/>
                  <wp:effectExtent l="0" t="0" r="17780" b="1143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20"/>
                          <a:stretch>
                            <a:fillRect/>
                          </a:stretch>
                        </pic:blipFill>
                        <pic:spPr>
                          <a:xfrm>
                            <a:off x="0" y="0"/>
                            <a:ext cx="2020570" cy="2331720"/>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48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2</w:t>
            </w:r>
          </w:p>
        </w:tc>
        <w:tc>
          <w:tcPr>
            <w:tcW w:w="8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PD760硐口边坡</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190</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1000</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拦渣坝、覆土、绿化</w:t>
            </w:r>
          </w:p>
        </w:tc>
        <w:tc>
          <w:tcPr>
            <w:tcW w:w="19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进一步绿化</w:t>
            </w:r>
          </w:p>
        </w:tc>
        <w:tc>
          <w:tcPr>
            <w:tcW w:w="326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drawing>
                <wp:inline distT="0" distB="0" distL="114300" distR="114300">
                  <wp:extent cx="2004695" cy="2173605"/>
                  <wp:effectExtent l="0" t="0" r="14605" b="1714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21"/>
                          <a:stretch>
                            <a:fillRect/>
                          </a:stretch>
                        </pic:blipFill>
                        <pic:spPr>
                          <a:xfrm>
                            <a:off x="0" y="0"/>
                            <a:ext cx="2004695" cy="2173605"/>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48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3</w:t>
            </w:r>
          </w:p>
        </w:tc>
        <w:tc>
          <w:tcPr>
            <w:tcW w:w="80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PD810硐口边坡</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250</w:t>
            </w:r>
          </w:p>
        </w:tc>
        <w:tc>
          <w:tcPr>
            <w:tcW w:w="8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1300</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拦渣坝、覆土</w:t>
            </w:r>
          </w:p>
        </w:tc>
        <w:tc>
          <w:tcPr>
            <w:tcW w:w="19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绿化</w:t>
            </w:r>
          </w:p>
        </w:tc>
        <w:tc>
          <w:tcPr>
            <w:tcW w:w="326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rPr>
            </w:pPr>
            <w:r>
              <w:drawing>
                <wp:inline distT="0" distB="0" distL="114300" distR="114300">
                  <wp:extent cx="2498090" cy="2311400"/>
                  <wp:effectExtent l="0" t="0" r="16510" b="1270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2"/>
                          <a:stretch>
                            <a:fillRect/>
                          </a:stretch>
                        </pic:blipFill>
                        <pic:spPr>
                          <a:xfrm>
                            <a:off x="0" y="0"/>
                            <a:ext cx="2498090" cy="2311400"/>
                          </a:xfrm>
                          <a:prstGeom prst="rect">
                            <a:avLst/>
                          </a:prstGeom>
                          <a:noFill/>
                          <a:ln w="9525">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2、危险废物暂存间建设不规范，地面和裙脚的防渗未达到</w:t>
      </w:r>
      <w:r>
        <w:rPr>
          <w:rFonts w:hint="default" w:ascii="Times New Roman" w:hAnsi="Times New Roman" w:eastAsia="宋体" w:cs="Times New Roman"/>
          <w:b w:val="0"/>
          <w:bCs w:val="0"/>
          <w:color w:val="FF0000"/>
          <w:sz w:val="24"/>
          <w:szCs w:val="24"/>
        </w:rPr>
        <w:t>《危险废物贮存污染控制标准》（GB18597-2001）</w:t>
      </w:r>
      <w:r>
        <w:rPr>
          <w:rFonts w:hint="eastAsia" w:ascii="Times New Roman" w:hAnsi="Times New Roman" w:eastAsia="宋体" w:cs="Times New Roman"/>
          <w:b w:val="0"/>
          <w:bCs w:val="0"/>
          <w:color w:val="FF0000"/>
          <w:sz w:val="24"/>
          <w:szCs w:val="24"/>
          <w:lang w:val="en-US" w:eastAsia="zh-CN"/>
        </w:rPr>
        <w:t>规定的防渗要求。</w:t>
      </w:r>
      <w:r>
        <w:rPr>
          <w:rFonts w:hint="eastAsia" w:ascii="Times New Roman" w:hAnsi="Times New Roman" w:eastAsia="宋体" w:cs="Times New Roman"/>
          <w:color w:val="FF0000"/>
          <w:sz w:val="24"/>
          <w:szCs w:val="24"/>
          <w:lang w:val="en-US" w:eastAsia="zh-CN"/>
        </w:rPr>
        <w:t>危险废物暂存间内放置有除废机油外的其他机具设备，未设置双锁，标识标牌等设置不规范，建设情况如下图所示，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不符合</w:t>
      </w:r>
      <w:r>
        <w:rPr>
          <w:rFonts w:hint="default" w:ascii="Times New Roman" w:hAnsi="Times New Roman" w:eastAsia="宋体" w:cs="Times New Roman"/>
          <w:color w:val="FF0000"/>
          <w:sz w:val="24"/>
          <w:szCs w:val="24"/>
        </w:rPr>
        <w:t>《危险废物贮存污染控制标准》（GB18597-2001）及2013修改单中的相关要求</w:t>
      </w:r>
      <w:r>
        <w:rPr>
          <w:rFonts w:hint="eastAsia" w:ascii="Times New Roman" w:hAnsi="Times New Roman" w:eastAsia="宋体" w:cs="Times New Roman"/>
          <w:color w:val="FF000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firstLine="0" w:firstLineChars="0"/>
        <w:jc w:val="center"/>
        <w:textAlignment w:val="auto"/>
        <w:outlineLvl w:val="9"/>
        <w:rPr>
          <w:color w:val="000000" w:themeColor="text1"/>
        </w:rPr>
      </w:pPr>
      <w:r>
        <w:rPr>
          <w:color w:val="000000" w:themeColor="text1"/>
        </w:rPr>
        <w:drawing>
          <wp:inline distT="0" distB="0" distL="114300" distR="114300">
            <wp:extent cx="2345690" cy="2418080"/>
            <wp:effectExtent l="19050" t="19050" r="35560" b="2032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23"/>
                    <a:stretch>
                      <a:fillRect/>
                    </a:stretch>
                  </pic:blipFill>
                  <pic:spPr>
                    <a:xfrm>
                      <a:off x="0" y="0"/>
                      <a:ext cx="2345690" cy="2418080"/>
                    </a:xfrm>
                    <a:prstGeom prst="rect">
                      <a:avLst/>
                    </a:prstGeom>
                    <a:noFill/>
                    <a:ln w="19050">
                      <a:solidFill>
                        <a:schemeClr val="tx1"/>
                      </a:solidFill>
                    </a:ln>
                  </pic:spPr>
                </pic:pic>
              </a:graphicData>
            </a:graphic>
          </wp:inline>
        </w:drawing>
      </w:r>
    </w:p>
    <w:p>
      <w:pPr>
        <w:pageBreakBefore w:val="0"/>
        <w:widowControl w:val="0"/>
        <w:numPr>
          <w:ilvl w:val="0"/>
          <w:numId w:val="0"/>
        </w:numPr>
        <w:kinsoku/>
        <w:wordWrap/>
        <w:overflowPunct/>
        <w:topLinePunct w:val="0"/>
        <w:autoSpaceDE/>
        <w:autoSpaceDN/>
        <w:bidi w:val="0"/>
        <w:adjustRightInd w:val="0"/>
        <w:snapToGrid w:val="0"/>
        <w:spacing w:before="0" w:after="0" w:line="360" w:lineRule="auto"/>
        <w:jc w:val="center"/>
        <w:textAlignment w:val="auto"/>
        <w:outlineLvl w:val="9"/>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eastAsia="zh-CN"/>
        </w:rPr>
        <w:t>图</w:t>
      </w:r>
      <w:r>
        <w:rPr>
          <w:rFonts w:hint="default" w:ascii="Times New Roman" w:hAnsi="Times New Roman" w:eastAsia="宋体" w:cs="Times New Roman"/>
          <w:b/>
          <w:bCs/>
          <w:color w:val="000000" w:themeColor="text1"/>
          <w:sz w:val="21"/>
          <w:szCs w:val="21"/>
          <w:lang w:val="en-US" w:eastAsia="zh-CN"/>
        </w:rPr>
        <w:t>3.1-</w:t>
      </w:r>
      <w:r>
        <w:rPr>
          <w:rFonts w:hint="eastAsia" w:ascii="Times New Roman" w:hAnsi="Times New Roman" w:eastAsia="宋体" w:cs="Times New Roman"/>
          <w:b/>
          <w:bCs/>
          <w:color w:val="000000" w:themeColor="text1"/>
          <w:sz w:val="21"/>
          <w:szCs w:val="21"/>
          <w:lang w:val="en-US" w:eastAsia="zh-CN"/>
        </w:rPr>
        <w:t>1</w:t>
      </w:r>
      <w:r>
        <w:rPr>
          <w:rFonts w:hint="default" w:ascii="Times New Roman" w:hAnsi="Times New Roman" w:eastAsia="宋体" w:cs="Times New Roman"/>
          <w:b/>
          <w:bCs/>
          <w:color w:val="000000" w:themeColor="text1"/>
          <w:sz w:val="21"/>
          <w:szCs w:val="21"/>
          <w:lang w:val="en-US" w:eastAsia="zh-CN"/>
        </w:rPr>
        <w:t xml:space="preserve">  现有工程的危险废物暂存间</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3、K1矿体的PD810和PD760硐口的工业场地已经建成矿石临时堆棚，并配备有喷淋设施，PD660目前尚未建设矿石临时堆棚和喷淋设置。</w:t>
      </w:r>
    </w:p>
    <w:p>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FF0000"/>
          <w:sz w:val="24"/>
          <w:szCs w:val="24"/>
          <w:lang w:val="en-US" w:eastAsia="zh-CN"/>
        </w:rPr>
        <w:t>4、PD760硐口已建成一个4m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eastAsia="zh-CN"/>
        </w:rPr>
        <w:t>的</w:t>
      </w:r>
      <w:r>
        <w:rPr>
          <w:rFonts w:hint="default" w:ascii="Times New Roman" w:hAnsi="Times New Roman" w:eastAsia="宋体" w:cs="Times New Roman"/>
          <w:color w:val="FF0000"/>
          <w:sz w:val="24"/>
          <w:szCs w:val="24"/>
        </w:rPr>
        <w:t>沉淀池，矿井出水</w:t>
      </w:r>
      <w:r>
        <w:rPr>
          <w:rFonts w:hint="eastAsia" w:ascii="Times New Roman" w:hAnsi="Times New Roman" w:eastAsia="宋体" w:cs="Times New Roman"/>
          <w:color w:val="FF0000"/>
          <w:sz w:val="24"/>
          <w:szCs w:val="24"/>
          <w:lang w:eastAsia="zh-CN"/>
        </w:rPr>
        <w:t>（井下降尘废水</w:t>
      </w:r>
      <w:r>
        <w:rPr>
          <w:rFonts w:hint="eastAsia" w:ascii="Times New Roman" w:hAnsi="Times New Roman" w:eastAsia="宋体" w:cs="Times New Roman"/>
          <w:color w:val="FF0000"/>
          <w:sz w:val="24"/>
          <w:szCs w:val="24"/>
          <w:lang w:val="en-US" w:eastAsia="zh-CN"/>
        </w:rPr>
        <w:t>+涌水</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经</w:t>
      </w:r>
      <w:r>
        <w:rPr>
          <w:rFonts w:hint="eastAsia" w:ascii="Times New Roman" w:hAnsi="Times New Roman" w:eastAsia="宋体" w:cs="Times New Roman"/>
          <w:color w:val="FF0000"/>
          <w:sz w:val="24"/>
          <w:szCs w:val="24"/>
          <w:lang w:val="en-US" w:eastAsia="zh-CN"/>
        </w:rPr>
        <w:t>4m</w:t>
      </w:r>
      <w:r>
        <w:rPr>
          <w:rFonts w:hint="eastAsia"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rPr>
        <w:t>沉淀池</w:t>
      </w:r>
      <w:r>
        <w:rPr>
          <w:rFonts w:hint="eastAsia" w:ascii="Times New Roman" w:hAnsi="Times New Roman" w:eastAsia="宋体" w:cs="Times New Roman"/>
          <w:color w:val="FF0000"/>
          <w:sz w:val="24"/>
          <w:szCs w:val="24"/>
          <w:lang w:eastAsia="zh-CN"/>
        </w:rPr>
        <w:t>沉淀后通过管道流入下方工业场地处的</w:t>
      </w:r>
      <w:r>
        <w:rPr>
          <w:rFonts w:hint="eastAsia" w:ascii="Times New Roman" w:hAnsi="Times New Roman" w:eastAsia="宋体" w:cs="Times New Roman"/>
          <w:color w:val="FF0000"/>
          <w:sz w:val="24"/>
          <w:szCs w:val="24"/>
          <w:lang w:val="en-US" w:eastAsia="zh-CN"/>
        </w:rPr>
        <w:t>15m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的废水沉淀池</w:t>
      </w:r>
      <w:r>
        <w:rPr>
          <w:rFonts w:hint="default" w:ascii="Times New Roman" w:hAnsi="Times New Roman" w:eastAsia="宋体" w:cs="Times New Roman"/>
          <w:color w:val="FF0000"/>
          <w:sz w:val="24"/>
          <w:szCs w:val="24"/>
        </w:rPr>
        <w:t>处理后，回用</w:t>
      </w:r>
      <w:r>
        <w:rPr>
          <w:rFonts w:hint="eastAsia" w:ascii="Times New Roman" w:hAnsi="Times New Roman" w:eastAsia="宋体" w:cs="Times New Roman"/>
          <w:color w:val="FF0000"/>
          <w:sz w:val="24"/>
          <w:szCs w:val="24"/>
          <w:lang w:val="en-US" w:eastAsia="zh-CN"/>
        </w:rPr>
        <w:t>不外排，已建成的15m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val="en-US" w:eastAsia="zh-CN"/>
        </w:rPr>
        <w:t>废水沉淀池可满足废水水量要求，但是不符合三级沉淀池的建设要求，废水沉淀池已做防渗处理，但是不满足重点防渗区的防渗要求</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PD660和PD660硐口目前尚未建设沉淀池。</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主要整改</w:t>
      </w:r>
      <w:r>
        <w:rPr>
          <w:rFonts w:hint="eastAsia" w:ascii="Times New Roman" w:hAnsi="Times New Roman" w:eastAsia="宋体" w:cs="Times New Roman"/>
          <w:color w:val="FF0000"/>
          <w:sz w:val="24"/>
          <w:szCs w:val="24"/>
          <w:lang w:val="en-US" w:eastAsia="zh-CN"/>
        </w:rPr>
        <w:t>方案</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针对现有工程的主要整改措施纳入扩建工程建设中</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需要整改的内容有：</w:t>
      </w:r>
    </w:p>
    <w:p>
      <w:pPr>
        <w:pageBreakBefore w:val="0"/>
        <w:widowControl w:val="0"/>
        <w:numPr>
          <w:ilvl w:val="0"/>
          <w:numId w:val="10"/>
        </w:numPr>
        <w:kinsoku/>
        <w:wordWrap/>
        <w:overflowPunct/>
        <w:topLinePunct w:val="0"/>
        <w:autoSpaceDE/>
        <w:autoSpaceDN/>
        <w:bidi w:val="0"/>
        <w:adjustRightInd w:val="0"/>
        <w:snapToGrid w:val="0"/>
        <w:spacing w:line="360" w:lineRule="auto"/>
        <w:ind w:left="-60" w:leftChars="0" w:firstLine="480" w:firstLineChars="0"/>
        <w:jc w:val="left"/>
        <w:textAlignment w:val="auto"/>
        <w:outlineLvl w:val="9"/>
        <w:rPr>
          <w:rFonts w:hint="eastAsia" w:ascii="Times New Roman" w:hAnsi="Times New Roman" w:eastAsia="宋体" w:cs="Times New Roman"/>
          <w:color w:val="FF0000"/>
          <w:sz w:val="24"/>
          <w:szCs w:val="24"/>
          <w:vertAlign w:val="baseline"/>
          <w:lang w:val="en-US" w:eastAsia="zh-CN"/>
        </w:rPr>
      </w:pPr>
      <w:r>
        <w:rPr>
          <w:rFonts w:hint="eastAsia" w:ascii="Times New Roman" w:hAnsi="Times New Roman" w:eastAsia="宋体" w:cs="Times New Roman"/>
          <w:color w:val="FF0000"/>
          <w:sz w:val="24"/>
          <w:szCs w:val="24"/>
          <w:lang w:val="en-US" w:eastAsia="zh-CN"/>
        </w:rPr>
        <w:t>PD660硐口未设置</w:t>
      </w:r>
      <w:r>
        <w:rPr>
          <w:rFonts w:hint="eastAsia" w:ascii="Times New Roman" w:hAnsi="Times New Roman" w:eastAsia="宋体" w:cs="Times New Roman"/>
          <w:color w:val="FF0000"/>
          <w:sz w:val="24"/>
          <w:szCs w:val="24"/>
          <w:vertAlign w:val="baseline"/>
          <w:lang w:val="en-US" w:eastAsia="zh-CN"/>
        </w:rPr>
        <w:t>拦渣坝，纳入本次扩建项目，目前未按照要求完成的覆土绿化，针对PD660的废石场，后期应整改的措施主要为废石场汇水区域外设截排水沟，防止废石场外的雨水进入废石场，修建拦渣坝，对现有的废石场进行平整后覆土绿化，覆土厚应不小于30cm，土质符合土地复垦方案的要求，绿化树种，绿化密度等按照土地复垦方案执行。PD760目前已覆土绿化，植被生长状况良好，后期应进一步对裸露区域进一步绿化，加强养护，及时补种补栽</w:t>
      </w:r>
      <w:r>
        <w:rPr>
          <w:rFonts w:hint="eastAsia" w:ascii="Times New Roman" w:hAnsi="Times New Roman" w:eastAsia="宋体" w:cs="Times New Roman"/>
          <w:color w:val="FF0000"/>
          <w:sz w:val="24"/>
          <w:szCs w:val="24"/>
          <w:lang w:val="en-US" w:eastAsia="zh-CN"/>
        </w:rPr>
        <w:t>。PD810目前正在覆土，覆土土质和覆土厚度应符合土地复垦方案的要求，覆土结束后进行绿化，</w:t>
      </w:r>
      <w:r>
        <w:rPr>
          <w:rFonts w:hint="eastAsia" w:ascii="Times New Roman" w:hAnsi="Times New Roman" w:eastAsia="宋体" w:cs="Times New Roman"/>
          <w:color w:val="FF0000"/>
          <w:sz w:val="24"/>
          <w:szCs w:val="24"/>
          <w:vertAlign w:val="baseline"/>
          <w:lang w:val="en-US" w:eastAsia="zh-CN"/>
        </w:rPr>
        <w:t>绿化树种，绿化密度等按照土地复垦方案执行。</w:t>
      </w:r>
    </w:p>
    <w:p>
      <w:pPr>
        <w:pageBreakBefore w:val="0"/>
        <w:widowControl w:val="0"/>
        <w:numPr>
          <w:ilvl w:val="0"/>
          <w:numId w:val="10"/>
        </w:numPr>
        <w:kinsoku/>
        <w:wordWrap/>
        <w:overflowPunct/>
        <w:topLinePunct w:val="0"/>
        <w:autoSpaceDE/>
        <w:autoSpaceDN/>
        <w:bidi w:val="0"/>
        <w:adjustRightInd w:val="0"/>
        <w:snapToGrid w:val="0"/>
        <w:spacing w:line="360" w:lineRule="auto"/>
        <w:ind w:left="-60" w:leftChars="0" w:firstLine="480" w:firstLineChars="0"/>
        <w:jc w:val="left"/>
        <w:textAlignment w:val="auto"/>
        <w:outlineLvl w:val="9"/>
        <w:rPr>
          <w:rFonts w:hint="eastAsia" w:ascii="Times New Roman" w:hAnsi="Times New Roman" w:eastAsia="宋体" w:cs="Times New Roman"/>
          <w:color w:val="FF0000"/>
          <w:sz w:val="24"/>
          <w:szCs w:val="24"/>
          <w:vertAlign w:val="baseline"/>
          <w:lang w:val="en-US" w:eastAsia="zh-CN"/>
        </w:rPr>
      </w:pPr>
      <w:r>
        <w:rPr>
          <w:rFonts w:hint="eastAsia" w:ascii="Times New Roman" w:hAnsi="Times New Roman" w:eastAsia="宋体" w:cs="Times New Roman"/>
          <w:color w:val="FF0000"/>
          <w:sz w:val="24"/>
          <w:szCs w:val="24"/>
          <w:lang w:val="en-US" w:eastAsia="zh-CN"/>
        </w:rPr>
        <w:t>PD760硐口</w:t>
      </w:r>
      <w:r>
        <w:rPr>
          <w:rFonts w:hint="eastAsia" w:ascii="Times New Roman" w:hAnsi="Times New Roman" w:eastAsia="宋体" w:cs="Times New Roman"/>
          <w:color w:val="FF0000"/>
          <w:sz w:val="24"/>
          <w:szCs w:val="24"/>
          <w:lang w:eastAsia="zh-CN"/>
        </w:rPr>
        <w:t>废水利用现有工程沉淀池</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PD810和PD660，扩建工程需在其硐口各新建一个6m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的三级废水沉淀池，废水沉淀池主体采用钢筋混凝土结构，防渗标准按照地下水污染防渗分区参照表中重点防渗区的防渗技术要求建设。本项目推荐使用平流沉淀池，沉淀池分为进入池、沉淀池、清水池。进入池与沉淀池在池子下方留有40cm</w:t>
      </w:r>
      <w:r>
        <w:rPr>
          <w:rFonts w:hint="default" w:ascii="Arial" w:hAnsi="Arial" w:eastAsia="宋体" w:cs="Arial"/>
          <w:color w:val="FF0000"/>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15cm的方形孔，方便废水流通，的口径，废水从进入池底部流入沉淀池，在沉淀池与清水池上方留有40cm</w:t>
      </w:r>
      <w:r>
        <w:rPr>
          <w:rFonts w:hint="default" w:ascii="Arial" w:hAnsi="Arial" w:eastAsia="宋体" w:cs="Arial"/>
          <w:color w:val="FF0000"/>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15cm的方形孔，沉淀后的清水从沉淀池上部流入清水池。清水池底部设有出水管，出水管引入井下，作为回水回用于井下降尘。根据沉淀池所在地形，对场地进行平整，确保沉淀池整体平稳有效运行，在排泥管口做适当的挖方处理，确保泥尘排出畅通，排泥管管口底均与沉淀池底板顶持平，材料为1:2水泥砂浆。废水沉淀池的防渗标准按照</w:t>
      </w:r>
      <w:r>
        <w:rPr>
          <w:rFonts w:hint="default" w:ascii="Times New Roman" w:hAnsi="Times New Roman" w:eastAsia="宋体" w:cs="Times New Roman"/>
          <w:color w:val="FF0000"/>
          <w:sz w:val="24"/>
          <w:szCs w:val="24"/>
          <w:vertAlign w:val="baseline"/>
          <w:lang w:val="en-US" w:eastAsia="zh-CN"/>
        </w:rPr>
        <w:t>等效粘土防渗层Mb≥6.0m，K≤1×10</w:t>
      </w:r>
      <w:r>
        <w:rPr>
          <w:rFonts w:hint="default" w:ascii="Times New Roman" w:hAnsi="Times New Roman" w:eastAsia="宋体" w:cs="Times New Roman"/>
          <w:color w:val="FF0000"/>
          <w:sz w:val="24"/>
          <w:szCs w:val="24"/>
          <w:vertAlign w:val="superscript"/>
          <w:lang w:val="en-US" w:eastAsia="zh-CN"/>
        </w:rPr>
        <w:t>-7</w:t>
      </w:r>
      <w:r>
        <w:rPr>
          <w:rFonts w:hint="default" w:ascii="Times New Roman" w:hAnsi="Times New Roman" w:eastAsia="宋体" w:cs="Times New Roman"/>
          <w:color w:val="FF0000"/>
          <w:sz w:val="24"/>
          <w:szCs w:val="24"/>
          <w:vertAlign w:val="baseline"/>
          <w:lang w:val="en-US" w:eastAsia="zh-CN"/>
        </w:rPr>
        <w:t>cm/s；或参照GB18598执行</w:t>
      </w:r>
      <w:r>
        <w:rPr>
          <w:rFonts w:hint="eastAsia" w:ascii="Times New Roman" w:hAnsi="Times New Roman" w:eastAsia="宋体" w:cs="Times New Roman"/>
          <w:color w:val="FF0000"/>
          <w:sz w:val="24"/>
          <w:szCs w:val="24"/>
          <w:vertAlign w:val="baseline"/>
          <w:lang w:val="en-US" w:eastAsia="zh-CN"/>
        </w:rPr>
        <w:t>。</w:t>
      </w:r>
      <w:r>
        <w:rPr>
          <w:rFonts w:hint="eastAsia" w:ascii="Times New Roman" w:hAnsi="Times New Roman" w:eastAsia="宋体" w:cs="Times New Roman"/>
          <w:color w:val="FF0000"/>
          <w:sz w:val="24"/>
          <w:szCs w:val="24"/>
          <w:lang w:val="en-US" w:eastAsia="zh-CN"/>
        </w:rPr>
        <w:t>PD810和PD660硐口沉淀池按照以上标准进行新建，PD760硐口沉淀池按照以上标准进行整改。</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3、现有工程已建成的危险废物暂存间建设不规范，主要存在的问题有，危险废物暂存间内存放有其他的工具器械，防渗标准不符合规范要求，标识标牌不清楚，未使用双锁、地面和裙脚达不到防渗标准等。环评要求，扩建工程对现有的危险废物暂存间按照</w:t>
      </w:r>
      <w:r>
        <w:rPr>
          <w:rFonts w:hint="default" w:ascii="Times New Roman" w:hAnsi="Times New Roman" w:eastAsia="宋体" w:cs="Times New Roman"/>
          <w:b w:val="0"/>
          <w:bCs w:val="0"/>
          <w:color w:val="FF0000"/>
          <w:sz w:val="24"/>
          <w:szCs w:val="24"/>
        </w:rPr>
        <w:t>《危险废物贮存污染控制标准》（GB18597-2001）</w:t>
      </w:r>
      <w:r>
        <w:rPr>
          <w:rFonts w:hint="eastAsia" w:ascii="Times New Roman" w:hAnsi="Times New Roman" w:eastAsia="宋体" w:cs="Times New Roman"/>
          <w:color w:val="FF0000"/>
          <w:sz w:val="24"/>
          <w:szCs w:val="24"/>
          <w:lang w:val="en-US" w:eastAsia="zh-CN"/>
        </w:rPr>
        <w:t>进行整改，具体内容详见本报告固废分析章节中危险废物暂存间的设置要求。标识标牌如下表中图示：</w:t>
      </w:r>
    </w:p>
    <w:p>
      <w:pPr>
        <w:pageBreakBefore w:val="0"/>
        <w:widowControl w:val="0"/>
        <w:kinsoku/>
        <w:wordWrap/>
        <w:topLinePunct w:val="0"/>
        <w:autoSpaceDE/>
        <w:autoSpaceDN/>
        <w:bidi w:val="0"/>
        <w:adjustRightInd w:val="0"/>
        <w:snapToGrid w:val="0"/>
        <w:spacing w:beforeAutospacing="0" w:afterAutospacing="0" w:line="360" w:lineRule="auto"/>
        <w:ind w:left="0" w:leftChars="0" w:right="0" w:rightChars="0" w:firstLine="422" w:firstLineChars="200"/>
        <w:jc w:val="center"/>
        <w:rPr>
          <w:rFonts w:ascii="Calibri" w:hAnsi="Calibri" w:eastAsia="宋体" w:cs="Times New Roman"/>
          <w:b/>
          <w:iCs/>
          <w:color w:val="FF0000"/>
          <w:kern w:val="2"/>
          <w:sz w:val="21"/>
          <w:szCs w:val="24"/>
        </w:rPr>
      </w:pPr>
      <w:r>
        <w:rPr>
          <w:rFonts w:hint="default" w:ascii="Times New Roman" w:hAnsi="Times New Roman" w:eastAsia="宋体" w:cs="Times New Roman"/>
          <w:b/>
          <w:iCs/>
          <w:color w:val="FF0000"/>
          <w:kern w:val="2"/>
          <w:sz w:val="21"/>
          <w:szCs w:val="24"/>
        </w:rPr>
        <w:t>表</w:t>
      </w:r>
      <w:r>
        <w:rPr>
          <w:rFonts w:hint="eastAsia" w:ascii="Times New Roman" w:hAnsi="Times New Roman" w:eastAsia="宋体" w:cs="Times New Roman"/>
          <w:b/>
          <w:iCs/>
          <w:color w:val="FF0000"/>
          <w:kern w:val="2"/>
          <w:sz w:val="21"/>
          <w:szCs w:val="24"/>
          <w:lang w:val="en-US" w:eastAsia="zh-CN"/>
        </w:rPr>
        <w:t>3.1-5</w:t>
      </w:r>
      <w:r>
        <w:rPr>
          <w:rFonts w:hint="default" w:ascii="Times New Roman" w:hAnsi="Times New Roman" w:eastAsia="宋体" w:cs="Times New Roman"/>
          <w:b/>
          <w:iCs/>
          <w:color w:val="FF0000"/>
          <w:kern w:val="2"/>
          <w:sz w:val="21"/>
          <w:szCs w:val="24"/>
        </w:rPr>
        <w:t xml:space="preserve">  环境保护图形符号一览表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0"/>
        <w:gridCol w:w="1844"/>
        <w:gridCol w:w="2046"/>
        <w:gridCol w:w="2050"/>
        <w:gridCol w:w="214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iCs/>
                <w:color w:val="FF0000"/>
                <w:kern w:val="2"/>
                <w:sz w:val="21"/>
                <w:szCs w:val="21"/>
              </w:rPr>
            </w:pPr>
            <w:r>
              <w:rPr>
                <w:rFonts w:hint="default" w:ascii="Times New Roman" w:hAnsi="Times New Roman" w:eastAsia="宋体" w:cs="Times New Roman"/>
                <w:bCs/>
                <w:iCs/>
                <w:color w:val="FF0000"/>
                <w:kern w:val="2"/>
                <w:sz w:val="21"/>
                <w:szCs w:val="21"/>
              </w:rPr>
              <w:t>序号</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iCs/>
                <w:color w:val="FF0000"/>
                <w:kern w:val="2"/>
                <w:sz w:val="21"/>
                <w:szCs w:val="21"/>
              </w:rPr>
            </w:pPr>
            <w:r>
              <w:rPr>
                <w:rFonts w:hint="default" w:ascii="Times New Roman" w:hAnsi="Times New Roman" w:eastAsia="宋体" w:cs="Times New Roman"/>
                <w:bCs/>
                <w:iCs/>
                <w:color w:val="FF0000"/>
                <w:kern w:val="2"/>
                <w:sz w:val="21"/>
                <w:szCs w:val="21"/>
              </w:rPr>
              <w:t>标志名称</w:t>
            </w:r>
          </w:p>
        </w:tc>
        <w:tc>
          <w:tcPr>
            <w:tcW w:w="2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iCs/>
                <w:color w:val="FF0000"/>
                <w:kern w:val="2"/>
                <w:sz w:val="21"/>
                <w:szCs w:val="21"/>
              </w:rPr>
            </w:pPr>
            <w:r>
              <w:rPr>
                <w:rFonts w:hint="default" w:ascii="Times New Roman" w:hAnsi="Times New Roman" w:eastAsia="宋体" w:cs="Times New Roman"/>
                <w:bCs/>
                <w:iCs/>
                <w:color w:val="FF0000"/>
                <w:kern w:val="2"/>
                <w:sz w:val="21"/>
                <w:szCs w:val="21"/>
              </w:rPr>
              <w:t>提示图形符号</w:t>
            </w:r>
          </w:p>
        </w:tc>
        <w:tc>
          <w:tcPr>
            <w:tcW w:w="2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iCs/>
                <w:color w:val="FF0000"/>
                <w:kern w:val="2"/>
                <w:sz w:val="21"/>
                <w:szCs w:val="21"/>
              </w:rPr>
            </w:pPr>
            <w:r>
              <w:rPr>
                <w:rFonts w:hint="default" w:ascii="Times New Roman" w:hAnsi="Times New Roman" w:eastAsia="宋体" w:cs="Times New Roman"/>
                <w:bCs/>
                <w:iCs/>
                <w:color w:val="FF0000"/>
                <w:kern w:val="2"/>
                <w:sz w:val="21"/>
                <w:szCs w:val="21"/>
              </w:rPr>
              <w:t>警告图形符号</w:t>
            </w: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iCs/>
                <w:color w:val="FF0000"/>
                <w:kern w:val="2"/>
                <w:sz w:val="21"/>
                <w:szCs w:val="21"/>
              </w:rPr>
            </w:pPr>
            <w:r>
              <w:rPr>
                <w:rFonts w:hint="default" w:ascii="Times New Roman" w:hAnsi="Times New Roman" w:eastAsia="宋体" w:cs="Times New Roman"/>
                <w:bCs/>
                <w:iCs/>
                <w:color w:val="FF0000"/>
                <w:kern w:val="2"/>
                <w:sz w:val="21"/>
                <w:szCs w:val="21"/>
              </w:rPr>
              <w:t>功能说明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451" w:hRule="atLeast"/>
          <w:jc w:val="center"/>
        </w:trPr>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val="en-US" w:eastAsia="zh-CN"/>
              </w:rPr>
              <w:t>1</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危险废物</w:t>
            </w:r>
          </w:p>
        </w:tc>
        <w:tc>
          <w:tcPr>
            <w:tcW w:w="2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drawing>
                <wp:inline distT="0" distB="0" distL="114300" distR="114300">
                  <wp:extent cx="648335" cy="648335"/>
                  <wp:effectExtent l="0" t="0" r="18415" b="18415"/>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24"/>
                          <a:stretch>
                            <a:fillRect/>
                          </a:stretch>
                        </pic:blipFill>
                        <pic:spPr>
                          <a:xfrm>
                            <a:off x="0" y="0"/>
                            <a:ext cx="648335" cy="648335"/>
                          </a:xfrm>
                          <a:prstGeom prst="rect">
                            <a:avLst/>
                          </a:prstGeom>
                          <a:noFill/>
                          <a:ln w="9525">
                            <a:noFill/>
                          </a:ln>
                        </pic:spPr>
                      </pic:pic>
                    </a:graphicData>
                  </a:graphic>
                </wp:inline>
              </w:drawing>
            </w:r>
          </w:p>
        </w:tc>
        <w:tc>
          <w:tcPr>
            <w:tcW w:w="2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宋体" w:cs="Times New Roman"/>
                <w:color w:val="FF0000"/>
                <w:kern w:val="0"/>
                <w:sz w:val="21"/>
                <w:szCs w:val="21"/>
              </w:rPr>
            </w:pPr>
            <w:r>
              <w:rPr>
                <w:rFonts w:hint="default" w:ascii="Times New Roman" w:hAnsi="Times New Roman" w:eastAsia="宋体" w:cs="Times New Roman"/>
                <w:bCs/>
                <w:color w:val="FF0000"/>
                <w:kern w:val="0"/>
                <w:sz w:val="21"/>
                <w:szCs w:val="21"/>
              </w:rPr>
              <w:drawing>
                <wp:inline distT="0" distB="0" distL="114300" distR="114300">
                  <wp:extent cx="867410" cy="731520"/>
                  <wp:effectExtent l="0" t="0" r="8890" b="11430"/>
                  <wp:docPr id="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pic:cNvPicPr>
                            <a:picLocks noChangeAspect="1"/>
                          </pic:cNvPicPr>
                        </pic:nvPicPr>
                        <pic:blipFill>
                          <a:blip r:embed="rId25"/>
                          <a:stretch>
                            <a:fillRect/>
                          </a:stretch>
                        </pic:blipFill>
                        <pic:spPr>
                          <a:xfrm>
                            <a:off x="0" y="0"/>
                            <a:ext cx="867410" cy="731520"/>
                          </a:xfrm>
                          <a:prstGeom prst="rect">
                            <a:avLst/>
                          </a:prstGeom>
                          <a:noFill/>
                          <a:ln w="9525">
                            <a:noFill/>
                          </a:ln>
                        </pic:spPr>
                      </pic:pic>
                    </a:graphicData>
                  </a:graphic>
                </wp:inline>
              </w:drawing>
            </w: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表示危险废物贮存、处置场</w:t>
            </w:r>
          </w:p>
        </w:tc>
      </w:tr>
    </w:tbl>
    <w:p>
      <w:pPr>
        <w:pageBreakBefore w:val="0"/>
        <w:widowControl w:val="0"/>
        <w:kinsoku/>
        <w:wordWrap/>
        <w:topLinePunct w:val="0"/>
        <w:autoSpaceDE/>
        <w:autoSpaceDN/>
        <w:bidi w:val="0"/>
        <w:adjustRightInd w:val="0"/>
        <w:snapToGrid w:val="0"/>
        <w:spacing w:beforeAutospacing="0" w:afterAutospacing="0" w:line="360" w:lineRule="auto"/>
        <w:ind w:left="0" w:leftChars="0" w:right="0" w:rightChars="0" w:firstLine="422" w:firstLineChars="200"/>
        <w:jc w:val="center"/>
        <w:rPr>
          <w:rFonts w:hint="default" w:ascii="Times New Roman" w:hAnsi="Times New Roman" w:eastAsia="宋体" w:cs="Times New Roman"/>
          <w:b/>
          <w:iCs/>
          <w:color w:val="FF0000"/>
          <w:kern w:val="2"/>
          <w:sz w:val="21"/>
          <w:szCs w:val="24"/>
        </w:rPr>
      </w:pPr>
      <w:r>
        <w:rPr>
          <w:rFonts w:hint="default" w:ascii="Times New Roman" w:hAnsi="Times New Roman" w:eastAsia="宋体" w:cs="Times New Roman"/>
          <w:b/>
          <w:iCs/>
          <w:color w:val="FF0000"/>
          <w:kern w:val="2"/>
          <w:sz w:val="21"/>
          <w:szCs w:val="24"/>
        </w:rPr>
        <w:t>表</w:t>
      </w:r>
      <w:r>
        <w:rPr>
          <w:rFonts w:hint="eastAsia" w:ascii="Times New Roman" w:hAnsi="Times New Roman" w:eastAsia="宋体" w:cs="Times New Roman"/>
          <w:b/>
          <w:iCs/>
          <w:color w:val="FF0000"/>
          <w:kern w:val="2"/>
          <w:sz w:val="21"/>
          <w:szCs w:val="24"/>
          <w:lang w:val="en-US" w:eastAsia="zh-CN"/>
        </w:rPr>
        <w:t>3.1-6</w:t>
      </w:r>
      <w:r>
        <w:rPr>
          <w:rFonts w:hint="default" w:ascii="Times New Roman" w:hAnsi="Times New Roman" w:eastAsia="宋体" w:cs="Times New Roman"/>
          <w:b/>
          <w:iCs/>
          <w:color w:val="FF0000"/>
          <w:kern w:val="2"/>
          <w:sz w:val="21"/>
          <w:szCs w:val="24"/>
        </w:rPr>
        <w:t xml:space="preserve">  环境保护图形标志的性状及颜色</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043"/>
        <w:gridCol w:w="2266"/>
        <w:gridCol w:w="2270"/>
        <w:gridCol w:w="237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2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标志名称</w:t>
            </w:r>
          </w:p>
        </w:tc>
        <w:tc>
          <w:tcPr>
            <w:tcW w:w="22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性状</w:t>
            </w:r>
          </w:p>
        </w:tc>
        <w:tc>
          <w:tcPr>
            <w:tcW w:w="2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背景颜色</w:t>
            </w:r>
          </w:p>
        </w:tc>
        <w:tc>
          <w:tcPr>
            <w:tcW w:w="23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图形颜色</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2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警告标志</w:t>
            </w:r>
          </w:p>
        </w:tc>
        <w:tc>
          <w:tcPr>
            <w:tcW w:w="22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三角形边框</w:t>
            </w:r>
          </w:p>
        </w:tc>
        <w:tc>
          <w:tcPr>
            <w:tcW w:w="2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黄色</w:t>
            </w:r>
          </w:p>
        </w:tc>
        <w:tc>
          <w:tcPr>
            <w:tcW w:w="23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黑色</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2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提示标志</w:t>
            </w:r>
          </w:p>
        </w:tc>
        <w:tc>
          <w:tcPr>
            <w:tcW w:w="22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正方形边框</w:t>
            </w:r>
          </w:p>
        </w:tc>
        <w:tc>
          <w:tcPr>
            <w:tcW w:w="2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绿色</w:t>
            </w:r>
          </w:p>
        </w:tc>
        <w:tc>
          <w:tcPr>
            <w:tcW w:w="23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baseline"/>
              <w:outlineLvl w:val="9"/>
              <w:rPr>
                <w:rFonts w:ascii="Calibri" w:hAnsi="Calibri" w:eastAsia="宋体" w:cs="Times New Roman"/>
                <w:color w:val="FF0000"/>
                <w:kern w:val="0"/>
                <w:sz w:val="21"/>
                <w:szCs w:val="21"/>
              </w:rPr>
            </w:pPr>
            <w:r>
              <w:rPr>
                <w:rFonts w:ascii="Calibri" w:hAnsi="Calibri" w:eastAsia="宋体" w:cs="Times New Roman"/>
                <w:color w:val="FF0000"/>
                <w:kern w:val="0"/>
                <w:sz w:val="21"/>
                <w:szCs w:val="21"/>
              </w:rPr>
              <w:t>白色</w:t>
            </w:r>
          </w:p>
        </w:tc>
      </w:tr>
    </w:tbl>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4、K1矿体PD660建设临时堆棚和喷淋设施。</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5、废石场的其他治理要求，按照《旬阳县赤岩镇水磨河口构皮沟毒重石矿矿山地质环境保护与土地复垦方案》尽快对废石场进行生态恢复治理。</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FF0000"/>
          <w:sz w:val="24"/>
          <w:szCs w:val="24"/>
          <w:lang w:val="en-US" w:eastAsia="zh-CN"/>
        </w:rPr>
        <w:t>6、本项目K2尚未建设，后期建设过程中，环保工程与主体工程同时建设施工，投入运营。</w:t>
      </w:r>
    </w:p>
    <w:p>
      <w:pPr>
        <w:pStyle w:val="4"/>
        <w:rPr>
          <w:color w:val="000000" w:themeColor="text1"/>
        </w:rPr>
      </w:pPr>
      <w:bookmarkStart w:id="198" w:name="_Toc5619_WPSOffice_Level2"/>
      <w:bookmarkStart w:id="199" w:name="_Toc17319"/>
      <w:r>
        <w:rPr>
          <w:rFonts w:hint="eastAsia"/>
          <w:color w:val="000000" w:themeColor="text1"/>
          <w:lang w:val="en-US" w:eastAsia="zh-CN"/>
        </w:rPr>
        <w:t>扩建项目基本情况</w:t>
      </w:r>
      <w:bookmarkEnd w:id="198"/>
      <w:bookmarkEnd w:id="199"/>
    </w:p>
    <w:p>
      <w:pPr>
        <w:pStyle w:val="5"/>
        <w:rPr>
          <w:rFonts w:hint="eastAsia"/>
          <w:color w:val="000000" w:themeColor="text1"/>
          <w:lang w:val="en-US" w:eastAsia="zh-CN"/>
        </w:rPr>
      </w:pPr>
      <w:bookmarkStart w:id="200" w:name="_Toc32494_WPSOffice_Level3"/>
      <w:bookmarkStart w:id="201" w:name="_Toc21865"/>
      <w:r>
        <w:rPr>
          <w:rFonts w:hint="eastAsia"/>
          <w:color w:val="000000" w:themeColor="text1"/>
          <w:lang w:val="en-US" w:eastAsia="zh-CN"/>
        </w:rPr>
        <w:t>扩建项目概况</w:t>
      </w:r>
      <w:bookmarkEnd w:id="200"/>
      <w:bookmarkEnd w:id="201"/>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项目名称：旬阳县赤岩镇水磨河口构皮沟毒重石（重晶石及伴生毒重石）矿扩建项目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建设单位：旬阳县恒欣矿业有限公司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建设性质：改扩建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行业类别：B102化学矿开采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color w:val="000000" w:themeColor="text1"/>
          <w:spacing w:val="-2"/>
          <w:sz w:val="24"/>
          <w:szCs w:val="24"/>
          <w:lang w:eastAsia="zh-CN"/>
        </w:rPr>
      </w:pPr>
      <w:r>
        <w:rPr>
          <w:rFonts w:hint="default" w:ascii="Times New Roman" w:hAnsi="Times New Roman" w:eastAsia="宋体" w:cs="Times New Roman"/>
          <w:color w:val="000000" w:themeColor="text1"/>
          <w:sz w:val="24"/>
          <w:szCs w:val="24"/>
        </w:rPr>
        <w:t>建设地点：</w:t>
      </w:r>
      <w:r>
        <w:rPr>
          <w:rFonts w:hint="default" w:ascii="Times New Roman" w:hAnsi="Times New Roman" w:eastAsia="宋体" w:cs="Times New Roman"/>
          <w:color w:val="000000" w:themeColor="text1"/>
          <w:spacing w:val="-2"/>
          <w:sz w:val="24"/>
          <w:szCs w:val="24"/>
        </w:rPr>
        <w:t>项目位于</w:t>
      </w:r>
      <w:r>
        <w:rPr>
          <w:rFonts w:hint="default" w:ascii="Times New Roman" w:hAnsi="Times New Roman" w:eastAsia="宋体" w:cs="Times New Roman"/>
          <w:bCs/>
          <w:color w:val="000000" w:themeColor="text1"/>
          <w:spacing w:val="-2"/>
          <w:sz w:val="24"/>
          <w:szCs w:val="24"/>
        </w:rPr>
        <w:t>旬阳</w:t>
      </w:r>
      <w:r>
        <w:rPr>
          <w:rFonts w:hint="eastAsia" w:ascii="Times New Roman" w:hAnsi="Times New Roman" w:eastAsia="宋体" w:cs="Times New Roman"/>
          <w:bCs/>
          <w:color w:val="000000" w:themeColor="text1"/>
          <w:spacing w:val="-2"/>
          <w:sz w:val="24"/>
          <w:szCs w:val="24"/>
          <w:lang w:eastAsia="zh-CN"/>
        </w:rPr>
        <w:t>市</w:t>
      </w:r>
      <w:r>
        <w:rPr>
          <w:rFonts w:hint="default" w:ascii="Times New Roman" w:hAnsi="Times New Roman" w:eastAsia="宋体" w:cs="Times New Roman"/>
          <w:bCs/>
          <w:color w:val="000000" w:themeColor="text1"/>
          <w:spacing w:val="-2"/>
          <w:sz w:val="24"/>
          <w:szCs w:val="24"/>
        </w:rPr>
        <w:t>铜钱关镇</w:t>
      </w:r>
      <w:r>
        <w:rPr>
          <w:rFonts w:hint="eastAsia" w:ascii="Times New Roman" w:hAnsi="Times New Roman" w:eastAsia="宋体" w:cs="Times New Roman"/>
          <w:bCs/>
          <w:color w:val="000000" w:themeColor="text1"/>
          <w:spacing w:val="-2"/>
          <w:sz w:val="24"/>
          <w:szCs w:val="24"/>
          <w:lang w:eastAsia="zh-CN"/>
        </w:rPr>
        <w:t>天宝寨村</w:t>
      </w:r>
      <w:r>
        <w:rPr>
          <w:rFonts w:hint="eastAsia" w:ascii="Times New Roman" w:hAnsi="Times New Roman" w:eastAsia="宋体" w:cs="Times New Roman"/>
          <w:bCs/>
          <w:color w:val="000000" w:themeColor="text1"/>
          <w:spacing w:val="-2"/>
          <w:sz w:val="24"/>
          <w:szCs w:val="24"/>
          <w:lang w:val="en-US" w:eastAsia="zh-CN"/>
        </w:rPr>
        <w:t>6组</w:t>
      </w:r>
      <w:r>
        <w:rPr>
          <w:rFonts w:hint="default" w:ascii="Times New Roman" w:hAnsi="Times New Roman" w:eastAsia="宋体" w:cs="Times New Roman"/>
          <w:color w:val="000000" w:themeColor="text1"/>
          <w:spacing w:val="-2"/>
          <w:sz w:val="24"/>
          <w:szCs w:val="24"/>
        </w:rPr>
        <w:t>，</w:t>
      </w:r>
      <w:r>
        <w:rPr>
          <w:rFonts w:hint="eastAsia" w:ascii="Times New Roman" w:hAnsi="Times New Roman" w:eastAsia="宋体" w:cs="Times New Roman"/>
          <w:color w:val="000000" w:themeColor="text1"/>
          <w:spacing w:val="-2"/>
          <w:sz w:val="24"/>
          <w:szCs w:val="24"/>
          <w:lang w:val="en-US" w:eastAsia="zh-CN"/>
        </w:rPr>
        <w:t>K1场</w:t>
      </w:r>
      <w:r>
        <w:rPr>
          <w:rFonts w:hint="default" w:ascii="Times New Roman" w:hAnsi="Times New Roman" w:eastAsia="宋体" w:cs="Times New Roman"/>
          <w:color w:val="000000" w:themeColor="text1"/>
          <w:spacing w:val="-2"/>
          <w:sz w:val="24"/>
          <w:szCs w:val="24"/>
        </w:rPr>
        <w:t>区中心坐标为：</w:t>
      </w:r>
      <w:r>
        <w:rPr>
          <w:rFonts w:hint="eastAsia" w:ascii="Times New Roman" w:hAnsi="Times New Roman" w:eastAsia="宋体" w:cs="Times New Roman"/>
          <w:color w:val="000000" w:themeColor="text1"/>
          <w:spacing w:val="-2"/>
          <w:sz w:val="24"/>
          <w:szCs w:val="24"/>
          <w:lang w:eastAsia="zh-CN"/>
        </w:rPr>
        <w:t>东经</w:t>
      </w:r>
      <w:r>
        <w:rPr>
          <w:rFonts w:hint="default" w:ascii="Times New Roman" w:hAnsi="Times New Roman" w:eastAsia="宋体" w:cs="Times New Roman"/>
          <w:color w:val="000000" w:themeColor="text1"/>
          <w:spacing w:val="-2"/>
          <w:sz w:val="24"/>
          <w:szCs w:val="24"/>
        </w:rPr>
        <w:t>109°33′21.279″</w:t>
      </w:r>
      <w:r>
        <w:rPr>
          <w:rFonts w:hint="default" w:ascii="Times New Roman" w:hAnsi="Times New Roman" w:eastAsia="宋体" w:cs="Times New Roman"/>
          <w:color w:val="000000" w:themeColor="text1"/>
          <w:spacing w:val="-2"/>
          <w:sz w:val="24"/>
          <w:szCs w:val="24"/>
          <w:lang w:eastAsia="zh-CN"/>
        </w:rPr>
        <w:t>，北纬</w:t>
      </w:r>
      <w:r>
        <w:rPr>
          <w:rFonts w:hint="default" w:ascii="Times New Roman" w:hAnsi="Times New Roman" w:eastAsia="宋体" w:cs="Times New Roman"/>
          <w:color w:val="000000" w:themeColor="text1"/>
          <w:spacing w:val="-2"/>
          <w:sz w:val="24"/>
          <w:szCs w:val="24"/>
        </w:rPr>
        <w:t>32°37′3.855″</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pacing w:val="-2"/>
          <w:sz w:val="24"/>
          <w:szCs w:val="24"/>
          <w:lang w:val="en-US" w:eastAsia="zh-CN"/>
        </w:rPr>
        <w:t>K2场</w:t>
      </w:r>
      <w:r>
        <w:rPr>
          <w:rFonts w:hint="default" w:ascii="Times New Roman" w:hAnsi="Times New Roman" w:eastAsia="宋体" w:cs="Times New Roman"/>
          <w:color w:val="000000" w:themeColor="text1"/>
          <w:spacing w:val="-2"/>
          <w:sz w:val="24"/>
          <w:szCs w:val="24"/>
        </w:rPr>
        <w:t>区中心坐标为：</w:t>
      </w:r>
      <w:r>
        <w:rPr>
          <w:rFonts w:hint="default" w:ascii="Times New Roman" w:hAnsi="Times New Roman" w:eastAsia="宋体" w:cs="Times New Roman"/>
          <w:color w:val="000000" w:themeColor="text1"/>
          <w:spacing w:val="-2"/>
          <w:sz w:val="24"/>
          <w:szCs w:val="24"/>
          <w:lang w:eastAsia="zh-CN"/>
        </w:rPr>
        <w:t>东经109°32′4</w:t>
      </w:r>
      <w:r>
        <w:rPr>
          <w:rFonts w:hint="default" w:ascii="Times New Roman" w:hAnsi="Times New Roman" w:eastAsia="宋体" w:cs="Times New Roman"/>
          <w:color w:val="000000" w:themeColor="text1"/>
          <w:spacing w:val="-2"/>
          <w:sz w:val="24"/>
          <w:szCs w:val="24"/>
          <w:lang w:val="en-US" w:eastAsia="zh-CN"/>
        </w:rPr>
        <w:t>5</w:t>
      </w:r>
      <w:r>
        <w:rPr>
          <w:rFonts w:hint="default" w:ascii="Times New Roman" w:hAnsi="Times New Roman" w:eastAsia="宋体" w:cs="Times New Roman"/>
          <w:color w:val="000000" w:themeColor="text1"/>
          <w:spacing w:val="-2"/>
          <w:sz w:val="24"/>
          <w:szCs w:val="24"/>
          <w:lang w:eastAsia="zh-CN"/>
        </w:rPr>
        <w:t>.</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9</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″，北纬 32°37′</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3.</w:t>
      </w:r>
      <w:r>
        <w:rPr>
          <w:rFonts w:hint="default" w:ascii="Times New Roman" w:hAnsi="Times New Roman" w:eastAsia="宋体" w:cs="Times New Roman"/>
          <w:color w:val="000000" w:themeColor="text1"/>
          <w:spacing w:val="-2"/>
          <w:sz w:val="24"/>
          <w:szCs w:val="24"/>
          <w:lang w:val="en-US" w:eastAsia="zh-CN"/>
        </w:rPr>
        <w:t>735</w:t>
      </w:r>
      <w:r>
        <w:rPr>
          <w:rFonts w:hint="default" w:ascii="Times New Roman" w:hAnsi="Times New Roman" w:eastAsia="宋体" w:cs="Times New Roman"/>
          <w:color w:val="000000" w:themeColor="text1"/>
          <w:spacing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总投资：260万元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开采方式：地下开采</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FF0000"/>
          <w:sz w:val="24"/>
          <w:szCs w:val="24"/>
        </w:rPr>
        <w:t>开拓方式：平硐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color w:val="FF0000"/>
          <w:sz w:val="24"/>
          <w:szCs w:val="24"/>
          <w:lang w:eastAsia="zh-CN"/>
        </w:rPr>
        <w:t>开拓运输方式：</w:t>
      </w:r>
      <w:r>
        <w:rPr>
          <w:rFonts w:hint="eastAsia" w:ascii="仿宋_GB2312"/>
          <w:color w:val="FF0000"/>
          <w:sz w:val="24"/>
          <w:szCs w:val="24"/>
        </w:rPr>
        <w:t>本矿井采平硐开拓方式，三轮车运输运输，不设提升系统。矿山采用平硐开拓，井下采用无轨运输方式，运输平硐承担全矿的矿石、废石、人员、设备及材料等运输任务。</w:t>
      </w:r>
      <w:r>
        <w:rPr>
          <w:rFonts w:ascii="仿宋_GB2312" w:cs="宋体"/>
          <w:color w:val="FF0000"/>
          <w:sz w:val="24"/>
          <w:szCs w:val="24"/>
        </w:rPr>
        <w:t>根据矿山生产规模、运输量、及坑内运输线路长度等条件，坑内运输选用矿用三轮自卸车进行运输。</w:t>
      </w:r>
      <w:r>
        <w:rPr>
          <w:rFonts w:hint="eastAsia" w:ascii="仿宋_GB2312" w:cs="宋体"/>
          <w:color w:val="FF0000"/>
          <w:sz w:val="24"/>
          <w:szCs w:val="24"/>
        </w:rPr>
        <w:t>各</w:t>
      </w:r>
      <w:r>
        <w:rPr>
          <w:rFonts w:ascii="仿宋_GB2312" w:cs="宋体"/>
          <w:color w:val="FF0000"/>
          <w:sz w:val="24"/>
          <w:szCs w:val="24"/>
        </w:rPr>
        <w:t>中段</w:t>
      </w:r>
      <w:r>
        <w:rPr>
          <w:rFonts w:hint="eastAsia" w:ascii="仿宋_GB2312" w:cs="宋体"/>
          <w:color w:val="FF0000"/>
          <w:sz w:val="24"/>
          <w:szCs w:val="24"/>
        </w:rPr>
        <w:t>均</w:t>
      </w:r>
      <w:r>
        <w:rPr>
          <w:rFonts w:ascii="仿宋_GB2312" w:cs="宋体"/>
          <w:color w:val="FF0000"/>
          <w:sz w:val="24"/>
          <w:szCs w:val="24"/>
        </w:rPr>
        <w:t>直通地表，将各中段矿石采用矿用三轮自卸车运输</w:t>
      </w:r>
      <w:r>
        <w:rPr>
          <w:rFonts w:hint="eastAsia" w:ascii="仿宋_GB2312" w:cs="宋体"/>
          <w:color w:val="FF0000"/>
          <w:sz w:val="24"/>
          <w:szCs w:val="24"/>
        </w:rPr>
        <w:t>直接运至</w:t>
      </w:r>
      <w:r>
        <w:rPr>
          <w:rFonts w:ascii="仿宋_GB2312" w:cs="宋体"/>
          <w:color w:val="FF0000"/>
          <w:sz w:val="24"/>
          <w:szCs w:val="24"/>
        </w:rPr>
        <w:t>地表工业场地矿石堆场，之后装入自卸汽车运输至</w:t>
      </w:r>
      <w:r>
        <w:rPr>
          <w:rFonts w:hint="eastAsia" w:ascii="仿宋_GB2312" w:cs="宋体"/>
          <w:color w:val="FF0000"/>
          <w:sz w:val="24"/>
          <w:szCs w:val="24"/>
          <w:lang w:eastAsia="zh-CN"/>
        </w:rPr>
        <w:t>旬阳市火车北站</w:t>
      </w:r>
      <w:r>
        <w:rPr>
          <w:rFonts w:ascii="仿宋_GB2312" w:cs="宋体"/>
          <w:color w:val="FF0000"/>
          <w:sz w:val="24"/>
          <w:szCs w:val="24"/>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开采方法：浅孔留矿采矿法</w:t>
      </w:r>
    </w:p>
    <w:p>
      <w:pPr>
        <w:pStyle w:val="5"/>
        <w:rPr>
          <w:rFonts w:hint="default"/>
          <w:color w:val="000000" w:themeColor="text1"/>
          <w:lang w:val="en-US" w:eastAsia="zh-CN"/>
        </w:rPr>
      </w:pPr>
      <w:bookmarkStart w:id="202" w:name="_Toc8050_WPSOffice_Level3"/>
      <w:bookmarkStart w:id="203" w:name="_Toc4961"/>
      <w:r>
        <w:rPr>
          <w:rFonts w:hint="eastAsia"/>
          <w:color w:val="000000" w:themeColor="text1"/>
          <w:lang w:val="en-US" w:eastAsia="zh-CN"/>
        </w:rPr>
        <w:t>项目建设规模及内容</w:t>
      </w:r>
      <w:bookmarkEnd w:id="202"/>
      <w:bookmarkEnd w:id="203"/>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生产规模由原来的年产</w:t>
      </w:r>
      <w:r>
        <w:rPr>
          <w:rFonts w:hint="default" w:ascii="Times New Roman" w:hAnsi="Times New Roman" w:eastAsia="宋体" w:cs="Times New Roman"/>
          <w:color w:val="000000" w:themeColor="text1"/>
          <w:sz w:val="24"/>
          <w:szCs w:val="24"/>
          <w:lang w:val="en-US" w:eastAsia="zh-CN"/>
        </w:rPr>
        <w:t>3万吨的重晶石及伴生毒重石矿石扩建为年产5万吨。主要建设的内容为安全设施六大系统（监测监控、井下人员定位、供水施救、压风自救、通信联络、紧急避险等系统）。</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FF0000"/>
          <w:sz w:val="24"/>
          <w:szCs w:val="24"/>
        </w:rPr>
        <w:t>本项目为重晶石及伴生的毒重石开采项目，</w:t>
      </w:r>
      <w:r>
        <w:rPr>
          <w:rFonts w:hint="eastAsia" w:ascii="Times New Roman" w:hAnsi="Times New Roman" w:eastAsia="宋体" w:cs="Times New Roman"/>
          <w:color w:val="FF0000"/>
          <w:sz w:val="24"/>
          <w:szCs w:val="24"/>
          <w:lang w:eastAsia="zh-CN"/>
        </w:rPr>
        <w:t>资源总量</w:t>
      </w:r>
      <w:r>
        <w:rPr>
          <w:rFonts w:hint="eastAsia" w:ascii="Times New Roman" w:hAnsi="Times New Roman" w:eastAsia="宋体" w:cs="Times New Roman"/>
          <w:color w:val="FF0000"/>
          <w:sz w:val="24"/>
          <w:szCs w:val="24"/>
          <w:lang w:val="en-US" w:eastAsia="zh-CN"/>
        </w:rPr>
        <w:t>29.62万吨，目前已开采3.5万吨，</w:t>
      </w:r>
      <w:r>
        <w:rPr>
          <w:rFonts w:hint="default" w:ascii="Times New Roman" w:hAnsi="Times New Roman" w:eastAsia="宋体" w:cs="Times New Roman"/>
          <w:color w:val="FF0000"/>
          <w:sz w:val="24"/>
          <w:szCs w:val="24"/>
        </w:rPr>
        <w:t>项目建成后，矿山设计采矿生产能力166.7t/d（50000t/a），矿山</w:t>
      </w:r>
      <w:r>
        <w:rPr>
          <w:rFonts w:hint="eastAsia" w:ascii="Times New Roman" w:hAnsi="Times New Roman" w:eastAsia="宋体" w:cs="Times New Roman"/>
          <w:color w:val="FF0000"/>
          <w:sz w:val="24"/>
          <w:szCs w:val="24"/>
          <w:lang w:val="en-US" w:eastAsia="zh-CN"/>
        </w:rPr>
        <w:t>剩余</w:t>
      </w:r>
      <w:r>
        <w:rPr>
          <w:rFonts w:hint="default" w:ascii="Times New Roman" w:hAnsi="Times New Roman" w:eastAsia="宋体" w:cs="Times New Roman"/>
          <w:color w:val="FF0000"/>
          <w:sz w:val="24"/>
          <w:szCs w:val="24"/>
        </w:rPr>
        <w:t>服务年限5.</w:t>
      </w:r>
      <w:r>
        <w:rPr>
          <w:rFonts w:hint="eastAsia"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a（不含基建期）。</w:t>
      </w:r>
      <w:r>
        <w:rPr>
          <w:rFonts w:hint="default" w:ascii="Times New Roman" w:hAnsi="Times New Roman" w:eastAsia="宋体" w:cs="Times New Roman"/>
          <w:color w:val="000000" w:themeColor="text1"/>
          <w:sz w:val="24"/>
          <w:szCs w:val="24"/>
        </w:rPr>
        <w:t>本项目主要包括采矿主体工程、辅助工程、公用工程、储运工程和环保工程等。主体工程包括井巷工程；辅助工程包括通风机房、空压机房等；公用工程包括给排水以及供电设施等。矿山原有爆破器材库已建成，并投入使用，可以满足项目要求，本次扩建不再建设。</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现有项目年产3万吨，本次扩建项目达到年产5万吨，计划通过增加采矿人员</w:t>
      </w:r>
      <w:r>
        <w:rPr>
          <w:rFonts w:hint="eastAsia" w:ascii="Times New Roman" w:hAnsi="Times New Roman" w:eastAsia="宋体" w:cs="Times New Roman"/>
          <w:color w:val="000000" w:themeColor="text1"/>
          <w:sz w:val="24"/>
          <w:szCs w:val="24"/>
          <w:lang w:val="en-US" w:eastAsia="zh-CN"/>
        </w:rPr>
        <w:t>、工作时间以及更新部分机械设备</w:t>
      </w:r>
      <w:r>
        <w:rPr>
          <w:rFonts w:hint="default" w:ascii="Times New Roman" w:hAnsi="Times New Roman" w:eastAsia="宋体" w:cs="Times New Roman"/>
          <w:color w:val="000000" w:themeColor="text1"/>
          <w:sz w:val="24"/>
          <w:szCs w:val="24"/>
        </w:rPr>
        <w:t>实现年产5万吨的目标。</w:t>
      </w:r>
      <w:r>
        <w:rPr>
          <w:rFonts w:hint="eastAsia" w:ascii="Times New Roman" w:hAnsi="Times New Roman" w:eastAsia="宋体" w:cs="Times New Roman"/>
          <w:color w:val="000000" w:themeColor="text1"/>
          <w:sz w:val="24"/>
          <w:szCs w:val="24"/>
          <w:lang w:eastAsia="zh-CN"/>
        </w:rPr>
        <w:t>现有项目职工人数</w:t>
      </w:r>
      <w:r>
        <w:rPr>
          <w:rFonts w:hint="eastAsia" w:ascii="Times New Roman" w:hAnsi="Times New Roman" w:eastAsia="宋体" w:cs="Times New Roman"/>
          <w:color w:val="000000" w:themeColor="text1"/>
          <w:sz w:val="24"/>
          <w:szCs w:val="24"/>
          <w:lang w:val="en-US" w:eastAsia="zh-CN"/>
        </w:rPr>
        <w:t>15人</w:t>
      </w:r>
      <w:r>
        <w:rPr>
          <w:rFonts w:hint="eastAsia" w:ascii="Times New Roman" w:hAnsi="Times New Roman" w:eastAsia="宋体" w:cs="Times New Roman"/>
          <w:color w:val="000000" w:themeColor="text1"/>
          <w:sz w:val="24"/>
          <w:szCs w:val="24"/>
          <w:lang w:eastAsia="zh-CN"/>
        </w:rPr>
        <w:t>，扩建项目职工总人数</w:t>
      </w:r>
      <w:r>
        <w:rPr>
          <w:rFonts w:hint="eastAsia" w:ascii="Times New Roman" w:hAnsi="Times New Roman" w:eastAsia="宋体" w:cs="Times New Roman"/>
          <w:color w:val="000000" w:themeColor="text1"/>
          <w:sz w:val="24"/>
          <w:szCs w:val="24"/>
          <w:lang w:val="en-US" w:eastAsia="zh-CN"/>
        </w:rPr>
        <w:t>21人；现有项目每班8小时，一班制，扩建项目每班8小时，两班制。</w:t>
      </w:r>
      <w:r>
        <w:rPr>
          <w:rFonts w:hint="default" w:ascii="Times New Roman" w:hAnsi="Times New Roman" w:eastAsia="宋体" w:cs="Times New Roman"/>
          <w:color w:val="000000" w:themeColor="text1"/>
          <w:sz w:val="24"/>
          <w:szCs w:val="24"/>
        </w:rPr>
        <w:t>项目组成及主要建设内容见表3.</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-1。</w:t>
      </w:r>
    </w:p>
    <w:p>
      <w:pPr>
        <w:pStyle w:val="25"/>
        <w:spacing w:beforeLines="0" w:afterLines="0"/>
        <w:ind w:firstLine="482"/>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表3.</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-1  项目工程内容组成一览表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393"/>
        <w:gridCol w:w="931"/>
        <w:gridCol w:w="724"/>
        <w:gridCol w:w="119"/>
        <w:gridCol w:w="1413"/>
        <w:gridCol w:w="907"/>
        <w:gridCol w:w="2809"/>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1" w:type="dxa"/>
            <w:gridSpan w:val="3"/>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000000" w:themeColor="text1"/>
                <w:sz w:val="21"/>
                <w:szCs w:val="21"/>
              </w:rPr>
            </w:pPr>
            <w:bookmarkStart w:id="204" w:name="_Toc21295"/>
            <w:bookmarkStart w:id="205" w:name="_Toc12751_WPSOffice_Level3"/>
            <w:r>
              <w:rPr>
                <w:rFonts w:hint="default" w:ascii="Times New Roman" w:hAnsi="Times New Roman" w:eastAsia="宋体" w:cs="Times New Roman"/>
                <w:b/>
                <w:color w:val="000000" w:themeColor="text1"/>
                <w:sz w:val="21"/>
                <w:szCs w:val="21"/>
              </w:rPr>
              <w:t>项目组成</w:t>
            </w:r>
          </w:p>
        </w:tc>
        <w:tc>
          <w:tcPr>
            <w:tcW w:w="7116" w:type="dxa"/>
            <w:gridSpan w:val="6"/>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1" w:type="dxa"/>
            <w:gridSpan w:val="3"/>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000000" w:themeColor="text1"/>
                <w:sz w:val="21"/>
                <w:szCs w:val="21"/>
              </w:rPr>
            </w:pP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b/>
                <w:color w:val="000000" w:themeColor="text1"/>
                <w:sz w:val="21"/>
                <w:szCs w:val="21"/>
                <w:lang w:eastAsia="zh-CN"/>
              </w:rPr>
            </w:pPr>
            <w:r>
              <w:rPr>
                <w:rFonts w:hint="eastAsia" w:ascii="Times New Roman" w:hAnsi="Times New Roman" w:eastAsia="宋体" w:cs="Times New Roman"/>
                <w:b/>
                <w:color w:val="000000" w:themeColor="text1"/>
                <w:sz w:val="21"/>
                <w:szCs w:val="21"/>
                <w:lang w:eastAsia="zh-CN"/>
              </w:rPr>
              <w:t>现有工程</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b/>
                <w:color w:val="000000" w:themeColor="text1"/>
                <w:sz w:val="21"/>
                <w:szCs w:val="21"/>
                <w:lang w:eastAsia="zh-CN"/>
              </w:rPr>
            </w:pPr>
            <w:r>
              <w:rPr>
                <w:rFonts w:hint="eastAsia" w:ascii="Times New Roman" w:hAnsi="Times New Roman" w:eastAsia="宋体" w:cs="Times New Roman"/>
                <w:b/>
                <w:color w:val="000000" w:themeColor="text1"/>
                <w:sz w:val="21"/>
                <w:szCs w:val="21"/>
                <w:lang w:eastAsia="zh-CN"/>
              </w:rPr>
              <w:t>改扩建内容</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color w:val="000000" w:themeColor="text1"/>
                <w:sz w:val="21"/>
                <w:szCs w:val="21"/>
                <w:lang w:eastAsia="zh-CN"/>
              </w:rPr>
            </w:pPr>
            <w:r>
              <w:rPr>
                <w:rFonts w:hint="eastAsia" w:ascii="Times New Roman" w:hAnsi="Times New Roman" w:eastAsia="宋体" w:cs="Times New Roman"/>
                <w:b/>
                <w:color w:val="000000" w:themeColor="text1"/>
                <w:sz w:val="21"/>
                <w:szCs w:val="21"/>
                <w:lang w:eastAsia="zh-CN"/>
              </w:rPr>
              <w:t>改扩建完成后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1" w:type="dxa"/>
            <w:gridSpan w:val="3"/>
            <w:tcBorders>
              <w:tl2br w:val="nil"/>
              <w:tr2bl w:val="nil"/>
            </w:tcBorders>
            <w:vAlign w:val="center"/>
          </w:tcPr>
          <w:p>
            <w:pPr>
              <w:pStyle w:val="99"/>
              <w:spacing w:line="240" w:lineRule="auto"/>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开采规模</w:t>
            </w:r>
          </w:p>
        </w:tc>
        <w:tc>
          <w:tcPr>
            <w:tcW w:w="2256"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3万t/a</w:t>
            </w:r>
          </w:p>
        </w:tc>
        <w:tc>
          <w:tcPr>
            <w:tcW w:w="4860"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rPr>
              <w:t>万t/a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主体</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工程</w:t>
            </w:r>
          </w:p>
        </w:tc>
        <w:tc>
          <w:tcPr>
            <w:tcW w:w="393" w:type="dxa"/>
            <w:vMerge w:val="restart"/>
            <w:tcBorders>
              <w:tl2br w:val="nil"/>
              <w:tr2bl w:val="nil"/>
            </w:tcBorders>
            <w:vAlign w:val="center"/>
          </w:tcPr>
          <w:p>
            <w:pPr>
              <w:pStyle w:val="99"/>
              <w:spacing w:line="240" w:lineRule="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K1矿体</w:t>
            </w:r>
          </w:p>
        </w:tc>
        <w:tc>
          <w:tcPr>
            <w:tcW w:w="931" w:type="dxa"/>
            <w:tcBorders>
              <w:tl2br w:val="nil"/>
              <w:tr2bl w:val="nil"/>
            </w:tcBorders>
            <w:vAlign w:val="center"/>
          </w:tcPr>
          <w:p>
            <w:pPr>
              <w:pStyle w:val="99"/>
              <w:spacing w:line="240" w:lineRule="auto"/>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主要建设内容</w:t>
            </w:r>
          </w:p>
        </w:tc>
        <w:tc>
          <w:tcPr>
            <w:tcW w:w="2256" w:type="dxa"/>
            <w:gridSpan w:val="3"/>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PD8</w:t>
            </w:r>
            <w:r>
              <w:rPr>
                <w:rFonts w:hint="eastAsia" w:ascii="Times New Roman" w:hAnsi="Times New Roman" w:eastAsia="宋体" w:cs="Times New Roman"/>
                <w:color w:val="FF0000"/>
                <w:sz w:val="21"/>
                <w:szCs w:val="21"/>
                <w:lang w:val="en-US" w:eastAsia="zh-CN"/>
              </w:rPr>
              <w:t>30，为回风平硐</w:t>
            </w:r>
            <w:r>
              <w:rPr>
                <w:rFonts w:hint="eastAsia" w:ascii="Times New Roman" w:hAnsi="Times New Roman" w:eastAsia="宋体" w:cs="Times New Roman"/>
                <w:color w:val="FF0000"/>
                <w:sz w:val="21"/>
                <w:szCs w:val="21"/>
                <w:lang w:eastAsia="zh-CN"/>
              </w:rPr>
              <w:t>；</w:t>
            </w:r>
          </w:p>
          <w:p>
            <w:pPr>
              <w:spacing w:line="240" w:lineRule="auto"/>
              <w:ind w:firstLine="0" w:firstLineChars="0"/>
              <w:jc w:val="left"/>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PD810</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为开采平硐，</w:t>
            </w:r>
            <w:r>
              <w:rPr>
                <w:rFonts w:hint="default" w:ascii="Times New Roman" w:hAnsi="Times New Roman" w:eastAsia="宋体" w:cs="Times New Roman"/>
                <w:color w:val="FF0000"/>
                <w:sz w:val="21"/>
                <w:szCs w:val="21"/>
              </w:rPr>
              <w:t>开采平硐深度约</w:t>
            </w:r>
            <w:r>
              <w:rPr>
                <w:rFonts w:hint="eastAsia" w:ascii="Times New Roman" w:hAnsi="Times New Roman" w:eastAsia="宋体" w:cs="Times New Roman"/>
                <w:color w:val="FF0000"/>
                <w:sz w:val="21"/>
                <w:szCs w:val="21"/>
                <w:lang w:val="en-US" w:eastAsia="zh-CN"/>
              </w:rPr>
              <w:t>250</w:t>
            </w:r>
            <w:r>
              <w:rPr>
                <w:rFonts w:hint="default" w:ascii="Times New Roman" w:hAnsi="Times New Roman" w:eastAsia="宋体" w:cs="Times New Roman"/>
                <w:color w:val="FF0000"/>
                <w:sz w:val="21"/>
                <w:szCs w:val="21"/>
              </w:rPr>
              <w:t>m</w:t>
            </w:r>
            <w:r>
              <w:rPr>
                <w:rFonts w:hint="eastAsia" w:ascii="Times New Roman" w:hAnsi="Times New Roman" w:eastAsia="宋体" w:cs="Times New Roman"/>
                <w:color w:val="FF0000"/>
                <w:sz w:val="21"/>
                <w:szCs w:val="21"/>
                <w:lang w:eastAsia="zh-CN"/>
              </w:rPr>
              <w:t>；</w:t>
            </w:r>
          </w:p>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PD760</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为开采平硐，为K1矿体的主平硐，目前开采深度为300m。</w:t>
            </w:r>
          </w:p>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PD710m</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平硐为探矿平硐</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PD710m</w:t>
            </w:r>
            <w:r>
              <w:rPr>
                <w:rFonts w:hint="eastAsia" w:ascii="Times New Roman" w:hAnsi="Times New Roman" w:eastAsia="宋体" w:cs="Times New Roman"/>
                <w:color w:val="FF0000"/>
                <w:sz w:val="21"/>
                <w:szCs w:val="21"/>
                <w:lang w:val="en-US" w:eastAsia="zh-CN"/>
              </w:rPr>
              <w:t>硐口已封闭，后期不再采矿；</w:t>
            </w:r>
          </w:p>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PD660，为开采平硐，开采深度为150m。</w:t>
            </w:r>
          </w:p>
          <w:p>
            <w:pPr>
              <w:spacing w:line="240" w:lineRule="auto"/>
              <w:ind w:firstLine="0" w:firstLineChars="0"/>
              <w:jc w:val="left"/>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现有工程共有一个回风平硐，三个开采平硐，一个探矿平硐。本项目的出矿平硐分别为PD810、PD760、PD660。</w:t>
            </w:r>
          </w:p>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p>
        </w:tc>
        <w:tc>
          <w:tcPr>
            <w:tcW w:w="3716" w:type="dxa"/>
            <w:gridSpan w:val="2"/>
            <w:tcBorders>
              <w:tl2br w:val="nil"/>
              <w:tr2bl w:val="nil"/>
            </w:tcBorders>
            <w:vAlign w:val="center"/>
          </w:tcPr>
          <w:p>
            <w:pPr>
              <w:spacing w:line="240" w:lineRule="auto"/>
              <w:ind w:firstLine="0" w:firstLineChars="0"/>
              <w:jc w:val="left"/>
              <w:rPr>
                <w:rFonts w:hint="default" w:ascii="Times New Roman" w:hAnsi="Times New Roman" w:eastAsia="宋体" w:cs="Times New Roman"/>
              </w:rPr>
            </w:pPr>
            <w:r>
              <w:rPr>
                <w:rFonts w:hint="default" w:ascii="Times New Roman" w:hAnsi="Times New Roman" w:eastAsia="宋体" w:cs="Times New Roman"/>
              </w:rPr>
              <w:t>PD8</w:t>
            </w:r>
            <w:r>
              <w:rPr>
                <w:rFonts w:hint="default" w:ascii="Times New Roman" w:hAnsi="Times New Roman" w:eastAsia="宋体" w:cs="Times New Roman"/>
                <w:lang w:val="en-US" w:eastAsia="zh-CN"/>
              </w:rPr>
              <w:t>3</w:t>
            </w:r>
            <w:r>
              <w:rPr>
                <w:rFonts w:hint="eastAsia" w:ascii="Times New Roman" w:hAnsi="Times New Roman" w:eastAsia="宋体" w:cs="Times New Roman"/>
                <w:lang w:val="en-US" w:eastAsia="zh-CN"/>
              </w:rPr>
              <w:t>0</w:t>
            </w:r>
            <w:r>
              <w:rPr>
                <w:rFonts w:hint="default" w:ascii="Times New Roman" w:hAnsi="Times New Roman" w:eastAsia="宋体" w:cs="Times New Roman"/>
              </w:rPr>
              <w:t>回风平硐</w:t>
            </w:r>
            <w:r>
              <w:rPr>
                <w:rFonts w:hint="default" w:ascii="Times New Roman" w:hAnsi="Times New Roman" w:eastAsia="宋体" w:cs="Times New Roman"/>
                <w:lang w:eastAsia="zh-CN"/>
              </w:rPr>
              <w:t>，</w:t>
            </w:r>
            <w:r>
              <w:rPr>
                <w:rFonts w:hint="default" w:ascii="Times New Roman" w:hAnsi="Times New Roman" w:eastAsia="宋体" w:cs="Times New Roman"/>
              </w:rPr>
              <w:t>硐口坐标为：X=3611326，Y=37364438，H=8</w:t>
            </w:r>
            <w:r>
              <w:rPr>
                <w:rFonts w:hint="default" w:ascii="Times New Roman" w:hAnsi="Times New Roman" w:eastAsia="宋体" w:cs="Times New Roman"/>
                <w:lang w:val="en-US" w:eastAsia="zh-CN"/>
              </w:rPr>
              <w:t>3</w:t>
            </w:r>
            <w:r>
              <w:rPr>
                <w:rFonts w:hint="eastAsia" w:ascii="Times New Roman" w:hAnsi="Times New Roman" w:eastAsia="宋体" w:cs="Times New Roman"/>
                <w:lang w:val="en-US" w:eastAsia="zh-CN"/>
              </w:rPr>
              <w:t>0</w:t>
            </w:r>
            <w:r>
              <w:rPr>
                <w:rFonts w:hint="default" w:ascii="Times New Roman" w:hAnsi="Times New Roman" w:eastAsia="宋体" w:cs="Times New Roman"/>
              </w:rPr>
              <w:t>m，平硐口布置在矿体下盘，垂直矿体走向进行掘进，见矿后沿走向方向矿体两端掘进；新鲜风流从各平硐口进风，经石门、沿脉运输巷、采场天井进入采场。</w:t>
            </w:r>
          </w:p>
          <w:p>
            <w:pPr>
              <w:spacing w:line="240" w:lineRule="auto"/>
              <w:ind w:firstLine="0" w:firstLineChars="0"/>
              <w:jc w:val="left"/>
              <w:rPr>
                <w:rFonts w:hint="default" w:ascii="Times New Roman" w:hAnsi="Times New Roman" w:eastAsia="宋体" w:cs="Times New Roman"/>
              </w:rPr>
            </w:pPr>
            <w:r>
              <w:rPr>
                <w:rFonts w:hint="default" w:ascii="Times New Roman" w:hAnsi="Times New Roman" w:eastAsia="宋体" w:cs="Times New Roman"/>
              </w:rPr>
              <w:t>PD810运输平硐</w:t>
            </w:r>
            <w:r>
              <w:rPr>
                <w:rFonts w:hint="default" w:ascii="Times New Roman" w:hAnsi="Times New Roman" w:eastAsia="宋体" w:cs="Times New Roman"/>
                <w:lang w:eastAsia="zh-CN"/>
              </w:rPr>
              <w:t>，</w:t>
            </w:r>
            <w:r>
              <w:rPr>
                <w:rFonts w:hint="default" w:ascii="Times New Roman" w:hAnsi="Times New Roman" w:eastAsia="宋体" w:cs="Times New Roman"/>
              </w:rPr>
              <w:t>硐口坐标为：X=3611373，Y=37364394， H=810m，平硐口布置在矿体下盘，垂直矿体走向进行掘进，见矿后沿走向方向矿体两端掘进；</w:t>
            </w:r>
          </w:p>
          <w:p>
            <w:pPr>
              <w:spacing w:line="240" w:lineRule="auto"/>
              <w:ind w:firstLine="0"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rPr>
              <w:t>PD760</w:t>
            </w:r>
            <w:r>
              <w:rPr>
                <w:rFonts w:hint="default" w:ascii="Times New Roman" w:hAnsi="Times New Roman" w:eastAsia="宋体" w:cs="Times New Roman"/>
                <w:lang w:eastAsia="zh-CN"/>
              </w:rPr>
              <w:t>运输平硐，</w:t>
            </w:r>
            <w:r>
              <w:rPr>
                <w:rFonts w:hint="default" w:ascii="Times New Roman" w:hAnsi="Times New Roman" w:eastAsia="宋体" w:cs="Times New Roman"/>
              </w:rPr>
              <w:t>坐标为：X=3611405，Y=37364364， H=760m，平硐口布置在矿体下盘，垂直矿体走向进行掘进，见矿后沿走向方向矿体两端掘进</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为主平硐；</w:t>
            </w:r>
          </w:p>
          <w:p>
            <w:pPr>
              <w:spacing w:line="240" w:lineRule="auto"/>
              <w:ind w:firstLine="0" w:firstLineChars="0"/>
              <w:jc w:val="left"/>
              <w:rPr>
                <w:rFonts w:hint="default" w:ascii="Times New Roman" w:hAnsi="Times New Roman" w:eastAsia="宋体" w:cs="Times New Roman"/>
              </w:rPr>
            </w:pPr>
            <w:r>
              <w:rPr>
                <w:rFonts w:hint="default" w:ascii="Times New Roman" w:hAnsi="Times New Roman" w:eastAsia="宋体" w:cs="Times New Roman"/>
              </w:rPr>
              <w:t>PD660m</w:t>
            </w:r>
            <w:r>
              <w:rPr>
                <w:rFonts w:hint="default" w:ascii="Times New Roman" w:hAnsi="Times New Roman" w:eastAsia="宋体" w:cs="Times New Roman"/>
                <w:lang w:eastAsia="zh-CN"/>
              </w:rPr>
              <w:t>运输平硐，</w:t>
            </w:r>
            <w:r>
              <w:rPr>
                <w:rFonts w:hint="default" w:ascii="Times New Roman" w:hAnsi="Times New Roman" w:eastAsia="宋体" w:cs="Times New Roman"/>
              </w:rPr>
              <w:t>硐口坐标为：X=3611624，Y=37364395，H=660m，平硐口布置在矿体下盘，垂直矿体走向进行掘进，见矿后沿走向方向南掘进至矿体端部。</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ind w:leftChars="0"/>
              <w:textAlignment w:val="auto"/>
              <w:rPr>
                <w:rFonts w:hint="default" w:eastAsia="宋体"/>
                <w:lang w:val="en-US" w:eastAsia="zh-CN"/>
              </w:rPr>
            </w:pPr>
            <w:r>
              <w:rPr>
                <w:rFonts w:hint="default" w:ascii="Times New Roman" w:hAnsi="Times New Roman" w:eastAsia="宋体" w:cs="Times New Roman"/>
                <w:b w:val="0"/>
                <w:bCs w:val="0"/>
                <w:color w:val="FF0000"/>
                <w:kern w:val="2"/>
                <w:sz w:val="21"/>
                <w:szCs w:val="24"/>
                <w:lang w:val="en-US" w:eastAsia="zh-CN" w:bidi="ar-SA"/>
              </w:rPr>
              <w:t>本次扩建项目回风平硐、开采平硐、出矿平硐依托原有工程。</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eastAsia="zh-CN"/>
              </w:rPr>
              <w:t>先对</w:t>
            </w:r>
            <w:r>
              <w:rPr>
                <w:rFonts w:hint="default" w:ascii="Times New Roman" w:hAnsi="Times New Roman" w:eastAsia="宋体" w:cs="Times New Roman"/>
                <w:color w:val="000000" w:themeColor="text1"/>
                <w:kern w:val="0"/>
                <w:sz w:val="21"/>
                <w:szCs w:val="21"/>
              </w:rPr>
              <w:t>K1矿体</w:t>
            </w:r>
            <w:r>
              <w:rPr>
                <w:rFonts w:hint="eastAsia" w:ascii="Times New Roman" w:hAnsi="Times New Roman" w:eastAsia="宋体" w:cs="Times New Roman"/>
                <w:color w:val="000000" w:themeColor="text1"/>
                <w:sz w:val="21"/>
                <w:szCs w:val="21"/>
                <w:lang w:eastAsia="zh-CN"/>
              </w:rPr>
              <w:t>进行开采</w:t>
            </w:r>
            <w:r>
              <w:rPr>
                <w:rFonts w:hint="eastAsia" w:ascii="Times New Roman" w:hAnsi="Times New Roman" w:eastAsia="宋体" w:cs="Times New Roman"/>
                <w:color w:val="000000" w:themeColor="text1"/>
                <w:sz w:val="21"/>
                <w:szCs w:val="21"/>
                <w:lang w:val="en-US" w:eastAsia="zh-CN"/>
              </w:rPr>
              <w:t>。扩建工程利用原有的PD830作为回风平硐；利用原有的PD810、PD710和PD660作为开采平硐兼出矿平硐。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continue"/>
            <w:tcBorders>
              <w:tl2br w:val="nil"/>
              <w:tr2bl w:val="nil"/>
            </w:tcBorders>
            <w:vAlign w:val="center"/>
          </w:tcPr>
          <w:p>
            <w:pPr>
              <w:pStyle w:val="99"/>
              <w:spacing w:line="240" w:lineRule="auto"/>
              <w:rPr>
                <w:rFonts w:hint="eastAsia" w:ascii="Times New Roman" w:hAnsi="Times New Roman" w:eastAsia="宋体" w:cs="Times New Roman"/>
                <w:color w:val="000000" w:themeColor="text1"/>
                <w:kern w:val="0"/>
                <w:sz w:val="21"/>
                <w:szCs w:val="21"/>
                <w:lang w:eastAsia="zh-CN"/>
              </w:rPr>
            </w:pPr>
          </w:p>
        </w:tc>
        <w:tc>
          <w:tcPr>
            <w:tcW w:w="931" w:type="dxa"/>
            <w:tcBorders>
              <w:tl2br w:val="nil"/>
              <w:tr2bl w:val="nil"/>
            </w:tcBorders>
            <w:vAlign w:val="center"/>
          </w:tcPr>
          <w:p>
            <w:pPr>
              <w:pStyle w:val="99"/>
              <w:spacing w:line="240" w:lineRule="auto"/>
              <w:rPr>
                <w:rFonts w:hint="eastAsia"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eastAsia="zh-CN"/>
              </w:rPr>
              <w:t>资源量：</w:t>
            </w:r>
            <w:r>
              <w:rPr>
                <w:rFonts w:hint="eastAsia" w:ascii="Times New Roman" w:hAnsi="Times New Roman" w:eastAsia="宋体" w:cs="Times New Roman"/>
                <w:color w:val="FF0000"/>
                <w:kern w:val="0"/>
                <w:sz w:val="21"/>
                <w:szCs w:val="21"/>
                <w:lang w:val="en-US" w:eastAsia="zh-CN"/>
              </w:rPr>
              <w:t>25.91万吨</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eastAsia="zh-CN"/>
              </w:rPr>
              <w:t>已开采约：</w:t>
            </w:r>
            <w:r>
              <w:rPr>
                <w:rFonts w:hint="eastAsia" w:ascii="Times New Roman" w:hAnsi="Times New Roman" w:eastAsia="宋体" w:cs="Times New Roman"/>
                <w:color w:val="FF0000"/>
                <w:sz w:val="21"/>
                <w:szCs w:val="21"/>
                <w:lang w:val="en-US" w:eastAsia="zh-CN"/>
              </w:rPr>
              <w:t>3.5万吨</w:t>
            </w:r>
          </w:p>
        </w:tc>
        <w:tc>
          <w:tcPr>
            <w:tcW w:w="4860"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余量：</w:t>
            </w:r>
            <w:r>
              <w:rPr>
                <w:rFonts w:hint="eastAsia" w:ascii="Times New Roman" w:hAnsi="Times New Roman" w:eastAsia="宋体" w:cs="Times New Roman"/>
                <w:color w:val="FF0000"/>
                <w:sz w:val="21"/>
                <w:szCs w:val="21"/>
                <w:lang w:val="en-US" w:eastAsia="zh-CN"/>
              </w:rPr>
              <w:t>22.41万吨，可开采年限约：4.6年。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restart"/>
            <w:tcBorders>
              <w:tl2br w:val="nil"/>
              <w:tr2bl w:val="nil"/>
            </w:tcBorders>
            <w:vAlign w:val="center"/>
          </w:tcPr>
          <w:p>
            <w:pPr>
              <w:pStyle w:val="99"/>
              <w:spacing w:line="240" w:lineRule="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K2矿体</w:t>
            </w:r>
          </w:p>
        </w:tc>
        <w:tc>
          <w:tcPr>
            <w:tcW w:w="931" w:type="dxa"/>
            <w:tcBorders>
              <w:tl2br w:val="nil"/>
              <w:tr2bl w:val="nil"/>
            </w:tcBorders>
            <w:vAlign w:val="center"/>
          </w:tcPr>
          <w:p>
            <w:pPr>
              <w:pStyle w:val="99"/>
              <w:spacing w:line="240" w:lineRule="auto"/>
              <w:rPr>
                <w:rFonts w:hint="default" w:ascii="Times New Roman" w:hAnsi="Times New Roman" w:eastAsia="宋体" w:cs="Times New Roman"/>
                <w:color w:val="000000" w:themeColor="text1"/>
                <w:kern w:val="0"/>
                <w:sz w:val="21"/>
                <w:szCs w:val="21"/>
              </w:rPr>
            </w:pPr>
            <w:r>
              <w:rPr>
                <w:rFonts w:hint="eastAsia" w:ascii="Times New Roman" w:hAnsi="Times New Roman" w:eastAsia="宋体" w:cs="Times New Roman"/>
                <w:color w:val="000000" w:themeColor="text1"/>
                <w:kern w:val="0"/>
                <w:sz w:val="21"/>
                <w:szCs w:val="21"/>
                <w:lang w:eastAsia="zh-CN"/>
              </w:rPr>
              <w:t>主要建设内容</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3716" w:type="dxa"/>
            <w:gridSpan w:val="2"/>
            <w:tcBorders>
              <w:tl2br w:val="nil"/>
              <w:tr2bl w:val="nil"/>
            </w:tcBorders>
            <w:vAlign w:val="center"/>
          </w:tcPr>
          <w:p>
            <w:pPr>
              <w:spacing w:line="240" w:lineRule="auto"/>
              <w:ind w:firstLine="0" w:firstLineChars="0"/>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PD830m回风平硐</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硐口坐标为：X=3612436，Y=37363389</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H=830m，平硐口布置在矿体下盘，沿走向方向矿体端部掘进；</w:t>
            </w:r>
            <w:r>
              <w:rPr>
                <w:rFonts w:hint="eastAsia" w:ascii="仿宋_GB2312"/>
              </w:rPr>
              <w:t>新鲜风流从各平硐口进风，沿脉运输巷、采场天井进入采场。</w:t>
            </w:r>
          </w:p>
          <w:p>
            <w:pPr>
              <w:spacing w:line="240" w:lineRule="auto"/>
              <w:ind w:firstLine="0" w:firstLineChars="0"/>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PD790m运输平硐</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硐口坐标为：X=3612508，Y=37363382</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H=790m，平硐口布置在矿体下盘，沿走向方向矿体端部掘进</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为主平硐</w:t>
            </w:r>
            <w:r>
              <w:rPr>
                <w:rFonts w:hint="default" w:ascii="Times New Roman" w:hAnsi="Times New Roman" w:eastAsia="宋体" w:cs="Times New Roman"/>
                <w:color w:val="000000" w:themeColor="text1"/>
                <w:sz w:val="21"/>
                <w:szCs w:val="21"/>
              </w:rPr>
              <w:t>；</w:t>
            </w:r>
          </w:p>
          <w:p>
            <w:pPr>
              <w:spacing w:line="240" w:lineRule="auto"/>
              <w:ind w:firstLine="0" w:firstLineChars="0"/>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PD750m运输平硐</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硐口坐标为</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 xml:space="preserve"> X=3612549，Y=37363357</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H=750m，平硐口布置在矿体下盘，沿走向方向矿体端部掘进；</w:t>
            </w:r>
          </w:p>
          <w:p>
            <w:pPr>
              <w:spacing w:line="240" w:lineRule="auto"/>
              <w:ind w:firstLine="0" w:firstLineChars="0"/>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PD710m运输平硐</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硐口坐标为：X=3612596，Y=37363326</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H=710m，平硐口布置在矿体下盘，沿走向方向矿体端部掘进。</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K1矿体开采结束后对K2矿体进行开采。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continue"/>
            <w:tcBorders>
              <w:tl2br w:val="nil"/>
              <w:tr2bl w:val="nil"/>
            </w:tcBorders>
            <w:vAlign w:val="center"/>
          </w:tcPr>
          <w:p>
            <w:pPr>
              <w:pStyle w:val="99"/>
              <w:spacing w:line="240" w:lineRule="auto"/>
              <w:rPr>
                <w:rFonts w:hint="eastAsia" w:ascii="Times New Roman" w:hAnsi="Times New Roman" w:eastAsia="宋体" w:cs="Times New Roman"/>
                <w:color w:val="000000" w:themeColor="text1"/>
                <w:kern w:val="0"/>
                <w:sz w:val="21"/>
                <w:szCs w:val="21"/>
                <w:lang w:eastAsia="zh-CN"/>
              </w:rPr>
            </w:pPr>
          </w:p>
        </w:tc>
        <w:tc>
          <w:tcPr>
            <w:tcW w:w="931" w:type="dxa"/>
            <w:tcBorders>
              <w:tl2br w:val="nil"/>
              <w:tr2bl w:val="nil"/>
            </w:tcBorders>
            <w:vAlign w:val="center"/>
          </w:tcPr>
          <w:p>
            <w:pPr>
              <w:pStyle w:val="99"/>
              <w:spacing w:line="240" w:lineRule="auto"/>
              <w:rPr>
                <w:rFonts w:hint="default" w:ascii="Times New Roman" w:hAnsi="Times New Roman" w:eastAsia="宋体" w:cs="Times New Roman"/>
                <w:color w:val="000000" w:themeColor="text1"/>
                <w:kern w:val="0"/>
                <w:sz w:val="21"/>
                <w:szCs w:val="21"/>
              </w:rPr>
            </w:pPr>
            <w:r>
              <w:rPr>
                <w:rFonts w:hint="eastAsia" w:ascii="Times New Roman" w:hAnsi="Times New Roman" w:eastAsia="宋体" w:cs="Times New Roman"/>
                <w:color w:val="000000" w:themeColor="text1"/>
                <w:kern w:val="0"/>
                <w:sz w:val="21"/>
                <w:szCs w:val="21"/>
                <w:lang w:eastAsia="zh-CN"/>
              </w:rPr>
              <w:t>资源量：</w:t>
            </w:r>
            <w:r>
              <w:rPr>
                <w:rFonts w:hint="eastAsia" w:ascii="Times New Roman" w:hAnsi="Times New Roman" w:eastAsia="宋体" w:cs="Times New Roman"/>
                <w:color w:val="000000" w:themeColor="text1"/>
                <w:kern w:val="0"/>
                <w:sz w:val="21"/>
                <w:szCs w:val="21"/>
                <w:lang w:val="en-US" w:eastAsia="zh-CN"/>
              </w:rPr>
              <w:t>3.71万吨</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未开采</w:t>
            </w:r>
          </w:p>
        </w:tc>
        <w:tc>
          <w:tcPr>
            <w:tcW w:w="4860"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余量：</w:t>
            </w:r>
            <w:r>
              <w:rPr>
                <w:rFonts w:hint="eastAsia" w:ascii="Times New Roman" w:hAnsi="Times New Roman" w:eastAsia="宋体" w:cs="Times New Roman"/>
                <w:color w:val="000000" w:themeColor="text1"/>
                <w:sz w:val="21"/>
                <w:szCs w:val="21"/>
                <w:lang w:val="en-US" w:eastAsia="zh-CN"/>
              </w:rPr>
              <w:t>3.71万吨，可开采年限：0.7年。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pStyle w:val="99"/>
              <w:spacing w:line="240" w:lineRule="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工业场地</w:t>
            </w:r>
          </w:p>
        </w:tc>
        <w:tc>
          <w:tcPr>
            <w:tcW w:w="2256" w:type="dxa"/>
            <w:gridSpan w:val="3"/>
            <w:tcBorders>
              <w:tl2br w:val="nil"/>
              <w:tr2bl w:val="nil"/>
            </w:tcBorders>
            <w:vAlign w:val="center"/>
          </w:tcPr>
          <w:p>
            <w:pPr>
              <w:spacing w:line="240" w:lineRule="auto"/>
              <w:ind w:firstLine="0" w:firstLineChars="0"/>
              <w:jc w:val="left"/>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w:t>
            </w:r>
            <w:r>
              <w:rPr>
                <w:rFonts w:hint="default" w:ascii="Times New Roman" w:hAnsi="Times New Roman" w:eastAsia="宋体" w:cs="Times New Roman"/>
                <w:bCs/>
                <w:color w:val="000000" w:themeColor="text1"/>
                <w:sz w:val="21"/>
                <w:szCs w:val="21"/>
              </w:rPr>
              <w:t>PD760平硐口</w:t>
            </w:r>
            <w:r>
              <w:rPr>
                <w:rFonts w:hint="eastAsia" w:ascii="Times New Roman" w:hAnsi="Times New Roman" w:eastAsia="宋体" w:cs="Times New Roman"/>
                <w:bCs/>
                <w:color w:val="000000" w:themeColor="text1"/>
                <w:sz w:val="21"/>
                <w:szCs w:val="21"/>
                <w:lang w:eastAsia="zh-CN"/>
              </w:rPr>
              <w:t>已建成</w:t>
            </w:r>
            <w:r>
              <w:rPr>
                <w:rFonts w:hint="default" w:ascii="Times New Roman" w:hAnsi="Times New Roman" w:eastAsia="宋体" w:cs="Times New Roman"/>
                <w:bCs/>
                <w:color w:val="000000" w:themeColor="text1"/>
                <w:sz w:val="21"/>
                <w:szCs w:val="21"/>
              </w:rPr>
              <w:t>基本的值班室、变配电室及</w:t>
            </w:r>
            <w:r>
              <w:rPr>
                <w:rFonts w:hint="eastAsia" w:ascii="Times New Roman" w:hAnsi="Times New Roman" w:eastAsia="宋体" w:cs="Times New Roman"/>
                <w:bCs/>
                <w:color w:val="000000" w:themeColor="text1"/>
                <w:sz w:val="21"/>
                <w:szCs w:val="21"/>
                <w:lang w:eastAsia="zh-CN"/>
              </w:rPr>
              <w:t>集</w:t>
            </w:r>
            <w:r>
              <w:rPr>
                <w:rFonts w:hint="default" w:ascii="Times New Roman" w:hAnsi="Times New Roman" w:eastAsia="宋体" w:cs="Times New Roman"/>
                <w:bCs/>
                <w:color w:val="000000" w:themeColor="text1"/>
                <w:sz w:val="21"/>
                <w:szCs w:val="21"/>
              </w:rPr>
              <w:t>水池等，</w:t>
            </w:r>
            <w:r>
              <w:rPr>
                <w:rFonts w:hint="eastAsia" w:ascii="Times New Roman" w:hAnsi="Times New Roman" w:eastAsia="宋体" w:cs="Times New Roman"/>
                <w:bCs/>
                <w:color w:val="000000" w:themeColor="text1"/>
                <w:sz w:val="21"/>
                <w:szCs w:val="21"/>
                <w:lang w:eastAsia="zh-CN"/>
              </w:rPr>
              <w:t>PD83</w:t>
            </w:r>
            <w:r>
              <w:rPr>
                <w:rFonts w:hint="eastAsia" w:ascii="Times New Roman" w:hAnsi="Times New Roman" w:eastAsia="宋体" w:cs="Times New Roman"/>
                <w:bCs/>
                <w:color w:val="000000" w:themeColor="text1"/>
                <w:sz w:val="21"/>
                <w:szCs w:val="21"/>
                <w:lang w:val="en-US" w:eastAsia="zh-CN"/>
              </w:rPr>
              <w:t>0</w:t>
            </w:r>
            <w:r>
              <w:rPr>
                <w:rFonts w:hint="default" w:ascii="Times New Roman" w:hAnsi="Times New Roman" w:eastAsia="宋体" w:cs="Times New Roman"/>
                <w:bCs/>
                <w:color w:val="000000" w:themeColor="text1"/>
                <w:sz w:val="21"/>
                <w:szCs w:val="21"/>
              </w:rPr>
              <w:t>回风平硐口</w:t>
            </w:r>
            <w:r>
              <w:rPr>
                <w:rFonts w:hint="eastAsia" w:ascii="Times New Roman" w:hAnsi="Times New Roman" w:eastAsia="宋体" w:cs="Times New Roman"/>
                <w:bCs/>
                <w:color w:val="000000" w:themeColor="text1"/>
                <w:sz w:val="21"/>
                <w:szCs w:val="21"/>
                <w:lang w:eastAsia="zh-CN"/>
              </w:rPr>
              <w:t>已建成</w:t>
            </w:r>
            <w:r>
              <w:rPr>
                <w:rFonts w:hint="default" w:ascii="Times New Roman" w:hAnsi="Times New Roman" w:eastAsia="宋体" w:cs="Times New Roman"/>
                <w:bCs/>
                <w:color w:val="000000" w:themeColor="text1"/>
                <w:sz w:val="21"/>
                <w:szCs w:val="21"/>
              </w:rPr>
              <w:t>风机值班室和高位水池</w:t>
            </w:r>
            <w:r>
              <w:rPr>
                <w:rFonts w:hint="eastAsia" w:ascii="Times New Roman" w:hAnsi="Times New Roman" w:eastAsia="宋体" w:cs="Times New Roman"/>
                <w:bCs/>
                <w:color w:val="000000" w:themeColor="text1"/>
                <w:sz w:val="21"/>
                <w:szCs w:val="21"/>
                <w:lang w:eastAsia="zh-CN"/>
              </w:rPr>
              <w:t>，</w:t>
            </w:r>
            <w:r>
              <w:rPr>
                <w:rFonts w:hint="eastAsia" w:ascii="Times New Roman" w:hAnsi="Times New Roman" w:eastAsia="宋体" w:cs="Times New Roman"/>
                <w:bCs/>
                <w:color w:val="000000" w:themeColor="text1"/>
                <w:sz w:val="21"/>
                <w:szCs w:val="21"/>
                <w:lang w:val="en-US" w:eastAsia="zh-CN"/>
              </w:rPr>
              <w:t>PD810已建成空压机房、维修机房和危废暂存间，</w:t>
            </w:r>
            <w:r>
              <w:rPr>
                <w:rFonts w:hint="default" w:ascii="Times New Roman" w:hAnsi="Times New Roman" w:eastAsia="宋体" w:cs="Times New Roman"/>
                <w:bCs/>
                <w:color w:val="000000" w:themeColor="text1"/>
                <w:sz w:val="21"/>
                <w:szCs w:val="21"/>
              </w:rPr>
              <w:t>PD</w:t>
            </w:r>
            <w:r>
              <w:rPr>
                <w:rFonts w:hint="eastAsia" w:ascii="Times New Roman" w:hAnsi="Times New Roman" w:eastAsia="宋体" w:cs="Times New Roman"/>
                <w:bCs/>
                <w:color w:val="000000" w:themeColor="text1"/>
                <w:sz w:val="21"/>
                <w:szCs w:val="21"/>
                <w:lang w:val="en-US" w:eastAsia="zh-CN"/>
              </w:rPr>
              <w:t>6</w:t>
            </w:r>
            <w:r>
              <w:rPr>
                <w:rFonts w:hint="default" w:ascii="Times New Roman" w:hAnsi="Times New Roman" w:eastAsia="宋体" w:cs="Times New Roman"/>
                <w:bCs/>
                <w:color w:val="000000" w:themeColor="text1"/>
                <w:sz w:val="21"/>
                <w:szCs w:val="21"/>
              </w:rPr>
              <w:t>60平硐口</w:t>
            </w:r>
            <w:r>
              <w:rPr>
                <w:rFonts w:hint="eastAsia" w:ascii="Times New Roman" w:hAnsi="Times New Roman" w:eastAsia="宋体" w:cs="Times New Roman"/>
                <w:bCs/>
                <w:color w:val="000000" w:themeColor="text1"/>
                <w:sz w:val="21"/>
                <w:szCs w:val="21"/>
                <w:lang w:eastAsia="zh-CN"/>
              </w:rPr>
              <w:t>已建成</w:t>
            </w:r>
            <w:r>
              <w:rPr>
                <w:rFonts w:hint="default" w:ascii="Times New Roman" w:hAnsi="Times New Roman" w:eastAsia="宋体" w:cs="Times New Roman"/>
                <w:bCs/>
                <w:color w:val="000000" w:themeColor="text1"/>
                <w:sz w:val="21"/>
                <w:szCs w:val="21"/>
              </w:rPr>
              <w:t>基本的值班室。</w:t>
            </w:r>
          </w:p>
        </w:tc>
        <w:tc>
          <w:tcPr>
            <w:tcW w:w="3716" w:type="dxa"/>
            <w:gridSpan w:val="2"/>
            <w:tcBorders>
              <w:tl2br w:val="nil"/>
              <w:tr2bl w:val="nil"/>
            </w:tcBorders>
            <w:vAlign w:val="center"/>
          </w:tcPr>
          <w:p>
            <w:pPr>
              <w:spacing w:line="240" w:lineRule="auto"/>
              <w:ind w:firstLine="0" w:firstLineChars="0"/>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K1矿体</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值班室、变配电室、空压机房及</w:t>
            </w:r>
            <w:r>
              <w:rPr>
                <w:rFonts w:hint="eastAsia" w:ascii="Times New Roman" w:hAnsi="Times New Roman" w:eastAsia="宋体" w:cs="Times New Roman"/>
                <w:color w:val="000000" w:themeColor="text1"/>
                <w:sz w:val="21"/>
                <w:szCs w:val="21"/>
                <w:lang w:eastAsia="zh-CN"/>
              </w:rPr>
              <w:t>集</w:t>
            </w:r>
            <w:r>
              <w:rPr>
                <w:rFonts w:hint="default" w:ascii="Times New Roman" w:hAnsi="Times New Roman" w:eastAsia="宋体" w:cs="Times New Roman"/>
                <w:color w:val="000000" w:themeColor="text1"/>
                <w:sz w:val="21"/>
                <w:szCs w:val="21"/>
              </w:rPr>
              <w:t>水池</w:t>
            </w:r>
            <w:r>
              <w:rPr>
                <w:rFonts w:hint="eastAsia" w:ascii="Times New Roman" w:hAnsi="Times New Roman" w:eastAsia="宋体" w:cs="Times New Roman"/>
                <w:color w:val="000000" w:themeColor="text1"/>
                <w:sz w:val="21"/>
                <w:szCs w:val="21"/>
                <w:lang w:eastAsia="zh-CN"/>
              </w:rPr>
              <w:t>、高位水池</w:t>
            </w:r>
            <w:r>
              <w:rPr>
                <w:rFonts w:hint="default" w:ascii="Times New Roman" w:hAnsi="Times New Roman" w:eastAsia="宋体" w:cs="Times New Roman"/>
                <w:color w:val="000000" w:themeColor="text1"/>
                <w:sz w:val="21"/>
                <w:szCs w:val="21"/>
              </w:rPr>
              <w:t>等</w:t>
            </w:r>
            <w:r>
              <w:rPr>
                <w:rFonts w:hint="eastAsia" w:ascii="Times New Roman" w:hAnsi="Times New Roman" w:eastAsia="宋体" w:cs="Times New Roman"/>
                <w:color w:val="000000" w:themeColor="text1"/>
                <w:sz w:val="21"/>
                <w:szCs w:val="21"/>
                <w:lang w:eastAsia="zh-CN"/>
              </w:rPr>
              <w:t>全部依托现有工程</w:t>
            </w:r>
            <w:r>
              <w:rPr>
                <w:rFonts w:hint="default" w:ascii="Times New Roman" w:hAnsi="Times New Roman" w:eastAsia="宋体" w:cs="Times New Roman"/>
                <w:color w:val="000000" w:themeColor="text1"/>
                <w:sz w:val="21"/>
                <w:szCs w:val="21"/>
              </w:rPr>
              <w:t>。</w:t>
            </w:r>
          </w:p>
          <w:p>
            <w:pPr>
              <w:spacing w:line="240" w:lineRule="auto"/>
              <w:ind w:firstLine="0" w:firstLineChars="0"/>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K2矿体</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在PD790平硐口</w:t>
            </w:r>
            <w:r>
              <w:rPr>
                <w:rFonts w:hint="eastAsia" w:ascii="Times New Roman" w:hAnsi="Times New Roman" w:eastAsia="宋体" w:cs="Times New Roman"/>
                <w:color w:val="000000" w:themeColor="text1"/>
                <w:sz w:val="21"/>
                <w:szCs w:val="21"/>
                <w:lang w:eastAsia="zh-CN"/>
              </w:rPr>
              <w:t>新建工业场地，</w:t>
            </w:r>
            <w:r>
              <w:rPr>
                <w:rFonts w:hint="default" w:ascii="Times New Roman" w:hAnsi="Times New Roman" w:eastAsia="宋体" w:cs="Times New Roman"/>
                <w:color w:val="000000" w:themeColor="text1"/>
                <w:sz w:val="21"/>
                <w:szCs w:val="21"/>
              </w:rPr>
              <w:t>值班室、变配电室、空压机房及</w:t>
            </w:r>
            <w:r>
              <w:rPr>
                <w:rFonts w:hint="eastAsia" w:ascii="Times New Roman" w:hAnsi="Times New Roman" w:eastAsia="宋体" w:cs="Times New Roman"/>
                <w:color w:val="000000" w:themeColor="text1"/>
                <w:sz w:val="21"/>
                <w:szCs w:val="21"/>
                <w:lang w:eastAsia="zh-CN"/>
              </w:rPr>
              <w:t>集</w:t>
            </w:r>
            <w:r>
              <w:rPr>
                <w:rFonts w:hint="default" w:ascii="Times New Roman" w:hAnsi="Times New Roman" w:eastAsia="宋体" w:cs="Times New Roman"/>
                <w:color w:val="000000" w:themeColor="text1"/>
                <w:sz w:val="21"/>
                <w:szCs w:val="21"/>
              </w:rPr>
              <w:t>水池等，</w:t>
            </w:r>
            <w:r>
              <w:rPr>
                <w:rFonts w:hint="eastAsia" w:ascii="Times New Roman" w:hAnsi="Times New Roman" w:eastAsia="宋体" w:cs="Times New Roman"/>
                <w:color w:val="000000" w:themeColor="text1"/>
                <w:sz w:val="21"/>
                <w:szCs w:val="21"/>
                <w:lang w:val="en-US" w:eastAsia="zh-CN"/>
              </w:rPr>
              <w:t>PD710和PD750新建值班室和工业场地，</w:t>
            </w:r>
            <w:r>
              <w:rPr>
                <w:rFonts w:hint="default" w:ascii="Times New Roman" w:hAnsi="Times New Roman" w:eastAsia="宋体" w:cs="Times New Roman"/>
                <w:color w:val="000000" w:themeColor="text1"/>
                <w:sz w:val="21"/>
                <w:szCs w:val="21"/>
              </w:rPr>
              <w:t>PD830回风平硐口</w:t>
            </w:r>
            <w:r>
              <w:rPr>
                <w:rFonts w:hint="eastAsia" w:ascii="Times New Roman" w:hAnsi="Times New Roman" w:eastAsia="宋体" w:cs="Times New Roman"/>
                <w:color w:val="000000" w:themeColor="text1"/>
                <w:sz w:val="21"/>
                <w:szCs w:val="21"/>
                <w:lang w:eastAsia="zh-CN"/>
              </w:rPr>
              <w:t>新建</w:t>
            </w:r>
            <w:r>
              <w:rPr>
                <w:rFonts w:hint="default" w:ascii="Times New Roman" w:hAnsi="Times New Roman" w:eastAsia="宋体" w:cs="Times New Roman"/>
                <w:color w:val="000000" w:themeColor="text1"/>
                <w:sz w:val="21"/>
                <w:szCs w:val="21"/>
              </w:rPr>
              <w:t>风机值班室和高位水池。</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K1依托现有工程，K2新建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pStyle w:val="99"/>
              <w:spacing w:line="240" w:lineRule="auto"/>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矿石堆场</w:t>
            </w:r>
          </w:p>
        </w:tc>
        <w:tc>
          <w:tcPr>
            <w:tcW w:w="2256" w:type="dxa"/>
            <w:gridSpan w:val="3"/>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w:t>
            </w:r>
            <w:r>
              <w:rPr>
                <w:rFonts w:hint="default" w:ascii="Times New Roman" w:hAnsi="Times New Roman" w:eastAsia="宋体" w:cs="Times New Roman"/>
                <w:bCs/>
                <w:color w:val="000000" w:themeColor="text1"/>
                <w:sz w:val="21"/>
                <w:szCs w:val="21"/>
              </w:rPr>
              <w:t>PD</w:t>
            </w:r>
            <w:r>
              <w:rPr>
                <w:rFonts w:hint="eastAsia" w:ascii="Times New Roman" w:hAnsi="Times New Roman" w:eastAsia="宋体" w:cs="Times New Roman"/>
                <w:bCs/>
                <w:color w:val="000000" w:themeColor="text1"/>
                <w:sz w:val="21"/>
                <w:szCs w:val="21"/>
                <w:lang w:val="en-US" w:eastAsia="zh-CN"/>
              </w:rPr>
              <w:t>810、</w:t>
            </w:r>
            <w:r>
              <w:rPr>
                <w:rFonts w:hint="default" w:ascii="Times New Roman" w:hAnsi="Times New Roman" w:eastAsia="宋体" w:cs="Times New Roman"/>
                <w:bCs/>
                <w:color w:val="000000" w:themeColor="text1"/>
                <w:sz w:val="21"/>
                <w:szCs w:val="21"/>
              </w:rPr>
              <w:t>PD</w:t>
            </w:r>
            <w:r>
              <w:rPr>
                <w:rFonts w:hint="eastAsia" w:ascii="Times New Roman" w:hAnsi="Times New Roman" w:eastAsia="宋体" w:cs="Times New Roman"/>
                <w:bCs/>
                <w:color w:val="000000" w:themeColor="text1"/>
                <w:sz w:val="21"/>
                <w:szCs w:val="21"/>
                <w:lang w:val="en-US" w:eastAsia="zh-CN"/>
              </w:rPr>
              <w:t>760、</w:t>
            </w:r>
            <w:r>
              <w:rPr>
                <w:rFonts w:hint="default" w:ascii="Times New Roman" w:hAnsi="Times New Roman" w:eastAsia="宋体" w:cs="Times New Roman"/>
                <w:bCs/>
                <w:color w:val="000000" w:themeColor="text1"/>
                <w:sz w:val="21"/>
                <w:szCs w:val="21"/>
              </w:rPr>
              <w:t>PD</w:t>
            </w:r>
            <w:r>
              <w:rPr>
                <w:rFonts w:hint="eastAsia" w:ascii="Times New Roman" w:hAnsi="Times New Roman" w:eastAsia="宋体" w:cs="Times New Roman"/>
                <w:bCs/>
                <w:color w:val="000000" w:themeColor="text1"/>
                <w:sz w:val="21"/>
                <w:szCs w:val="21"/>
                <w:lang w:val="en-US" w:eastAsia="zh-CN"/>
              </w:rPr>
              <w:t>660已建成矿石临时堆场。</w:t>
            </w:r>
          </w:p>
        </w:tc>
        <w:tc>
          <w:tcPr>
            <w:tcW w:w="3716" w:type="dxa"/>
            <w:gridSpan w:val="2"/>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K1矿体：依托现有工程矿石临时堆场。</w:t>
            </w:r>
          </w:p>
          <w:p>
            <w:pPr>
              <w:spacing w:line="240" w:lineRule="auto"/>
              <w:ind w:firstLine="0" w:firstLineChars="0"/>
              <w:jc w:val="left"/>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K2矿体：在PD790、PD750、PD710硐口新建3个矿石临时堆场。</w:t>
            </w:r>
          </w:p>
        </w:tc>
        <w:tc>
          <w:tcPr>
            <w:tcW w:w="1144" w:type="dxa"/>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K1依托现有工程，K2新建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pStyle w:val="99"/>
              <w:spacing w:line="240" w:lineRule="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废石场</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K1矿体：PD810、</w:t>
            </w:r>
            <w:r>
              <w:rPr>
                <w:rFonts w:hint="default" w:ascii="Times New Roman" w:hAnsi="Times New Roman" w:eastAsia="宋体" w:cs="Times New Roman"/>
                <w:bCs/>
                <w:color w:val="000000" w:themeColor="text1"/>
                <w:sz w:val="21"/>
                <w:szCs w:val="21"/>
              </w:rPr>
              <w:t>PD</w:t>
            </w:r>
            <w:r>
              <w:rPr>
                <w:rFonts w:hint="eastAsia" w:ascii="Times New Roman" w:hAnsi="Times New Roman" w:eastAsia="宋体" w:cs="Times New Roman"/>
                <w:bCs/>
                <w:color w:val="000000" w:themeColor="text1"/>
                <w:sz w:val="21"/>
                <w:szCs w:val="21"/>
                <w:lang w:val="en-US" w:eastAsia="zh-CN"/>
              </w:rPr>
              <w:t>760、</w:t>
            </w:r>
            <w:r>
              <w:rPr>
                <w:rFonts w:hint="default" w:ascii="Times New Roman" w:hAnsi="Times New Roman" w:eastAsia="宋体" w:cs="Times New Roman"/>
                <w:bCs/>
                <w:color w:val="000000" w:themeColor="text1"/>
                <w:sz w:val="21"/>
                <w:szCs w:val="21"/>
              </w:rPr>
              <w:t>PD</w:t>
            </w:r>
            <w:r>
              <w:rPr>
                <w:rFonts w:hint="eastAsia" w:ascii="Times New Roman" w:hAnsi="Times New Roman" w:eastAsia="宋体" w:cs="Times New Roman"/>
                <w:bCs/>
                <w:color w:val="000000" w:themeColor="text1"/>
                <w:sz w:val="21"/>
                <w:szCs w:val="21"/>
                <w:lang w:val="en-US" w:eastAsia="zh-CN"/>
              </w:rPr>
              <w:t>660已建成废石场。</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K1矿体不再向现有废石场排放废石；</w:t>
            </w:r>
          </w:p>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K2矿体不新建废石场。</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扩建项目根据本项目的复垦方案对现有K1矿体的废石场进行生态恢复治理。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辅助</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工程</w:t>
            </w: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办公</w:t>
            </w:r>
            <w:r>
              <w:rPr>
                <w:rFonts w:hint="eastAsia" w:ascii="Times New Roman" w:hAnsi="Times New Roman" w:eastAsia="宋体" w:cs="Times New Roman"/>
                <w:color w:val="000000" w:themeColor="text1"/>
                <w:sz w:val="21"/>
                <w:szCs w:val="21"/>
                <w:lang w:eastAsia="zh-CN"/>
              </w:rPr>
              <w:t>生活</w:t>
            </w:r>
            <w:r>
              <w:rPr>
                <w:rFonts w:hint="default" w:ascii="Times New Roman" w:hAnsi="Times New Roman" w:eastAsia="宋体" w:cs="Times New Roman"/>
                <w:color w:val="000000" w:themeColor="text1"/>
                <w:sz w:val="21"/>
                <w:szCs w:val="21"/>
              </w:rPr>
              <w:t>区</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K1矿体</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在PD760平硐口附近</w:t>
            </w:r>
            <w:r>
              <w:rPr>
                <w:rFonts w:hint="eastAsia" w:ascii="Times New Roman" w:hAnsi="Times New Roman" w:eastAsia="宋体" w:cs="Times New Roman"/>
                <w:color w:val="000000" w:themeColor="text1"/>
                <w:sz w:val="21"/>
                <w:szCs w:val="21"/>
                <w:lang w:eastAsia="zh-CN"/>
              </w:rPr>
              <w:t>已建成。占地面积</w:t>
            </w:r>
            <w:r>
              <w:rPr>
                <w:rFonts w:hint="eastAsia" w:ascii="Times New Roman" w:hAnsi="Times New Roman" w:eastAsia="宋体" w:cs="Times New Roman"/>
                <w:color w:val="000000" w:themeColor="text1"/>
                <w:sz w:val="21"/>
                <w:szCs w:val="21"/>
                <w:lang w:val="en-US" w:eastAsia="zh-CN"/>
              </w:rPr>
              <w:t>120m</w:t>
            </w:r>
            <w:r>
              <w:rPr>
                <w:rFonts w:hint="eastAsia" w:ascii="Times New Roman" w:hAnsi="Times New Roman" w:eastAsia="宋体" w:cs="Times New Roman"/>
                <w:color w:val="000000" w:themeColor="text1"/>
                <w:sz w:val="21"/>
                <w:szCs w:val="21"/>
                <w:vertAlign w:val="superscript"/>
                <w:lang w:val="en-US" w:eastAsia="zh-CN"/>
              </w:rPr>
              <w:t>2</w:t>
            </w:r>
            <w:r>
              <w:rPr>
                <w:rFonts w:hint="eastAsia" w:ascii="Times New Roman" w:hAnsi="Times New Roman" w:eastAsia="宋体" w:cs="Times New Roman"/>
                <w:color w:val="000000" w:themeColor="text1"/>
                <w:sz w:val="21"/>
                <w:szCs w:val="21"/>
                <w:lang w:eastAsia="zh-CN"/>
              </w:rPr>
              <w:t>，砖混结构，两层，一层办公，二层宿舍。食堂位于办公区内一楼。</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K1矿体</w:t>
            </w:r>
            <w:r>
              <w:rPr>
                <w:rFonts w:hint="eastAsia" w:ascii="Times New Roman" w:hAnsi="Times New Roman" w:eastAsia="宋体" w:cs="Times New Roman"/>
                <w:color w:val="000000" w:themeColor="text1"/>
                <w:sz w:val="21"/>
                <w:szCs w:val="21"/>
                <w:lang w:eastAsia="zh-CN"/>
              </w:rPr>
              <w:t>：依托</w:t>
            </w:r>
            <w:r>
              <w:rPr>
                <w:rFonts w:hint="eastAsia" w:ascii="Times New Roman" w:hAnsi="Times New Roman" w:eastAsia="宋体" w:cs="Times New Roman"/>
                <w:color w:val="000000" w:themeColor="text1"/>
                <w:sz w:val="21"/>
                <w:szCs w:val="21"/>
                <w:lang w:val="en-US" w:eastAsia="zh-CN"/>
              </w:rPr>
              <w:t>K1</w:t>
            </w:r>
            <w:r>
              <w:rPr>
                <w:rFonts w:hint="eastAsia" w:ascii="Times New Roman" w:hAnsi="Times New Roman" w:eastAsia="宋体" w:cs="Times New Roman"/>
                <w:color w:val="000000" w:themeColor="text1"/>
                <w:sz w:val="21"/>
                <w:szCs w:val="21"/>
                <w:lang w:eastAsia="zh-CN"/>
              </w:rPr>
              <w:t>现有工程；</w:t>
            </w:r>
          </w:p>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K2矿体</w:t>
            </w:r>
            <w:r>
              <w:rPr>
                <w:rFonts w:hint="eastAsia" w:ascii="Times New Roman" w:hAnsi="Times New Roman" w:eastAsia="宋体" w:cs="Times New Roman"/>
                <w:color w:val="000000" w:themeColor="text1"/>
                <w:sz w:val="21"/>
                <w:szCs w:val="21"/>
                <w:lang w:eastAsia="zh-CN"/>
              </w:rPr>
              <w:t>：依托</w:t>
            </w:r>
            <w:r>
              <w:rPr>
                <w:rFonts w:hint="eastAsia" w:ascii="Times New Roman" w:hAnsi="Times New Roman" w:eastAsia="宋体" w:cs="Times New Roman"/>
                <w:color w:val="000000" w:themeColor="text1"/>
                <w:sz w:val="21"/>
                <w:szCs w:val="21"/>
                <w:lang w:val="en-US" w:eastAsia="zh-CN"/>
              </w:rPr>
              <w:t>K1</w:t>
            </w:r>
            <w:r>
              <w:rPr>
                <w:rFonts w:hint="eastAsia" w:ascii="Times New Roman" w:hAnsi="Times New Roman" w:eastAsia="宋体" w:cs="Times New Roman"/>
                <w:color w:val="000000" w:themeColor="text1"/>
                <w:sz w:val="21"/>
                <w:szCs w:val="21"/>
                <w:lang w:eastAsia="zh-CN"/>
              </w:rPr>
              <w:t>现有工程。</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道路</w:t>
            </w:r>
          </w:p>
        </w:tc>
        <w:tc>
          <w:tcPr>
            <w:tcW w:w="2256" w:type="dxa"/>
            <w:gridSpan w:val="3"/>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K1矿体：</w:t>
            </w:r>
            <w:r>
              <w:rPr>
                <w:rFonts w:hint="default" w:ascii="Times New Roman" w:hAnsi="Times New Roman" w:eastAsia="宋体" w:cs="Times New Roman"/>
                <w:color w:val="FF0000"/>
                <w:sz w:val="21"/>
                <w:szCs w:val="21"/>
                <w:lang w:val="en-US" w:eastAsia="zh-CN"/>
              </w:rPr>
              <w:t>矿区道路在原有村道上铺设，</w:t>
            </w:r>
            <w:r>
              <w:rPr>
                <w:rFonts w:hint="eastAsia" w:ascii="Times New Roman" w:hAnsi="Times New Roman" w:eastAsia="宋体" w:cs="Times New Roman"/>
                <w:color w:val="FF0000"/>
                <w:sz w:val="21"/>
                <w:szCs w:val="21"/>
                <w:lang w:val="en-US" w:eastAsia="zh-CN"/>
              </w:rPr>
              <w:t>已建成，泥结碎石路面，宽度约3.5m。</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val="en-US" w:eastAsia="zh-CN"/>
              </w:rPr>
              <w:t>K1矿体：依托现有道路</w:t>
            </w:r>
            <w:r>
              <w:rPr>
                <w:rFonts w:hint="eastAsia" w:ascii="Times New Roman" w:hAnsi="Times New Roman" w:eastAsia="宋体" w:cs="Times New Roman"/>
                <w:color w:val="FF0000"/>
                <w:sz w:val="21"/>
                <w:szCs w:val="21"/>
                <w:lang w:eastAsia="zh-CN"/>
              </w:rPr>
              <w:t>。</w:t>
            </w:r>
          </w:p>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K2矿体：新建道路2</w:t>
            </w:r>
            <w:r>
              <w:rPr>
                <w:rFonts w:hint="default" w:ascii="Times New Roman" w:hAnsi="Times New Roman" w:eastAsia="宋体" w:cs="Times New Roman"/>
                <w:color w:val="FF0000"/>
                <w:sz w:val="21"/>
                <w:szCs w:val="21"/>
              </w:rPr>
              <w:t>km</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rPr>
              <w:t>宽度3.0m</w:t>
            </w:r>
            <w:r>
              <w:rPr>
                <w:rFonts w:hint="eastAsia" w:ascii="Times New Roman" w:hAnsi="Times New Roman" w:eastAsia="宋体" w:cs="Times New Roman"/>
                <w:color w:val="FF0000"/>
                <w:sz w:val="21"/>
                <w:szCs w:val="21"/>
                <w:lang w:eastAsia="zh-CN"/>
              </w:rPr>
              <w:t>，水泥路面。（</w:t>
            </w:r>
            <w:r>
              <w:rPr>
                <w:rFonts w:hint="eastAsia" w:ascii="Times New Roman" w:hAnsi="Times New Roman" w:eastAsia="宋体" w:cs="Times New Roman"/>
                <w:color w:val="FF0000"/>
                <w:sz w:val="21"/>
                <w:szCs w:val="21"/>
                <w:lang w:val="en-US" w:eastAsia="zh-CN"/>
              </w:rPr>
              <w:t>K2矿体周边尚未开发，目前尚无通向K2矿体的道路，本项目计划在村道与矿体之间的山路上（土路）新建一条矿区道路。</w:t>
            </w:r>
            <w:r>
              <w:rPr>
                <w:rFonts w:hint="eastAsia" w:ascii="Times New Roman" w:hAnsi="Times New Roman" w:eastAsia="宋体" w:cs="Times New Roman"/>
                <w:color w:val="FF0000"/>
                <w:sz w:val="21"/>
                <w:szCs w:val="21"/>
                <w:lang w:eastAsia="zh-CN"/>
              </w:rPr>
              <w:t>）</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K1依托现有工程（需要在现有道路基础上，铺设水泥路面），K2新建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矿坑排水系统</w:t>
            </w:r>
          </w:p>
        </w:tc>
        <w:tc>
          <w:tcPr>
            <w:tcW w:w="2256"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bCs/>
                <w:color w:val="000000" w:themeColor="text1"/>
                <w:sz w:val="21"/>
                <w:szCs w:val="21"/>
                <w:lang w:val="en-US" w:eastAsia="zh-CN"/>
              </w:rPr>
              <w:t>K1矿体：</w:t>
            </w:r>
            <w:r>
              <w:rPr>
                <w:rFonts w:hint="default" w:ascii="Times New Roman" w:hAnsi="Times New Roman" w:eastAsia="宋体" w:cs="Times New Roman"/>
                <w:bCs/>
                <w:color w:val="000000" w:themeColor="text1"/>
                <w:sz w:val="21"/>
                <w:szCs w:val="21"/>
              </w:rPr>
              <w:t>各中段巷道内人行道一侧设置排水沟，坑内涌水及生产废水，均可由各中段平巷水沟流出至地表。</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K1矿体：矿坑排水沟依托现有。</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FF0000"/>
                <w:sz w:val="21"/>
                <w:szCs w:val="21"/>
                <w:lang w:val="en-US" w:eastAsia="zh-CN"/>
              </w:rPr>
              <w:t>K2矿体：</w:t>
            </w:r>
            <w:r>
              <w:rPr>
                <w:rFonts w:hint="default" w:ascii="Times New Roman" w:hAnsi="Times New Roman" w:eastAsia="宋体" w:cs="Times New Roman"/>
                <w:color w:val="FF0000"/>
                <w:sz w:val="21"/>
                <w:szCs w:val="21"/>
              </w:rPr>
              <w:t>各中段巷道内人行道一侧</w:t>
            </w:r>
            <w:r>
              <w:rPr>
                <w:rFonts w:hint="eastAsia" w:ascii="Times New Roman" w:hAnsi="Times New Roman" w:eastAsia="宋体" w:cs="Times New Roman"/>
                <w:color w:val="FF0000"/>
                <w:sz w:val="21"/>
                <w:szCs w:val="21"/>
                <w:lang w:eastAsia="zh-CN"/>
              </w:rPr>
              <w:t>新建</w:t>
            </w:r>
            <w:r>
              <w:rPr>
                <w:rFonts w:hint="default" w:ascii="Times New Roman" w:hAnsi="Times New Roman" w:eastAsia="宋体" w:cs="Times New Roman"/>
                <w:color w:val="FF0000"/>
                <w:sz w:val="21"/>
                <w:szCs w:val="21"/>
              </w:rPr>
              <w:t>排水沟，坑内涌水及生产废水，均可由各中段平巷水沟流出至地表。</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K1依托现有工程，K2新建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通风系统</w:t>
            </w:r>
          </w:p>
        </w:tc>
        <w:tc>
          <w:tcPr>
            <w:tcW w:w="2256"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bCs/>
                <w:color w:val="000000" w:themeColor="text1"/>
                <w:sz w:val="21"/>
                <w:szCs w:val="21"/>
                <w:lang w:val="en-US" w:eastAsia="zh-CN"/>
              </w:rPr>
              <w:t>K1矿体：</w:t>
            </w:r>
            <w:r>
              <w:rPr>
                <w:rFonts w:hint="default" w:ascii="Times New Roman" w:hAnsi="Times New Roman" w:eastAsia="宋体" w:cs="Times New Roman"/>
                <w:bCs/>
                <w:color w:val="000000" w:themeColor="text1"/>
                <w:sz w:val="21"/>
                <w:szCs w:val="21"/>
              </w:rPr>
              <w:t>采用机械通风，通风方式为抽出式，K1矿体采用中央并列式。</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K1矿体：依托现有通风系统。</w:t>
            </w:r>
          </w:p>
          <w:p>
            <w:pPr>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K2矿体</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采用</w:t>
            </w:r>
            <w:r>
              <w:rPr>
                <w:rFonts w:hint="default" w:ascii="Times New Roman" w:hAnsi="Times New Roman" w:eastAsia="宋体" w:cs="Times New Roman"/>
                <w:bCs/>
                <w:color w:val="000000" w:themeColor="text1"/>
                <w:sz w:val="21"/>
                <w:szCs w:val="21"/>
              </w:rPr>
              <w:t>对角式</w:t>
            </w:r>
            <w:r>
              <w:rPr>
                <w:rFonts w:hint="default" w:ascii="Times New Roman" w:hAnsi="Times New Roman" w:eastAsia="宋体" w:cs="Times New Roman"/>
                <w:color w:val="000000" w:themeColor="text1"/>
                <w:sz w:val="21"/>
                <w:szCs w:val="21"/>
              </w:rPr>
              <w:t>通风系统。</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K1依托现有工程，K2新建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爆破器材库</w:t>
            </w:r>
          </w:p>
        </w:tc>
        <w:tc>
          <w:tcPr>
            <w:tcW w:w="2256"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bCs/>
                <w:color w:val="000000" w:themeColor="text1"/>
                <w:sz w:val="21"/>
                <w:szCs w:val="21"/>
                <w:lang w:val="en-US" w:eastAsia="zh-CN"/>
              </w:rPr>
              <w:t>K1矿体：在K1矿体已建成</w:t>
            </w:r>
            <w:r>
              <w:rPr>
                <w:rFonts w:hint="default" w:ascii="Times New Roman" w:hAnsi="Times New Roman" w:eastAsia="宋体" w:cs="Times New Roman"/>
                <w:bCs/>
                <w:color w:val="000000" w:themeColor="text1"/>
                <w:sz w:val="21"/>
                <w:szCs w:val="21"/>
              </w:rPr>
              <w:t>爆破器材库1座，用于储存爆破器材，爆炸物最大储存量约为3t</w:t>
            </w:r>
            <w:r>
              <w:rPr>
                <w:rFonts w:hint="eastAsia" w:ascii="Times New Roman" w:hAnsi="Times New Roman" w:eastAsia="宋体" w:cs="Times New Roman"/>
                <w:bCs/>
                <w:color w:val="000000" w:themeColor="text1"/>
                <w:sz w:val="21"/>
                <w:szCs w:val="21"/>
                <w:lang w:eastAsia="zh-CN"/>
              </w:rPr>
              <w:t>。</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K1矿体：依托现有爆破器材库。</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K2矿体</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依托现有爆破器材库</w:t>
            </w:r>
            <w:r>
              <w:rPr>
                <w:rFonts w:hint="default" w:ascii="Times New Roman" w:hAnsi="Times New Roman" w:eastAsia="宋体" w:cs="Times New Roman"/>
                <w:color w:val="000000" w:themeColor="text1"/>
                <w:sz w:val="21"/>
                <w:szCs w:val="21"/>
              </w:rPr>
              <w:t>。</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公用</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工程</w:t>
            </w: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给水</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w:t>
            </w:r>
            <w:r>
              <w:rPr>
                <w:rFonts w:hint="default" w:ascii="Times New Roman" w:hAnsi="Times New Roman" w:eastAsia="宋体" w:cs="Times New Roman"/>
                <w:color w:val="000000" w:themeColor="text1"/>
                <w:sz w:val="21"/>
                <w:szCs w:val="21"/>
              </w:rPr>
              <w:t>矿</w:t>
            </w:r>
            <w:r>
              <w:rPr>
                <w:rFonts w:hint="eastAsia" w:ascii="Times New Roman" w:hAnsi="Times New Roman" w:eastAsia="宋体" w:cs="Times New Roman"/>
                <w:color w:val="000000" w:themeColor="text1"/>
                <w:sz w:val="21"/>
                <w:szCs w:val="21"/>
                <w:lang w:eastAsia="zh-CN"/>
              </w:rPr>
              <w:t>体：已建成</w:t>
            </w:r>
            <w:r>
              <w:rPr>
                <w:rFonts w:hint="default" w:ascii="Times New Roman" w:hAnsi="Times New Roman" w:eastAsia="宋体" w:cs="Times New Roman"/>
                <w:color w:val="000000" w:themeColor="text1"/>
                <w:sz w:val="21"/>
                <w:szCs w:val="21"/>
              </w:rPr>
              <w:t>一个</w:t>
            </w:r>
            <w:r>
              <w:rPr>
                <w:rFonts w:hint="eastAsia" w:ascii="Times New Roman" w:hAnsi="Times New Roman" w:eastAsia="宋体" w:cs="Times New Roman"/>
                <w:color w:val="000000" w:themeColor="text1"/>
                <w:sz w:val="21"/>
                <w:szCs w:val="21"/>
                <w:lang w:val="en-US" w:eastAsia="zh-CN"/>
              </w:rPr>
              <w:t>30</w:t>
            </w:r>
            <w:r>
              <w:rPr>
                <w:rFonts w:hint="default" w:ascii="Times New Roman" w:hAnsi="Times New Roman" w:eastAsia="宋体" w:cs="Times New Roman"/>
                <w:color w:val="000000" w:themeColor="text1"/>
                <w:sz w:val="21"/>
                <w:szCs w:val="21"/>
              </w:rPr>
              <w:t xml:space="preserve"> 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的储水池，取自沟内</w:t>
            </w:r>
            <w:r>
              <w:rPr>
                <w:rFonts w:hint="eastAsia" w:ascii="Times New Roman" w:hAnsi="Times New Roman" w:eastAsia="宋体" w:cs="Times New Roman"/>
                <w:color w:val="000000" w:themeColor="text1"/>
                <w:sz w:val="21"/>
                <w:szCs w:val="21"/>
                <w:lang w:val="en-US" w:eastAsia="zh-CN"/>
              </w:rPr>
              <w:t>泉水</w:t>
            </w:r>
            <w:r>
              <w:rPr>
                <w:rFonts w:hint="default" w:ascii="Times New Roman" w:hAnsi="Times New Roman" w:eastAsia="宋体" w:cs="Times New Roman"/>
                <w:color w:val="000000" w:themeColor="text1"/>
                <w:sz w:val="21"/>
                <w:szCs w:val="21"/>
              </w:rPr>
              <w:t>，用塑料管引入</w:t>
            </w:r>
            <w:r>
              <w:rPr>
                <w:rFonts w:hint="eastAsia" w:ascii="Times New Roman" w:hAnsi="Times New Roman" w:eastAsia="宋体" w:cs="Times New Roman"/>
                <w:color w:val="000000" w:themeColor="text1"/>
                <w:sz w:val="21"/>
                <w:szCs w:val="21"/>
                <w:lang w:val="en-US" w:eastAsia="zh-CN"/>
              </w:rPr>
              <w:t>蓄水池备用</w:t>
            </w:r>
            <w:r>
              <w:rPr>
                <w:rFonts w:hint="eastAsia" w:ascii="Times New Roman" w:hAnsi="Times New Roman" w:eastAsia="宋体" w:cs="Times New Roman"/>
                <w:color w:val="000000" w:themeColor="text1"/>
                <w:sz w:val="21"/>
                <w:szCs w:val="21"/>
                <w:lang w:eastAsia="zh-CN"/>
              </w:rPr>
              <w:t>。</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K1</w:t>
            </w:r>
            <w:r>
              <w:rPr>
                <w:rFonts w:hint="default" w:ascii="Times New Roman" w:hAnsi="Times New Roman" w:eastAsia="宋体" w:cs="Times New Roman"/>
                <w:color w:val="000000" w:themeColor="text1"/>
                <w:sz w:val="21"/>
                <w:szCs w:val="21"/>
              </w:rPr>
              <w:t>矿</w:t>
            </w:r>
            <w:r>
              <w:rPr>
                <w:rFonts w:hint="eastAsia" w:ascii="Times New Roman" w:hAnsi="Times New Roman" w:eastAsia="宋体" w:cs="Times New Roman"/>
                <w:color w:val="000000" w:themeColor="text1"/>
                <w:sz w:val="21"/>
                <w:szCs w:val="21"/>
                <w:lang w:eastAsia="zh-CN"/>
              </w:rPr>
              <w:t>体：依托现有给水设备。</w:t>
            </w:r>
          </w:p>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K2矿体：拟利用附近</w:t>
            </w:r>
            <w:r>
              <w:rPr>
                <w:rFonts w:hint="default" w:ascii="Times New Roman" w:hAnsi="Times New Roman" w:eastAsia="宋体" w:cs="Times New Roman"/>
                <w:color w:val="000000" w:themeColor="text1"/>
                <w:sz w:val="21"/>
                <w:szCs w:val="21"/>
              </w:rPr>
              <w:t>沟内的</w:t>
            </w:r>
            <w:r>
              <w:rPr>
                <w:rFonts w:hint="eastAsia" w:ascii="Times New Roman" w:hAnsi="Times New Roman" w:eastAsia="宋体" w:cs="Times New Roman"/>
                <w:color w:val="000000" w:themeColor="text1"/>
                <w:sz w:val="21"/>
                <w:szCs w:val="21"/>
                <w:lang w:val="en-US" w:eastAsia="zh-CN"/>
              </w:rPr>
              <w:t>泉</w:t>
            </w:r>
            <w:r>
              <w:rPr>
                <w:rFonts w:hint="default" w:ascii="Times New Roman" w:hAnsi="Times New Roman" w:eastAsia="宋体" w:cs="Times New Roman"/>
                <w:color w:val="000000" w:themeColor="text1"/>
                <w:sz w:val="21"/>
                <w:szCs w:val="21"/>
              </w:rPr>
              <w:t>水，用塑料管引入</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0 m</w:t>
            </w:r>
            <w:r>
              <w:rPr>
                <w:rFonts w:hint="default" w:ascii="Times New Roman" w:hAnsi="Times New Roman" w:eastAsia="宋体" w:cs="Times New Roman"/>
                <w:color w:val="000000" w:themeColor="text1"/>
                <w:sz w:val="21"/>
                <w:szCs w:val="21"/>
                <w:vertAlign w:val="superscript"/>
              </w:rPr>
              <w:t>3</w:t>
            </w:r>
            <w:r>
              <w:rPr>
                <w:rFonts w:hint="eastAsia" w:ascii="Times New Roman" w:hAnsi="Times New Roman" w:eastAsia="宋体" w:cs="Times New Roman"/>
                <w:color w:val="000000" w:themeColor="text1"/>
                <w:sz w:val="21"/>
                <w:szCs w:val="21"/>
                <w:lang w:val="en-US" w:eastAsia="zh-CN"/>
              </w:rPr>
              <w:t>蓄水池备用</w:t>
            </w:r>
            <w:r>
              <w:rPr>
                <w:rFonts w:hint="eastAsia" w:ascii="Times New Roman" w:hAnsi="Times New Roman" w:eastAsia="宋体" w:cs="Times New Roman"/>
                <w:color w:val="000000" w:themeColor="text1"/>
                <w:sz w:val="21"/>
                <w:szCs w:val="21"/>
                <w:lang w:eastAsia="zh-CN"/>
              </w:rPr>
              <w:t>。</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排水</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K1矿体：已在PD760硐口建设有一个4m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lang w:val="en-US" w:eastAsia="zh-CN"/>
              </w:rPr>
              <w:t>矿井出水沉淀池和一个15m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vertAlign w:val="baseline"/>
                <w:lang w:val="en-US" w:eastAsia="zh-CN"/>
              </w:rPr>
              <w:t>的三级废水沉淀池</w:t>
            </w:r>
            <w:r>
              <w:rPr>
                <w:rFonts w:hint="eastAsia" w:ascii="Times New Roman" w:hAnsi="Times New Roman" w:eastAsia="宋体" w:cs="Times New Roman"/>
                <w:bCs/>
                <w:color w:val="000000" w:themeColor="text1"/>
                <w:sz w:val="21"/>
                <w:szCs w:val="21"/>
                <w:lang w:val="en-US" w:eastAsia="zh-CN"/>
              </w:rPr>
              <w:t>。</w:t>
            </w:r>
            <w:r>
              <w:rPr>
                <w:rFonts w:hint="eastAsia" w:ascii="Times New Roman" w:hAnsi="Times New Roman" w:eastAsia="宋体" w:cs="Times New Roman"/>
                <w:bCs/>
                <w:color w:val="000000" w:themeColor="text1"/>
                <w:sz w:val="21"/>
                <w:szCs w:val="21"/>
                <w:lang w:eastAsia="zh-CN"/>
              </w:rPr>
              <w:t>生活污水进入化粪池处理后用于周边林地肥田。</w:t>
            </w:r>
          </w:p>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K1矿体：生活污水经化粪池处理后用于周边林地肥田。在PD810、PD660新建6m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vertAlign w:val="baseline"/>
                <w:lang w:val="en-US" w:eastAsia="zh-CN"/>
              </w:rPr>
              <w:t>的</w:t>
            </w:r>
            <w:r>
              <w:rPr>
                <w:rFonts w:hint="eastAsia" w:ascii="Times New Roman" w:hAnsi="Times New Roman" w:eastAsia="宋体" w:cs="Times New Roman"/>
                <w:bCs/>
                <w:color w:val="000000" w:themeColor="text1"/>
                <w:sz w:val="21"/>
                <w:szCs w:val="21"/>
                <w:lang w:val="en-US" w:eastAsia="zh-CN"/>
              </w:rPr>
              <w:t>沉淀池</w:t>
            </w:r>
            <w:r>
              <w:rPr>
                <w:rFonts w:hint="eastAsia" w:ascii="Times New Roman" w:hAnsi="Times New Roman" w:eastAsia="宋体" w:cs="Times New Roman"/>
                <w:bCs/>
                <w:color w:val="000000" w:themeColor="text1"/>
                <w:sz w:val="21"/>
                <w:szCs w:val="21"/>
                <w:vertAlign w:val="baseline"/>
                <w:lang w:val="en-US" w:eastAsia="zh-CN"/>
              </w:rPr>
              <w:t>。</w:t>
            </w:r>
          </w:p>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K2矿体：在PD790、PD750、PD710硐口各新建6m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vertAlign w:val="baseline"/>
                <w:lang w:val="en-US" w:eastAsia="zh-CN"/>
              </w:rPr>
              <w:t>的</w:t>
            </w:r>
            <w:r>
              <w:rPr>
                <w:rFonts w:hint="eastAsia" w:ascii="Times New Roman" w:hAnsi="Times New Roman" w:eastAsia="宋体" w:cs="Times New Roman"/>
                <w:bCs/>
                <w:color w:val="000000" w:themeColor="text1"/>
                <w:sz w:val="21"/>
                <w:szCs w:val="21"/>
                <w:lang w:val="en-US" w:eastAsia="zh-CN"/>
              </w:rPr>
              <w:t>沉淀池。生活污水新建化粪池，定期清掏用于周边林地肥田。</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K1化粪池依托现有工程，K1沉淀池PD760依托现有，需整改；PD660和PD810新建。K2矿井出水沉淀池新建，生活污水化粪池新建。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供电</w:t>
            </w:r>
          </w:p>
        </w:tc>
        <w:tc>
          <w:tcPr>
            <w:tcW w:w="2256"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bCs/>
                <w:color w:val="000000" w:themeColor="text1"/>
                <w:sz w:val="21"/>
                <w:szCs w:val="21"/>
                <w:lang w:val="en-US" w:eastAsia="zh-CN"/>
              </w:rPr>
              <w:t>K1矿体：</w:t>
            </w:r>
            <w:r>
              <w:rPr>
                <w:rFonts w:hint="default" w:ascii="Times New Roman" w:hAnsi="Times New Roman" w:eastAsia="宋体" w:cs="Times New Roman"/>
                <w:bCs/>
                <w:color w:val="000000" w:themeColor="text1"/>
                <w:sz w:val="21"/>
                <w:szCs w:val="21"/>
              </w:rPr>
              <w:t>供电引自附近乡镇10kv变电所。同时选用400V 50kW的柴油发电机备用。</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K1矿体：依托现有。</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K2矿体：拟从</w:t>
            </w:r>
            <w:r>
              <w:rPr>
                <w:rFonts w:hint="default" w:ascii="Times New Roman" w:hAnsi="Times New Roman" w:eastAsia="宋体" w:cs="Times New Roman"/>
                <w:color w:val="000000" w:themeColor="text1"/>
                <w:sz w:val="21"/>
                <w:szCs w:val="21"/>
              </w:rPr>
              <w:t>附近乡镇10kv变电所</w:t>
            </w:r>
            <w:r>
              <w:rPr>
                <w:rFonts w:hint="eastAsia" w:ascii="Times New Roman" w:hAnsi="Times New Roman" w:eastAsia="宋体" w:cs="Times New Roman"/>
                <w:color w:val="000000" w:themeColor="text1"/>
                <w:sz w:val="21"/>
                <w:szCs w:val="21"/>
                <w:lang w:eastAsia="zh-CN"/>
              </w:rPr>
              <w:t>接入</w:t>
            </w:r>
            <w:r>
              <w:rPr>
                <w:rFonts w:hint="default" w:ascii="Times New Roman" w:hAnsi="Times New Roman" w:eastAsia="宋体" w:cs="Times New Roman"/>
                <w:color w:val="000000" w:themeColor="text1"/>
                <w:sz w:val="21"/>
                <w:szCs w:val="21"/>
              </w:rPr>
              <w:t>。同时选用400V 50kW的柴油发电机备用。</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K1依托，K2新建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采暖制冷</w:t>
            </w:r>
          </w:p>
        </w:tc>
        <w:tc>
          <w:tcPr>
            <w:tcW w:w="2256"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本项目</w:t>
            </w:r>
            <w:r>
              <w:rPr>
                <w:rFonts w:hint="eastAsia" w:ascii="Times New Roman" w:hAnsi="Times New Roman" w:eastAsia="宋体" w:cs="Times New Roman"/>
                <w:bCs/>
                <w:color w:val="000000" w:themeColor="text1"/>
                <w:sz w:val="21"/>
                <w:szCs w:val="21"/>
                <w:lang w:eastAsia="zh-CN"/>
              </w:rPr>
              <w:t>冬季较寒冷的</w:t>
            </w:r>
            <w:r>
              <w:rPr>
                <w:rFonts w:hint="eastAsia" w:ascii="Times New Roman" w:hAnsi="Times New Roman" w:eastAsia="宋体" w:cs="Times New Roman"/>
                <w:bCs/>
                <w:color w:val="000000" w:themeColor="text1"/>
                <w:sz w:val="21"/>
                <w:szCs w:val="21"/>
                <w:lang w:val="en-US" w:eastAsia="zh-CN"/>
              </w:rPr>
              <w:t>12月和1月不生产，矿山周边主要为山林，夏季凉爽，故本项目无</w:t>
            </w:r>
            <w:r>
              <w:rPr>
                <w:rFonts w:hint="default" w:ascii="Times New Roman" w:hAnsi="Times New Roman" w:eastAsia="宋体" w:cs="Times New Roman"/>
                <w:bCs/>
                <w:color w:val="000000" w:themeColor="text1"/>
                <w:sz w:val="21"/>
                <w:szCs w:val="21"/>
              </w:rPr>
              <w:t>采暖和制冷</w:t>
            </w:r>
            <w:r>
              <w:rPr>
                <w:rFonts w:hint="eastAsia" w:ascii="Times New Roman" w:hAnsi="Times New Roman" w:eastAsia="宋体" w:cs="Times New Roman"/>
                <w:bCs/>
                <w:color w:val="000000" w:themeColor="text1"/>
                <w:sz w:val="21"/>
                <w:szCs w:val="21"/>
                <w:lang w:eastAsia="zh-CN"/>
              </w:rPr>
              <w:t>的</w:t>
            </w:r>
            <w:r>
              <w:rPr>
                <w:rFonts w:hint="default" w:ascii="Times New Roman" w:hAnsi="Times New Roman" w:eastAsia="宋体" w:cs="Times New Roman"/>
                <w:bCs/>
                <w:color w:val="000000" w:themeColor="text1"/>
                <w:sz w:val="21"/>
                <w:szCs w:val="21"/>
              </w:rPr>
              <w:t>相应设备。</w:t>
            </w:r>
          </w:p>
        </w:tc>
        <w:tc>
          <w:tcPr>
            <w:tcW w:w="3716"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本项目</w:t>
            </w:r>
            <w:r>
              <w:rPr>
                <w:rFonts w:hint="eastAsia" w:ascii="Times New Roman" w:hAnsi="Times New Roman" w:eastAsia="宋体" w:cs="Times New Roman"/>
                <w:bCs/>
                <w:color w:val="000000" w:themeColor="text1"/>
                <w:sz w:val="21"/>
                <w:szCs w:val="21"/>
                <w:lang w:eastAsia="zh-CN"/>
              </w:rPr>
              <w:t>冬季较寒冷的</w:t>
            </w:r>
            <w:r>
              <w:rPr>
                <w:rFonts w:hint="eastAsia" w:ascii="Times New Roman" w:hAnsi="Times New Roman" w:eastAsia="宋体" w:cs="Times New Roman"/>
                <w:bCs/>
                <w:color w:val="000000" w:themeColor="text1"/>
                <w:sz w:val="21"/>
                <w:szCs w:val="21"/>
                <w:lang w:val="en-US" w:eastAsia="zh-CN"/>
              </w:rPr>
              <w:t>12月和1月不生产，矿山周边主要为山林，夏季凉爽，故本项目无</w:t>
            </w:r>
            <w:r>
              <w:rPr>
                <w:rFonts w:hint="default" w:ascii="Times New Roman" w:hAnsi="Times New Roman" w:eastAsia="宋体" w:cs="Times New Roman"/>
                <w:bCs/>
                <w:color w:val="000000" w:themeColor="text1"/>
                <w:sz w:val="21"/>
                <w:szCs w:val="21"/>
              </w:rPr>
              <w:t>采暖和制冷</w:t>
            </w:r>
            <w:r>
              <w:rPr>
                <w:rFonts w:hint="eastAsia" w:ascii="Times New Roman" w:hAnsi="Times New Roman" w:eastAsia="宋体" w:cs="Times New Roman"/>
                <w:bCs/>
                <w:color w:val="000000" w:themeColor="text1"/>
                <w:sz w:val="21"/>
                <w:szCs w:val="21"/>
                <w:lang w:eastAsia="zh-CN"/>
              </w:rPr>
              <w:t>的</w:t>
            </w:r>
            <w:r>
              <w:rPr>
                <w:rFonts w:hint="default" w:ascii="Times New Roman" w:hAnsi="Times New Roman" w:eastAsia="宋体" w:cs="Times New Roman"/>
                <w:bCs/>
                <w:color w:val="000000" w:themeColor="text1"/>
                <w:sz w:val="21"/>
                <w:szCs w:val="21"/>
              </w:rPr>
              <w:t>相应设备。</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24"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消防</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bCs/>
                <w:color w:val="FF0000"/>
                <w:sz w:val="21"/>
                <w:szCs w:val="21"/>
                <w:lang w:val="en-US" w:eastAsia="zh-CN"/>
              </w:rPr>
              <w:t>K1矿体：</w:t>
            </w:r>
            <w:r>
              <w:rPr>
                <w:rFonts w:hint="default" w:ascii="Times New Roman" w:hAnsi="Times New Roman" w:eastAsia="宋体" w:cs="Times New Roman"/>
                <w:bCs/>
                <w:color w:val="FF0000"/>
                <w:sz w:val="21"/>
                <w:szCs w:val="21"/>
              </w:rPr>
              <w:t>井下消防与防尘合用一条供水管网。消防供水管自地面容量为</w:t>
            </w:r>
            <w:r>
              <w:rPr>
                <w:rFonts w:hint="eastAsia" w:ascii="Times New Roman" w:hAnsi="Times New Roman" w:eastAsia="宋体" w:cs="Times New Roman"/>
                <w:bCs/>
                <w:color w:val="FF0000"/>
                <w:sz w:val="21"/>
                <w:szCs w:val="21"/>
                <w:lang w:val="en-US" w:eastAsia="zh-CN"/>
              </w:rPr>
              <w:t>1</w:t>
            </w:r>
            <w:r>
              <w:rPr>
                <w:rFonts w:hint="default" w:ascii="Times New Roman" w:hAnsi="Times New Roman" w:eastAsia="宋体" w:cs="Times New Roman"/>
                <w:bCs/>
                <w:color w:val="FF0000"/>
                <w:sz w:val="21"/>
                <w:szCs w:val="21"/>
              </w:rPr>
              <w:t>00m</w:t>
            </w:r>
            <w:r>
              <w:rPr>
                <w:rFonts w:hint="default" w:ascii="Times New Roman" w:hAnsi="Times New Roman" w:eastAsia="宋体" w:cs="Times New Roman"/>
                <w:bCs/>
                <w:color w:val="FF0000"/>
                <w:sz w:val="21"/>
                <w:szCs w:val="21"/>
                <w:vertAlign w:val="superscript"/>
              </w:rPr>
              <w:t>3</w:t>
            </w:r>
            <w:r>
              <w:rPr>
                <w:rFonts w:hint="default" w:ascii="Times New Roman" w:hAnsi="Times New Roman" w:eastAsia="宋体" w:cs="Times New Roman"/>
                <w:bCs/>
                <w:color w:val="FF0000"/>
                <w:sz w:val="21"/>
                <w:szCs w:val="21"/>
              </w:rPr>
              <w:t>的高位水池接管</w:t>
            </w:r>
            <w:r>
              <w:rPr>
                <w:rFonts w:hint="eastAsia" w:ascii="Times New Roman" w:hAnsi="Times New Roman" w:eastAsia="宋体" w:cs="Times New Roman"/>
                <w:bCs/>
                <w:color w:val="FF0000"/>
                <w:sz w:val="21"/>
                <w:szCs w:val="21"/>
                <w:lang w:eastAsia="zh-CN"/>
              </w:rPr>
              <w:t>。</w:t>
            </w:r>
          </w:p>
        </w:tc>
        <w:tc>
          <w:tcPr>
            <w:tcW w:w="3716"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K1矿体：按照本项目的安全设施设计，应建成一座200</w:t>
            </w:r>
            <w:r>
              <w:rPr>
                <w:rFonts w:hint="default" w:ascii="Times New Roman" w:hAnsi="Times New Roman" w:eastAsia="宋体" w:cs="Times New Roman"/>
                <w:bCs/>
                <w:color w:val="FF0000"/>
                <w:sz w:val="21"/>
                <w:szCs w:val="21"/>
              </w:rPr>
              <w:t>m</w:t>
            </w:r>
            <w:r>
              <w:rPr>
                <w:rFonts w:hint="default" w:ascii="Times New Roman" w:hAnsi="Times New Roman" w:eastAsia="宋体" w:cs="Times New Roman"/>
                <w:bCs/>
                <w:color w:val="FF0000"/>
                <w:sz w:val="21"/>
                <w:szCs w:val="21"/>
                <w:vertAlign w:val="superscript"/>
              </w:rPr>
              <w:t>3</w:t>
            </w:r>
            <w:r>
              <w:rPr>
                <w:rFonts w:hint="eastAsia" w:ascii="Times New Roman" w:hAnsi="Times New Roman" w:eastAsia="宋体" w:cs="Times New Roman"/>
                <w:bCs/>
                <w:color w:val="FF0000"/>
                <w:sz w:val="21"/>
                <w:szCs w:val="21"/>
                <w:lang w:val="en-US" w:eastAsia="zh-CN"/>
              </w:rPr>
              <w:t>的水池，已建成1</w:t>
            </w:r>
            <w:r>
              <w:rPr>
                <w:rFonts w:hint="default" w:ascii="Times New Roman" w:hAnsi="Times New Roman" w:eastAsia="宋体" w:cs="Times New Roman"/>
                <w:bCs/>
                <w:color w:val="FF0000"/>
                <w:sz w:val="21"/>
                <w:szCs w:val="21"/>
              </w:rPr>
              <w:t>00m</w:t>
            </w:r>
            <w:r>
              <w:rPr>
                <w:rFonts w:hint="default" w:ascii="Times New Roman" w:hAnsi="Times New Roman" w:eastAsia="宋体" w:cs="Times New Roman"/>
                <w:bCs/>
                <w:color w:val="FF0000"/>
                <w:sz w:val="21"/>
                <w:szCs w:val="21"/>
                <w:vertAlign w:val="superscript"/>
              </w:rPr>
              <w:t>3</w:t>
            </w:r>
            <w:r>
              <w:rPr>
                <w:rFonts w:hint="eastAsia" w:ascii="Times New Roman" w:hAnsi="Times New Roman" w:eastAsia="宋体" w:cs="Times New Roman"/>
                <w:bCs/>
                <w:color w:val="FF0000"/>
                <w:sz w:val="21"/>
                <w:szCs w:val="21"/>
                <w:lang w:val="en-US" w:eastAsia="zh-CN"/>
              </w:rPr>
              <w:t>的水池，应再建一个1</w:t>
            </w:r>
            <w:r>
              <w:rPr>
                <w:rFonts w:hint="default" w:ascii="Times New Roman" w:hAnsi="Times New Roman" w:eastAsia="宋体" w:cs="Times New Roman"/>
                <w:bCs/>
                <w:color w:val="FF0000"/>
                <w:sz w:val="21"/>
                <w:szCs w:val="21"/>
              </w:rPr>
              <w:t>00m</w:t>
            </w:r>
            <w:r>
              <w:rPr>
                <w:rFonts w:hint="default" w:ascii="Times New Roman" w:hAnsi="Times New Roman" w:eastAsia="宋体" w:cs="Times New Roman"/>
                <w:bCs/>
                <w:color w:val="FF0000"/>
                <w:sz w:val="21"/>
                <w:szCs w:val="21"/>
                <w:vertAlign w:val="superscript"/>
              </w:rPr>
              <w:t>3</w:t>
            </w:r>
            <w:r>
              <w:rPr>
                <w:rFonts w:hint="eastAsia" w:ascii="Times New Roman" w:hAnsi="Times New Roman" w:eastAsia="宋体" w:cs="Times New Roman"/>
                <w:bCs/>
                <w:color w:val="FF0000"/>
                <w:sz w:val="21"/>
                <w:szCs w:val="21"/>
                <w:lang w:val="en-US" w:eastAsia="zh-CN"/>
              </w:rPr>
              <w:t>的水池以满足消防要求。</w:t>
            </w:r>
          </w:p>
          <w:p>
            <w:pPr>
              <w:spacing w:line="240" w:lineRule="auto"/>
              <w:ind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bCs/>
                <w:color w:val="FF0000"/>
                <w:sz w:val="21"/>
                <w:szCs w:val="21"/>
                <w:lang w:val="en-US" w:eastAsia="zh-CN"/>
              </w:rPr>
              <w:t>K2矿体：</w:t>
            </w:r>
            <w:r>
              <w:rPr>
                <w:rFonts w:hint="default" w:ascii="Times New Roman" w:hAnsi="Times New Roman" w:eastAsia="宋体" w:cs="Times New Roman"/>
                <w:bCs/>
                <w:color w:val="FF0000"/>
                <w:sz w:val="21"/>
                <w:szCs w:val="21"/>
              </w:rPr>
              <w:t>井下消防与防尘合用一条供水管网。</w:t>
            </w:r>
            <w:r>
              <w:rPr>
                <w:rFonts w:hint="eastAsia" w:ascii="Times New Roman" w:hAnsi="Times New Roman" w:eastAsia="宋体" w:cs="Times New Roman"/>
                <w:bCs/>
                <w:color w:val="FF0000"/>
                <w:sz w:val="21"/>
                <w:szCs w:val="21"/>
                <w:lang w:val="en-US" w:eastAsia="zh-CN"/>
              </w:rPr>
              <w:t>K2矿体</w:t>
            </w:r>
            <w:r>
              <w:rPr>
                <w:rFonts w:hint="eastAsia" w:ascii="Times New Roman" w:hAnsi="Times New Roman" w:eastAsia="宋体" w:cs="Times New Roman"/>
                <w:bCs/>
                <w:color w:val="FF0000"/>
                <w:sz w:val="21"/>
                <w:szCs w:val="21"/>
                <w:lang w:eastAsia="zh-CN"/>
              </w:rPr>
              <w:t>新建</w:t>
            </w:r>
            <w:r>
              <w:rPr>
                <w:rFonts w:hint="eastAsia" w:ascii="Times New Roman" w:hAnsi="Times New Roman" w:eastAsia="宋体" w:cs="Times New Roman"/>
                <w:bCs/>
                <w:color w:val="FF0000"/>
                <w:sz w:val="21"/>
                <w:szCs w:val="21"/>
                <w:lang w:val="en-US" w:eastAsia="zh-CN"/>
              </w:rPr>
              <w:t>2</w:t>
            </w:r>
            <w:r>
              <w:rPr>
                <w:rFonts w:hint="default" w:ascii="Times New Roman" w:hAnsi="Times New Roman" w:eastAsia="宋体" w:cs="Times New Roman"/>
                <w:bCs/>
                <w:color w:val="FF0000"/>
                <w:sz w:val="21"/>
                <w:szCs w:val="21"/>
              </w:rPr>
              <w:t>00m</w:t>
            </w:r>
            <w:r>
              <w:rPr>
                <w:rFonts w:hint="default" w:ascii="Times New Roman" w:hAnsi="Times New Roman" w:eastAsia="宋体" w:cs="Times New Roman"/>
                <w:bCs/>
                <w:color w:val="FF0000"/>
                <w:sz w:val="21"/>
                <w:szCs w:val="21"/>
                <w:vertAlign w:val="superscript"/>
              </w:rPr>
              <w:t>3</w:t>
            </w:r>
            <w:r>
              <w:rPr>
                <w:rFonts w:hint="eastAsia" w:ascii="Times New Roman" w:hAnsi="Times New Roman" w:eastAsia="宋体" w:cs="Times New Roman"/>
                <w:bCs/>
                <w:color w:val="FF0000"/>
                <w:sz w:val="21"/>
                <w:szCs w:val="21"/>
                <w:vertAlign w:val="baseline"/>
                <w:lang w:eastAsia="zh-CN"/>
              </w:rPr>
              <w:t>高位水池和供水管网。</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K1依托+新建</w:t>
            </w:r>
            <w:r>
              <w:rPr>
                <w:rFonts w:hint="eastAsia" w:ascii="Times New Roman" w:hAnsi="Times New Roman" w:eastAsia="宋体" w:cs="Times New Roman"/>
                <w:bCs/>
                <w:color w:val="FF0000"/>
                <w:sz w:val="21"/>
                <w:szCs w:val="21"/>
                <w:lang w:eastAsia="zh-CN"/>
              </w:rPr>
              <w:t>，</w:t>
            </w:r>
            <w:r>
              <w:rPr>
                <w:rFonts w:hint="eastAsia" w:ascii="Times New Roman" w:hAnsi="Times New Roman" w:eastAsia="宋体" w:cs="Times New Roman"/>
                <w:color w:val="FF0000"/>
                <w:sz w:val="21"/>
                <w:szCs w:val="21"/>
                <w:lang w:val="en-US" w:eastAsia="zh-CN"/>
              </w:rPr>
              <w:t>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环保</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工程</w:t>
            </w:r>
          </w:p>
        </w:tc>
        <w:tc>
          <w:tcPr>
            <w:tcW w:w="393"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施工期</w:t>
            </w:r>
          </w:p>
        </w:tc>
        <w:tc>
          <w:tcPr>
            <w:tcW w:w="2256" w:type="dxa"/>
            <w:gridSpan w:val="3"/>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矿体施工场地扬尘</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物料苫盖，车辆全封闭，洒水抑尘，车辆冲洗等措施。</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17" w:type="dxa"/>
            <w:vMerge w:val="continue"/>
            <w:tcBorders>
              <w:tl2br w:val="nil"/>
              <w:tr2bl w:val="nil"/>
            </w:tcBorders>
            <w:vAlign w:val="center"/>
          </w:tcPr>
          <w:p>
            <w:pPr>
              <w:spacing w:line="240" w:lineRule="auto"/>
              <w:ind w:firstLine="0" w:firstLineChars="0"/>
              <w:jc w:val="left"/>
              <w:rPr>
                <w:color w:val="000000" w:themeColor="text1"/>
              </w:rPr>
            </w:pPr>
          </w:p>
        </w:tc>
        <w:tc>
          <w:tcPr>
            <w:tcW w:w="393" w:type="dxa"/>
            <w:vMerge w:val="continue"/>
            <w:tcBorders>
              <w:tl2br w:val="nil"/>
              <w:tr2bl w:val="nil"/>
            </w:tcBorders>
            <w:vAlign w:val="center"/>
          </w:tcPr>
          <w:p>
            <w:pPr>
              <w:spacing w:line="240" w:lineRule="auto"/>
              <w:ind w:firstLine="0" w:firstLineChars="0"/>
              <w:jc w:val="left"/>
              <w:rPr>
                <w:color w:val="000000" w:themeColor="text1"/>
              </w:rPr>
            </w:pPr>
          </w:p>
        </w:tc>
        <w:tc>
          <w:tcPr>
            <w:tcW w:w="931" w:type="dxa"/>
            <w:vMerge w:val="continue"/>
            <w:tcBorders>
              <w:tl2br w:val="nil"/>
              <w:tr2bl w:val="nil"/>
            </w:tcBorders>
            <w:vAlign w:val="center"/>
          </w:tcPr>
          <w:p>
            <w:pPr>
              <w:spacing w:line="240" w:lineRule="auto"/>
              <w:ind w:firstLine="0" w:firstLineChars="0"/>
              <w:jc w:val="left"/>
              <w:rPr>
                <w:color w:val="000000" w:themeColor="text1"/>
              </w:rPr>
            </w:pPr>
          </w:p>
        </w:tc>
        <w:tc>
          <w:tcPr>
            <w:tcW w:w="2256" w:type="dxa"/>
            <w:gridSpan w:val="3"/>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矿体施工机械废气</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选用合格燃油，减少废气排放量。</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17"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931"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2256" w:type="dxa"/>
            <w:gridSpan w:val="3"/>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矿体餐饮油烟</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油烟净化器，依托K1矿体。</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依托K1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运行期</w:t>
            </w:r>
          </w:p>
        </w:tc>
        <w:tc>
          <w:tcPr>
            <w:tcW w:w="72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K1矿井污风</w:t>
            </w:r>
          </w:p>
        </w:tc>
        <w:tc>
          <w:tcPr>
            <w:tcW w:w="1532"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湿式凿岩，对凿岩爆破及出矿过程各产尘点进行喷洒水，粉尘采用洒水降尘处理</w:t>
            </w:r>
            <w:r>
              <w:rPr>
                <w:rFonts w:hint="eastAsia" w:ascii="Times New Roman" w:hAnsi="Times New Roman" w:eastAsia="宋体" w:cs="Times New Roman"/>
                <w:color w:val="000000" w:themeColor="text1"/>
                <w:sz w:val="21"/>
                <w:szCs w:val="21"/>
                <w:lang w:eastAsia="zh-CN"/>
              </w:rPr>
              <w:t>。</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K1、K2矿体矿井污风</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湿式凿岩，对凿岩爆破及出矿过程各产尘点进行喷洒水，粉尘采用洒水降尘处理</w:t>
            </w:r>
            <w:r>
              <w:rPr>
                <w:rFonts w:hint="eastAsia" w:ascii="Times New Roman" w:hAnsi="Times New Roman" w:eastAsia="宋体" w:cs="Times New Roman"/>
                <w:color w:val="000000" w:themeColor="text1"/>
                <w:sz w:val="21"/>
                <w:szCs w:val="21"/>
                <w:lang w:eastAsia="zh-CN"/>
              </w:rPr>
              <w:t>。</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17" w:type="dxa"/>
            <w:vMerge w:val="continue"/>
            <w:tcBorders>
              <w:tl2br w:val="nil"/>
              <w:tr2bl w:val="nil"/>
            </w:tcBorders>
            <w:vAlign w:val="center"/>
          </w:tcPr>
          <w:p>
            <w:pPr>
              <w:spacing w:line="240" w:lineRule="auto"/>
              <w:ind w:firstLine="0" w:firstLineChars="0"/>
              <w:jc w:val="left"/>
              <w:rPr>
                <w:color w:val="000000" w:themeColor="text1"/>
              </w:rPr>
            </w:pPr>
          </w:p>
        </w:tc>
        <w:tc>
          <w:tcPr>
            <w:tcW w:w="393" w:type="dxa"/>
            <w:vMerge w:val="continue"/>
            <w:tcBorders>
              <w:tl2br w:val="nil"/>
              <w:tr2bl w:val="nil"/>
            </w:tcBorders>
            <w:vAlign w:val="center"/>
          </w:tcPr>
          <w:p>
            <w:pPr>
              <w:spacing w:line="240" w:lineRule="auto"/>
              <w:ind w:firstLine="0" w:firstLineChars="0"/>
              <w:jc w:val="left"/>
              <w:rPr>
                <w:color w:val="000000" w:themeColor="text1"/>
              </w:rPr>
            </w:pPr>
          </w:p>
        </w:tc>
        <w:tc>
          <w:tcPr>
            <w:tcW w:w="931" w:type="dxa"/>
            <w:vMerge w:val="continue"/>
            <w:tcBorders>
              <w:tl2br w:val="nil"/>
              <w:tr2bl w:val="nil"/>
            </w:tcBorders>
            <w:vAlign w:val="center"/>
          </w:tcPr>
          <w:p>
            <w:pPr>
              <w:spacing w:line="240" w:lineRule="auto"/>
              <w:ind w:firstLine="0" w:firstLineChars="0"/>
              <w:jc w:val="left"/>
              <w:rPr>
                <w:color w:val="000000" w:themeColor="text1"/>
              </w:rPr>
            </w:pPr>
          </w:p>
        </w:tc>
        <w:tc>
          <w:tcPr>
            <w:tcW w:w="72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K1堆场扬尘</w:t>
            </w:r>
          </w:p>
        </w:tc>
        <w:tc>
          <w:tcPr>
            <w:tcW w:w="1532"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现有工程已在</w:t>
            </w:r>
            <w:r>
              <w:rPr>
                <w:rFonts w:hint="eastAsia" w:ascii="Times New Roman" w:hAnsi="Times New Roman" w:eastAsia="宋体" w:cs="Times New Roman"/>
                <w:bCs/>
                <w:color w:val="000000" w:themeColor="text1"/>
                <w:sz w:val="21"/>
                <w:szCs w:val="21"/>
                <w:lang w:val="en-US" w:eastAsia="zh-CN"/>
              </w:rPr>
              <w:t>PD810和PD760建设</w:t>
            </w:r>
            <w:r>
              <w:rPr>
                <w:rFonts w:hint="eastAsia" w:ascii="Times New Roman" w:hAnsi="Times New Roman" w:eastAsia="宋体" w:cs="Times New Roman"/>
                <w:color w:val="000000" w:themeColor="text1"/>
                <w:sz w:val="21"/>
                <w:szCs w:val="21"/>
                <w:lang w:val="en-US" w:eastAsia="zh-CN"/>
              </w:rPr>
              <w:t>临时堆棚，并设有喷淋降尘措施。</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K1、K2矿体堆场扬尘</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w:t>
            </w:r>
            <w:r>
              <w:rPr>
                <w:rFonts w:hint="eastAsia" w:ascii="Times New Roman" w:hAnsi="Times New Roman" w:eastAsia="宋体" w:cs="Times New Roman"/>
                <w:bCs/>
                <w:color w:val="000000" w:themeColor="text1"/>
                <w:sz w:val="21"/>
                <w:szCs w:val="21"/>
                <w:lang w:val="en-US" w:eastAsia="zh-CN"/>
              </w:rPr>
              <w:t>PD810和PD760堆棚依托现有，在PD660新建堆棚+喷淋设施。工业场地硬化。</w:t>
            </w:r>
          </w:p>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w:t>
            </w:r>
            <w:r>
              <w:rPr>
                <w:rFonts w:hint="eastAsia" w:ascii="Times New Roman" w:hAnsi="Times New Roman" w:eastAsia="宋体" w:cs="Times New Roman"/>
                <w:bCs/>
                <w:color w:val="000000" w:themeColor="text1"/>
                <w:sz w:val="21"/>
                <w:szCs w:val="21"/>
                <w:lang w:val="en-US" w:eastAsia="zh-CN"/>
              </w:rPr>
              <w:t>PD790、PD750、PD710堆场新建堆棚+喷淋设施。工业场地硬化。</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K1依托+新建，K2新建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517"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931"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72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K1矿体运输扬尘</w:t>
            </w:r>
          </w:p>
        </w:tc>
        <w:tc>
          <w:tcPr>
            <w:tcW w:w="1532"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车辆全封闭，道路硬化，道路定期清扫，洒水降尘，减速慢行等。</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K1、K2矿体运输扬尘</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车辆全封闭，道路硬化，道路定期清扫，洒水降尘，减速慢行等。</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w:t>
            </w: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施工期</w:t>
            </w:r>
          </w:p>
        </w:tc>
        <w:tc>
          <w:tcPr>
            <w:tcW w:w="2256" w:type="dxa"/>
            <w:gridSpan w:val="3"/>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矿体生产废水</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沉淀池沉淀后回用，不外排。</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17" w:type="dxa"/>
            <w:vMerge w:val="continue"/>
            <w:tcBorders>
              <w:tl2br w:val="nil"/>
              <w:tr2bl w:val="nil"/>
            </w:tcBorders>
            <w:vAlign w:val="center"/>
          </w:tcPr>
          <w:p>
            <w:pPr>
              <w:spacing w:line="240" w:lineRule="auto"/>
              <w:ind w:firstLine="0" w:firstLineChars="0"/>
              <w:jc w:val="left"/>
              <w:rPr>
                <w:color w:val="000000" w:themeColor="text1"/>
              </w:rPr>
            </w:pPr>
          </w:p>
        </w:tc>
        <w:tc>
          <w:tcPr>
            <w:tcW w:w="393" w:type="dxa"/>
            <w:vMerge w:val="continue"/>
            <w:tcBorders>
              <w:tl2br w:val="nil"/>
              <w:tr2bl w:val="nil"/>
            </w:tcBorders>
            <w:vAlign w:val="center"/>
          </w:tcPr>
          <w:p>
            <w:pPr>
              <w:spacing w:line="240" w:lineRule="auto"/>
              <w:ind w:firstLine="0" w:firstLineChars="0"/>
              <w:jc w:val="left"/>
              <w:rPr>
                <w:color w:val="000000" w:themeColor="text1"/>
              </w:rPr>
            </w:pPr>
          </w:p>
        </w:tc>
        <w:tc>
          <w:tcPr>
            <w:tcW w:w="931" w:type="dxa"/>
            <w:vMerge w:val="continue"/>
            <w:tcBorders>
              <w:tl2br w:val="nil"/>
              <w:tr2bl w:val="nil"/>
            </w:tcBorders>
            <w:vAlign w:val="center"/>
          </w:tcPr>
          <w:p>
            <w:pPr>
              <w:spacing w:line="240" w:lineRule="auto"/>
              <w:ind w:firstLine="0" w:firstLineChars="0"/>
              <w:jc w:val="left"/>
              <w:rPr>
                <w:color w:val="000000" w:themeColor="text1"/>
              </w:rPr>
            </w:pPr>
          </w:p>
        </w:tc>
        <w:tc>
          <w:tcPr>
            <w:tcW w:w="2256" w:type="dxa"/>
            <w:gridSpan w:val="3"/>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w:t>
            </w:r>
            <w:r>
              <w:rPr>
                <w:rFonts w:hint="default" w:ascii="Times New Roman" w:hAnsi="Times New Roman" w:eastAsia="宋体" w:cs="Times New Roman"/>
                <w:color w:val="000000" w:themeColor="text1"/>
                <w:sz w:val="21"/>
                <w:szCs w:val="21"/>
                <w:lang w:val="en-US" w:eastAsia="zh-CN"/>
              </w:rPr>
              <w:t>矿井涌水</w:t>
            </w:r>
          </w:p>
        </w:tc>
        <w:tc>
          <w:tcPr>
            <w:tcW w:w="28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根据工程分析，现有项目K1矿体实际运行情况可知，项目开采过程中，几乎无矿坑涌水产生。根据最不利因素考虑，评价要求K2主平硐沉淀池提前建设，用于处理基建施工时的可能产生的矿坑涌水和井下施工废水。废水经沉淀处理后用于防尘洒水，不外排。</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17"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931"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2256" w:type="dxa"/>
            <w:gridSpan w:val="3"/>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w:t>
            </w:r>
            <w:r>
              <w:rPr>
                <w:rFonts w:hint="default" w:ascii="Times New Roman" w:hAnsi="Times New Roman" w:eastAsia="宋体" w:cs="Times New Roman"/>
                <w:color w:val="000000" w:themeColor="text1"/>
                <w:sz w:val="21"/>
                <w:szCs w:val="21"/>
                <w:lang w:val="en-US" w:eastAsia="zh-CN"/>
              </w:rPr>
              <w:t>生活废水</w:t>
            </w:r>
          </w:p>
        </w:tc>
        <w:tc>
          <w:tcPr>
            <w:tcW w:w="28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生活污水</w:t>
            </w:r>
            <w:r>
              <w:rPr>
                <w:rFonts w:hint="eastAsia" w:ascii="Times New Roman" w:hAnsi="Times New Roman" w:eastAsia="宋体" w:cs="Times New Roman"/>
                <w:color w:val="000000" w:themeColor="text1"/>
                <w:sz w:val="21"/>
                <w:szCs w:val="21"/>
                <w:lang w:val="en-US" w:eastAsia="zh-CN"/>
              </w:rPr>
              <w:t>新建化粪池一座，定期清掏肥田。</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运行期</w:t>
            </w: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K1矿体生产废水和井下涌水</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K1矿体：已在PD760硐口建设有一个4m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lang w:val="en-US" w:eastAsia="zh-CN"/>
              </w:rPr>
              <w:t>矿井出水沉淀池，工业场地建成一个15m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lang w:val="en-US" w:eastAsia="zh-CN"/>
              </w:rPr>
              <w:t>废水沉淀池。</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K1、K2矿体生产废水和井下涌水</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K1矿体：在PD810、PD660新建6m</w:t>
            </w:r>
            <w:r>
              <w:rPr>
                <w:rFonts w:hint="eastAsia" w:ascii="Times New Roman" w:hAnsi="Times New Roman" w:eastAsia="宋体" w:cs="Times New Roman"/>
                <w:bCs/>
                <w:color w:val="000000" w:themeColor="text1"/>
                <w:sz w:val="21"/>
                <w:szCs w:val="21"/>
                <w:vertAlign w:val="superscript"/>
                <w:lang w:val="en-US" w:eastAsia="zh-CN"/>
              </w:rPr>
              <w:t>3</w:t>
            </w:r>
            <w:r>
              <w:rPr>
                <w:rFonts w:hint="eastAsia" w:ascii="Times New Roman" w:hAnsi="Times New Roman" w:eastAsia="宋体" w:cs="Times New Roman"/>
                <w:bCs/>
                <w:color w:val="000000" w:themeColor="text1"/>
                <w:sz w:val="21"/>
                <w:szCs w:val="21"/>
                <w:vertAlign w:val="baseline"/>
                <w:lang w:val="en-US" w:eastAsia="zh-CN"/>
              </w:rPr>
              <w:t>的</w:t>
            </w:r>
            <w:r>
              <w:rPr>
                <w:rFonts w:hint="eastAsia" w:ascii="Times New Roman" w:hAnsi="Times New Roman" w:eastAsia="宋体" w:cs="Times New Roman"/>
                <w:bCs/>
                <w:color w:val="000000" w:themeColor="text1"/>
                <w:sz w:val="21"/>
                <w:szCs w:val="21"/>
                <w:lang w:val="en-US" w:eastAsia="zh-CN"/>
              </w:rPr>
              <w:t>沉淀池，PD760依托现有，现有沉淀池需要整改</w:t>
            </w:r>
            <w:r>
              <w:rPr>
                <w:rFonts w:hint="eastAsia" w:ascii="Times New Roman" w:hAnsi="Times New Roman" w:eastAsia="宋体" w:cs="Times New Roman"/>
                <w:bCs/>
                <w:color w:val="000000" w:themeColor="text1"/>
                <w:sz w:val="21"/>
                <w:szCs w:val="21"/>
                <w:vertAlign w:val="baseline"/>
                <w:lang w:val="en-US" w:eastAsia="zh-CN"/>
              </w:rPr>
              <w:t>。</w:t>
            </w:r>
          </w:p>
          <w:p>
            <w:pPr>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K2矿体：在PD790、PD750、PD710硐口新建3个</w:t>
            </w:r>
            <w:r>
              <w:rPr>
                <w:rFonts w:hint="default" w:ascii="Times New Roman" w:hAnsi="Times New Roman" w:eastAsia="宋体" w:cs="Times New Roman"/>
                <w:color w:val="000000" w:themeColor="text1"/>
                <w:sz w:val="21"/>
                <w:szCs w:val="21"/>
              </w:rPr>
              <w:t>容积为</w:t>
            </w:r>
            <w:r>
              <w:rPr>
                <w:rFonts w:hint="eastAsia" w:ascii="Times New Roman" w:hAnsi="Times New Roman" w:eastAsia="宋体" w:cs="Times New Roman"/>
                <w:color w:val="000000" w:themeColor="text1"/>
                <w:sz w:val="21"/>
                <w:szCs w:val="21"/>
                <w:lang w:val="en-US" w:eastAsia="zh-CN"/>
              </w:rPr>
              <w:t>6</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的沉淀池</w:t>
            </w:r>
            <w:r>
              <w:rPr>
                <w:rFonts w:hint="eastAsia" w:ascii="Times New Roman" w:hAnsi="Times New Roman" w:eastAsia="宋体" w:cs="Times New Roman"/>
                <w:color w:val="000000" w:themeColor="text1"/>
                <w:sz w:val="21"/>
                <w:szCs w:val="21"/>
                <w:lang w:eastAsia="zh-CN"/>
              </w:rPr>
              <w:t>。</w:t>
            </w:r>
          </w:p>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生产废水和井下涌水经沉淀池进行处理，处理后全部回用</w:t>
            </w:r>
            <w:r>
              <w:rPr>
                <w:rFonts w:hint="eastAsia" w:ascii="Times New Roman" w:hAnsi="Times New Roman" w:eastAsia="宋体" w:cs="Times New Roman"/>
                <w:color w:val="000000" w:themeColor="text1"/>
                <w:sz w:val="21"/>
                <w:szCs w:val="21"/>
                <w:lang w:val="en-US" w:eastAsia="zh-CN"/>
              </w:rPr>
              <w:t>于降尘，不外排</w:t>
            </w:r>
            <w:r>
              <w:rPr>
                <w:rFonts w:hint="default" w:ascii="Times New Roman" w:hAnsi="Times New Roman" w:eastAsia="宋体" w:cs="Times New Roman"/>
                <w:color w:val="000000" w:themeColor="text1"/>
                <w:sz w:val="21"/>
                <w:szCs w:val="21"/>
              </w:rPr>
              <w:t>。</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K1新建+依托；K2新建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93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K1矿体生活废水</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生活污水进入化粪池处理后用于周边林地肥田。</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K1生活废水</w:t>
            </w:r>
          </w:p>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K1矿体：已建成一座约10m</w:t>
            </w:r>
            <w:r>
              <w:rPr>
                <w:rFonts w:hint="eastAsia" w:ascii="Times New Roman" w:hAnsi="Times New Roman" w:eastAsia="宋体" w:cs="Times New Roman"/>
                <w:color w:val="000000" w:themeColor="text1"/>
                <w:sz w:val="21"/>
                <w:szCs w:val="21"/>
                <w:vertAlign w:val="superscript"/>
                <w:lang w:val="en-US" w:eastAsia="zh-CN"/>
              </w:rPr>
              <w:t>3</w:t>
            </w:r>
            <w:r>
              <w:rPr>
                <w:rFonts w:hint="eastAsia" w:ascii="Times New Roman" w:hAnsi="Times New Roman" w:eastAsia="宋体" w:cs="Times New Roman"/>
                <w:color w:val="000000" w:themeColor="text1"/>
                <w:sz w:val="21"/>
                <w:szCs w:val="21"/>
                <w:lang w:val="en-US" w:eastAsia="zh-CN"/>
              </w:rPr>
              <w:t>的化粪池</w:t>
            </w:r>
            <w:r>
              <w:rPr>
                <w:rFonts w:hint="eastAsia" w:ascii="Times New Roman" w:hAnsi="Times New Roman" w:eastAsia="宋体" w:cs="Times New Roman"/>
                <w:color w:val="000000" w:themeColor="text1"/>
                <w:sz w:val="21"/>
                <w:szCs w:val="21"/>
                <w:lang w:eastAsia="zh-CN"/>
              </w:rPr>
              <w:t>。</w:t>
            </w:r>
          </w:p>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噪声</w:t>
            </w:r>
          </w:p>
        </w:tc>
        <w:tc>
          <w:tcPr>
            <w:tcW w:w="93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施工期</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矿体机械噪声</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选择低噪声设备，合理控制作业时间，车辆减速慢行等。</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17" w:type="dxa"/>
            <w:vMerge w:val="continue"/>
            <w:tcBorders>
              <w:tl2br w:val="nil"/>
              <w:tr2bl w:val="nil"/>
            </w:tcBorders>
            <w:vAlign w:val="center"/>
          </w:tcPr>
          <w:p>
            <w:pPr>
              <w:spacing w:line="240" w:lineRule="auto"/>
              <w:ind w:firstLine="0" w:firstLineChars="0"/>
              <w:jc w:val="center"/>
              <w:rPr>
                <w:color w:val="000000" w:themeColor="text1"/>
              </w:rPr>
            </w:pPr>
          </w:p>
        </w:tc>
        <w:tc>
          <w:tcPr>
            <w:tcW w:w="393" w:type="dxa"/>
            <w:vMerge w:val="continue"/>
            <w:tcBorders>
              <w:tl2br w:val="nil"/>
              <w:tr2bl w:val="nil"/>
            </w:tcBorders>
            <w:vAlign w:val="center"/>
          </w:tcPr>
          <w:p>
            <w:pPr>
              <w:spacing w:line="240" w:lineRule="auto"/>
              <w:ind w:firstLine="0" w:firstLineChars="0"/>
              <w:jc w:val="center"/>
              <w:rPr>
                <w:color w:val="000000" w:themeColor="text1"/>
              </w:rPr>
            </w:pP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运行期</w:t>
            </w: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K1矿体井下采矿噪声</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自然衰减</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K1、K2矿体井下采矿噪声</w:t>
            </w:r>
          </w:p>
        </w:tc>
        <w:tc>
          <w:tcPr>
            <w:tcW w:w="28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自然衰减</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17" w:type="dxa"/>
            <w:vMerge w:val="continue"/>
            <w:tcBorders>
              <w:tl2br w:val="nil"/>
              <w:tr2bl w:val="nil"/>
            </w:tcBorders>
            <w:vAlign w:val="center"/>
          </w:tcPr>
          <w:p>
            <w:pPr>
              <w:spacing w:line="240" w:lineRule="auto"/>
              <w:ind w:firstLine="0" w:firstLineChars="0"/>
              <w:jc w:val="center"/>
              <w:rPr>
                <w:color w:val="000000" w:themeColor="text1"/>
              </w:rPr>
            </w:pPr>
          </w:p>
        </w:tc>
        <w:tc>
          <w:tcPr>
            <w:tcW w:w="393" w:type="dxa"/>
            <w:vMerge w:val="continue"/>
            <w:tcBorders>
              <w:tl2br w:val="nil"/>
              <w:tr2bl w:val="nil"/>
            </w:tcBorders>
            <w:vAlign w:val="center"/>
          </w:tcPr>
          <w:p>
            <w:pPr>
              <w:spacing w:line="240" w:lineRule="auto"/>
              <w:ind w:firstLine="0" w:firstLineChars="0"/>
              <w:jc w:val="center"/>
              <w:rPr>
                <w:color w:val="000000" w:themeColor="text1"/>
              </w:rPr>
            </w:pPr>
          </w:p>
        </w:tc>
        <w:tc>
          <w:tcPr>
            <w:tcW w:w="931"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K1矿体地表噪声</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空压机房、消声器等</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K1、K2矿体地表噪声</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K1矿体：依托现有空压机房、消声器等。</w:t>
            </w:r>
          </w:p>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K2矿体：新建空压机房、消声器等。</w:t>
            </w:r>
          </w:p>
        </w:tc>
        <w:tc>
          <w:tcPr>
            <w:tcW w:w="114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K1依托，K2新建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17" w:type="dxa"/>
            <w:vMerge w:val="continue"/>
            <w:tcBorders>
              <w:tl2br w:val="nil"/>
              <w:tr2bl w:val="nil"/>
            </w:tcBorders>
            <w:vAlign w:val="center"/>
          </w:tcPr>
          <w:p>
            <w:pPr>
              <w:spacing w:line="240" w:lineRule="auto"/>
              <w:ind w:firstLine="0" w:firstLineChars="0"/>
              <w:jc w:val="center"/>
              <w:rPr>
                <w:color w:val="000000" w:themeColor="text1"/>
              </w:rPr>
            </w:pPr>
          </w:p>
        </w:tc>
        <w:tc>
          <w:tcPr>
            <w:tcW w:w="393" w:type="dxa"/>
            <w:vMerge w:val="continue"/>
            <w:tcBorders>
              <w:tl2br w:val="nil"/>
              <w:tr2bl w:val="nil"/>
            </w:tcBorders>
            <w:vAlign w:val="center"/>
          </w:tcPr>
          <w:p>
            <w:pPr>
              <w:spacing w:line="240" w:lineRule="auto"/>
              <w:ind w:firstLine="0" w:firstLineChars="0"/>
              <w:jc w:val="center"/>
              <w:rPr>
                <w:color w:val="000000" w:themeColor="text1"/>
              </w:rPr>
            </w:pPr>
          </w:p>
        </w:tc>
        <w:tc>
          <w:tcPr>
            <w:tcW w:w="931"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K1矿体运输噪声</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禁止鸣笛、减速慢行等</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K1、K2矿体运输噪声</w:t>
            </w:r>
          </w:p>
        </w:tc>
        <w:tc>
          <w:tcPr>
            <w:tcW w:w="28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禁止鸣笛、减速慢行等</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固体废物</w:t>
            </w: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施工期</w:t>
            </w:r>
          </w:p>
        </w:tc>
        <w:tc>
          <w:tcPr>
            <w:tcW w:w="2256"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K2矿体废石</w:t>
            </w:r>
          </w:p>
        </w:tc>
        <w:tc>
          <w:tcPr>
            <w:tcW w:w="28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一部分用于修筑道路和场区基建，其余全部用于井下回填，废石不外排</w:t>
            </w:r>
            <w:r>
              <w:rPr>
                <w:rFonts w:hint="default" w:ascii="Times New Roman" w:hAnsi="Times New Roman" w:eastAsia="宋体" w:cs="Times New Roman"/>
                <w:color w:val="000000" w:themeColor="text1"/>
                <w:sz w:val="21"/>
                <w:szCs w:val="21"/>
                <w:lang w:val="en-US" w:eastAsia="zh-CN"/>
              </w:rPr>
              <w:t>。</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17" w:type="dxa"/>
            <w:vMerge w:val="continue"/>
            <w:tcBorders>
              <w:tl2br w:val="nil"/>
              <w:tr2bl w:val="nil"/>
            </w:tcBorders>
            <w:vAlign w:val="center"/>
          </w:tcPr>
          <w:p>
            <w:pPr>
              <w:spacing w:line="240" w:lineRule="auto"/>
              <w:ind w:firstLine="0" w:firstLineChars="0"/>
              <w:jc w:val="left"/>
              <w:rPr>
                <w:color w:val="000000" w:themeColor="text1"/>
              </w:rPr>
            </w:pPr>
          </w:p>
        </w:tc>
        <w:tc>
          <w:tcPr>
            <w:tcW w:w="393" w:type="dxa"/>
            <w:vMerge w:val="continue"/>
            <w:tcBorders>
              <w:tl2br w:val="nil"/>
              <w:tr2bl w:val="nil"/>
            </w:tcBorders>
            <w:vAlign w:val="center"/>
          </w:tcPr>
          <w:p>
            <w:pPr>
              <w:spacing w:line="240" w:lineRule="auto"/>
              <w:ind w:firstLine="0" w:firstLineChars="0"/>
              <w:jc w:val="left"/>
              <w:rPr>
                <w:color w:val="000000" w:themeColor="text1"/>
              </w:rPr>
            </w:pPr>
          </w:p>
        </w:tc>
        <w:tc>
          <w:tcPr>
            <w:tcW w:w="931" w:type="dxa"/>
            <w:vMerge w:val="continue"/>
            <w:tcBorders>
              <w:tl2br w:val="nil"/>
              <w:tr2bl w:val="nil"/>
            </w:tcBorders>
            <w:vAlign w:val="center"/>
          </w:tcPr>
          <w:p>
            <w:pPr>
              <w:spacing w:line="240" w:lineRule="auto"/>
              <w:ind w:firstLine="0" w:firstLineChars="0"/>
              <w:jc w:val="left"/>
              <w:rPr>
                <w:color w:val="000000" w:themeColor="text1"/>
              </w:rPr>
            </w:pPr>
          </w:p>
        </w:tc>
        <w:tc>
          <w:tcPr>
            <w:tcW w:w="2256" w:type="dxa"/>
            <w:gridSpan w:val="3"/>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K2矿体建筑垃圾</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作为填料修筑场区道路。</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17" w:type="dxa"/>
            <w:vMerge w:val="continue"/>
            <w:tcBorders>
              <w:tl2br w:val="nil"/>
              <w:tr2bl w:val="nil"/>
            </w:tcBorders>
            <w:vAlign w:val="center"/>
          </w:tcPr>
          <w:p>
            <w:pPr>
              <w:spacing w:line="240" w:lineRule="auto"/>
              <w:ind w:firstLine="0" w:firstLineChars="0"/>
              <w:jc w:val="left"/>
              <w:rPr>
                <w:rFonts w:hint="default" w:ascii="Times New Roman" w:hAnsi="Times New Roman" w:eastAsia="宋体" w:cs="Times New Roman"/>
                <w:color w:val="000000" w:themeColor="text1"/>
                <w:sz w:val="21"/>
                <w:szCs w:val="21"/>
                <w:lang w:val="en-US" w:eastAsia="zh-CN"/>
              </w:rPr>
            </w:pPr>
          </w:p>
        </w:tc>
        <w:tc>
          <w:tcPr>
            <w:tcW w:w="393" w:type="dxa"/>
            <w:vMerge w:val="continue"/>
            <w:tcBorders>
              <w:tl2br w:val="nil"/>
              <w:tr2bl w:val="nil"/>
            </w:tcBorders>
            <w:vAlign w:val="center"/>
          </w:tcPr>
          <w:p>
            <w:pPr>
              <w:spacing w:line="240" w:lineRule="auto"/>
              <w:ind w:firstLine="0" w:firstLineChars="0"/>
              <w:jc w:val="left"/>
              <w:rPr>
                <w:rFonts w:hint="default" w:ascii="Times New Roman" w:hAnsi="Times New Roman" w:eastAsia="宋体" w:cs="Times New Roman"/>
                <w:color w:val="000000" w:themeColor="text1"/>
                <w:sz w:val="21"/>
                <w:szCs w:val="21"/>
                <w:lang w:val="en-US" w:eastAsia="zh-CN"/>
              </w:rPr>
            </w:pPr>
          </w:p>
        </w:tc>
        <w:tc>
          <w:tcPr>
            <w:tcW w:w="931" w:type="dxa"/>
            <w:vMerge w:val="continue"/>
            <w:tcBorders>
              <w:tl2br w:val="nil"/>
              <w:tr2bl w:val="nil"/>
            </w:tcBorders>
            <w:vAlign w:val="center"/>
          </w:tcPr>
          <w:p>
            <w:pPr>
              <w:spacing w:line="240" w:lineRule="auto"/>
              <w:ind w:firstLine="0" w:firstLineChars="0"/>
              <w:jc w:val="left"/>
              <w:rPr>
                <w:rFonts w:hint="default" w:ascii="Times New Roman" w:hAnsi="Times New Roman" w:eastAsia="宋体" w:cs="Times New Roman"/>
                <w:color w:val="000000" w:themeColor="text1"/>
                <w:sz w:val="21"/>
                <w:szCs w:val="21"/>
                <w:lang w:val="en-US" w:eastAsia="zh-CN"/>
              </w:rPr>
            </w:pPr>
          </w:p>
        </w:tc>
        <w:tc>
          <w:tcPr>
            <w:tcW w:w="2256" w:type="dxa"/>
            <w:gridSpan w:val="3"/>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K2矿体生活垃圾</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分类收集，交由环卫部门。</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393"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931"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运行期</w:t>
            </w: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K1矿体采矿废石</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一部分用于矿区基建，剩余堆放在现有工程的废石场。</w:t>
            </w:r>
          </w:p>
        </w:tc>
        <w:tc>
          <w:tcPr>
            <w:tcW w:w="90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K1和K2矿体采矿废石</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扩建后废石除用于矿区基建和修路外，剩余废石全部回填采空区。</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扩建项目根据本项目的复垦方案对现有K1矿体的废石场进行生态恢复治理。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517" w:type="dxa"/>
            <w:vMerge w:val="continue"/>
            <w:tcBorders>
              <w:tl2br w:val="nil"/>
              <w:tr2bl w:val="nil"/>
            </w:tcBorders>
            <w:vAlign w:val="center"/>
          </w:tcPr>
          <w:p>
            <w:pPr>
              <w:spacing w:line="240" w:lineRule="auto"/>
              <w:ind w:firstLine="0" w:firstLineChars="0"/>
              <w:jc w:val="left"/>
              <w:rPr>
                <w:color w:val="000000" w:themeColor="text1"/>
              </w:rPr>
            </w:pPr>
          </w:p>
        </w:tc>
        <w:tc>
          <w:tcPr>
            <w:tcW w:w="393" w:type="dxa"/>
            <w:vMerge w:val="continue"/>
            <w:tcBorders>
              <w:tl2br w:val="nil"/>
              <w:tr2bl w:val="nil"/>
            </w:tcBorders>
            <w:vAlign w:val="center"/>
          </w:tcPr>
          <w:p>
            <w:pPr>
              <w:spacing w:line="240" w:lineRule="auto"/>
              <w:ind w:firstLine="0" w:firstLineChars="0"/>
              <w:jc w:val="left"/>
              <w:rPr>
                <w:color w:val="000000" w:themeColor="text1"/>
              </w:rPr>
            </w:pPr>
          </w:p>
        </w:tc>
        <w:tc>
          <w:tcPr>
            <w:tcW w:w="931" w:type="dxa"/>
            <w:vMerge w:val="continue"/>
            <w:tcBorders>
              <w:tl2br w:val="nil"/>
              <w:tr2bl w:val="nil"/>
            </w:tcBorders>
            <w:vAlign w:val="center"/>
          </w:tcPr>
          <w:p>
            <w:pPr>
              <w:spacing w:line="240" w:lineRule="auto"/>
              <w:ind w:firstLine="0" w:firstLineChars="0"/>
              <w:jc w:val="left"/>
              <w:rPr>
                <w:color w:val="000000" w:themeColor="text1"/>
              </w:rPr>
            </w:pP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K1矿体危险废物</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暂存于危险废物暂存间，定期交由有资质单位处置。</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K1和K2矿体危险废物</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暂存于危险废物暂存间，定期交由有资质单位处置。危险废物暂存间依托现有K1矿体的危险废物暂存间。</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危险废物暂存间按照标准要求进行整改。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17"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931"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K1矿体生活垃圾</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交由环卫部门处置。</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K1和K2矿体生活垃圾</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收集于垃圾桶交由环卫部门处置。</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K1依托现有，K2新建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17" w:type="dxa"/>
            <w:vMerge w:val="restart"/>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vMerge w:val="restart"/>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生态环境</w:t>
            </w:r>
          </w:p>
        </w:tc>
        <w:tc>
          <w:tcPr>
            <w:tcW w:w="931" w:type="dxa"/>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施工期</w:t>
            </w:r>
          </w:p>
        </w:tc>
        <w:tc>
          <w:tcPr>
            <w:tcW w:w="2256" w:type="dxa"/>
            <w:gridSpan w:val="3"/>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减少占地、植被移栽、分层开挖，表土保存；控制噪声，减少对动物的影响；修建截排水沟、物料覆盖等减少水土流失影响。</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17"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931" w:type="dxa"/>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运行期</w:t>
            </w: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土地平整、边坡、护坡、截洪沟、植被恢复、废石场生态恢复等措施。</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K1矿体和K2矿体</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K1矿体：周边植被养护、废石场治理、边坡、护坡养护等；K2矿体：</w:t>
            </w:r>
            <w:r>
              <w:rPr>
                <w:rFonts w:hint="eastAsia" w:ascii="Times New Roman" w:hAnsi="Times New Roman" w:eastAsia="宋体" w:cs="Times New Roman"/>
                <w:bCs/>
                <w:color w:val="000000" w:themeColor="text1"/>
                <w:sz w:val="21"/>
                <w:szCs w:val="21"/>
                <w:lang w:val="en-US" w:eastAsia="zh-CN"/>
              </w:rPr>
              <w:t>土地平整、边坡、护坡、截洪沟、植被恢复等措施。</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517" w:type="dxa"/>
            <w:vMerge w:val="continue"/>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p>
        </w:tc>
        <w:tc>
          <w:tcPr>
            <w:tcW w:w="393" w:type="dxa"/>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环境风险</w:t>
            </w:r>
          </w:p>
        </w:tc>
        <w:tc>
          <w:tcPr>
            <w:tcW w:w="931" w:type="dxa"/>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运行期</w:t>
            </w:r>
          </w:p>
        </w:tc>
        <w:tc>
          <w:tcPr>
            <w:tcW w:w="843"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w:t>
            </w:r>
          </w:p>
        </w:tc>
        <w:tc>
          <w:tcPr>
            <w:tcW w:w="141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建设有粉尘、废水、固废防治措施，减少环境风险的发生；为减少废矿石滑坡坍塌等风险，现有工程建设有挡渣坝，井下支护措施，职工安全教育等。</w:t>
            </w:r>
          </w:p>
        </w:tc>
        <w:tc>
          <w:tcPr>
            <w:tcW w:w="9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K1矿体和K2矿体</w:t>
            </w:r>
          </w:p>
        </w:tc>
        <w:tc>
          <w:tcPr>
            <w:tcW w:w="28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K1矿体：依托现有，加强防护。</w:t>
            </w:r>
          </w:p>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K2矿体：</w:t>
            </w:r>
            <w:r>
              <w:rPr>
                <w:rFonts w:hint="eastAsia" w:ascii="Times New Roman" w:hAnsi="Times New Roman" w:eastAsia="宋体" w:cs="Times New Roman"/>
                <w:bCs/>
                <w:color w:val="000000" w:themeColor="text1"/>
                <w:sz w:val="21"/>
                <w:szCs w:val="21"/>
                <w:lang w:val="en-US" w:eastAsia="zh-CN"/>
              </w:rPr>
              <w:t>新建粉尘、废水、固废防治措施，减少环境风险的发生；井下新建支护措施，职工安全教育等。</w:t>
            </w:r>
          </w:p>
        </w:tc>
        <w:tc>
          <w:tcPr>
            <w:tcW w:w="114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K1依托现有，K2新建</w:t>
            </w:r>
          </w:p>
        </w:tc>
      </w:tr>
    </w:tbl>
    <w:p>
      <w:pPr>
        <w:rPr>
          <w:rFonts w:hint="default"/>
          <w:color w:val="000000" w:themeColor="text1"/>
          <w:lang w:val="en-US" w:eastAsia="zh-CN"/>
        </w:rPr>
      </w:pPr>
    </w:p>
    <w:p>
      <w:pPr>
        <w:pStyle w:val="5"/>
        <w:keepNext w:val="0"/>
        <w:keepLines w:val="0"/>
        <w:pageBreakBefore w:val="0"/>
        <w:widowControl w:val="0"/>
        <w:numPr>
          <w:ilvl w:val="2"/>
          <w:numId w:val="0"/>
        </w:numPr>
        <w:wordWrap/>
        <w:topLinePunct w:val="0"/>
        <w:bidi w:val="0"/>
        <w:ind w:leftChars="0"/>
        <w:textAlignment w:val="auto"/>
        <w:rPr>
          <w:rFonts w:hint="eastAsia"/>
          <w:b/>
          <w:bCs/>
          <w:color w:val="FF0000"/>
          <w:sz w:val="24"/>
          <w:szCs w:val="24"/>
          <w:lang w:val="en-US" w:eastAsia="zh-CN"/>
        </w:rPr>
      </w:pPr>
      <w:r>
        <w:rPr>
          <w:rFonts w:hint="eastAsia"/>
          <w:b/>
          <w:bCs/>
          <w:color w:val="FF0000"/>
          <w:sz w:val="24"/>
          <w:szCs w:val="24"/>
          <w:lang w:val="en-US" w:eastAsia="zh-CN"/>
        </w:rPr>
        <w:t>依托可行性分析：</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t>现有工程K1已建成工业场地</w:t>
      </w:r>
      <w:r>
        <w:rPr>
          <w:rFonts w:hint="eastAsia" w:ascii="Times New Roman" w:hAnsi="Times New Roman" w:eastAsia="宋体" w:cs="Times New Roman"/>
          <w:b w:val="0"/>
          <w:bCs w:val="0"/>
          <w:color w:val="FF0000"/>
          <w:sz w:val="24"/>
          <w:szCs w:val="24"/>
          <w:lang w:val="en-US" w:eastAsia="zh-CN"/>
        </w:rPr>
        <w:t>、</w:t>
      </w:r>
      <w:r>
        <w:rPr>
          <w:rFonts w:hint="default" w:ascii="Times New Roman" w:hAnsi="Times New Roman" w:eastAsia="宋体" w:cs="Times New Roman"/>
          <w:b w:val="0"/>
          <w:bCs w:val="0"/>
          <w:color w:val="FF0000"/>
          <w:sz w:val="24"/>
          <w:szCs w:val="24"/>
          <w:lang w:val="en-US" w:eastAsia="zh-CN"/>
        </w:rPr>
        <w:t>堆棚</w:t>
      </w:r>
      <w:r>
        <w:rPr>
          <w:rFonts w:hint="eastAsia" w:ascii="Times New Roman" w:hAnsi="Times New Roman" w:eastAsia="宋体" w:cs="Times New Roman"/>
          <w:b w:val="0"/>
          <w:bCs w:val="0"/>
          <w:color w:val="FF0000"/>
          <w:sz w:val="24"/>
          <w:szCs w:val="24"/>
          <w:lang w:val="en-US" w:eastAsia="zh-CN"/>
        </w:rPr>
        <w:t>、</w:t>
      </w:r>
      <w:r>
        <w:rPr>
          <w:rFonts w:hint="default" w:ascii="Times New Roman" w:hAnsi="Times New Roman" w:eastAsia="宋体" w:cs="Times New Roman"/>
          <w:b w:val="0"/>
          <w:bCs w:val="0"/>
          <w:color w:val="FF0000"/>
          <w:sz w:val="24"/>
          <w:szCs w:val="24"/>
          <w:lang w:val="en-US" w:eastAsia="zh-CN"/>
        </w:rPr>
        <w:t>值班室、变配电室、空压机房、集水池、高位水池等，现有工程建设的标准按照3万吨/a建设，本次扩建项目为5万吨/a，最主要通过改变生产班制，淘汰更换原有的落后的生产设备进行产能的增加，对工业场地的大小，矿石堆棚、值班室、空压机房等无特殊要求，现有工程</w:t>
      </w:r>
      <w:r>
        <w:rPr>
          <w:rFonts w:hint="eastAsia" w:ascii="Times New Roman" w:hAnsi="Times New Roman" w:eastAsia="宋体" w:cs="Times New Roman"/>
          <w:b w:val="0"/>
          <w:bCs w:val="0"/>
          <w:color w:val="FF0000"/>
          <w:sz w:val="24"/>
          <w:szCs w:val="24"/>
          <w:lang w:val="en-US" w:eastAsia="zh-CN"/>
        </w:rPr>
        <w:t>基本</w:t>
      </w:r>
      <w:r>
        <w:rPr>
          <w:rFonts w:hint="default" w:ascii="Times New Roman" w:hAnsi="Times New Roman" w:eastAsia="宋体" w:cs="Times New Roman"/>
          <w:b w:val="0"/>
          <w:bCs w:val="0"/>
          <w:color w:val="FF0000"/>
          <w:sz w:val="24"/>
          <w:szCs w:val="24"/>
          <w:lang w:val="en-US" w:eastAsia="zh-CN"/>
        </w:rPr>
        <w:t>可依托。办公生活区建设有宿舍7间，为部分员工提供住宿，大部分员工为附近的居民，不在矿区住宿，住宿条件可满足扩建后员工住宿。</w:t>
      </w:r>
      <w:r>
        <w:rPr>
          <w:rFonts w:hint="eastAsia" w:ascii="Times New Roman" w:hAnsi="Times New Roman" w:eastAsia="宋体" w:cs="Times New Roman"/>
          <w:b w:val="0"/>
          <w:bCs w:val="0"/>
          <w:color w:val="FF0000"/>
          <w:sz w:val="24"/>
          <w:szCs w:val="24"/>
          <w:lang w:val="en-US" w:eastAsia="zh-CN"/>
        </w:rPr>
        <w:t>K1</w:t>
      </w:r>
      <w:r>
        <w:rPr>
          <w:rFonts w:hint="default" w:ascii="Times New Roman" w:hAnsi="Times New Roman" w:eastAsia="宋体" w:cs="Times New Roman"/>
          <w:b w:val="0"/>
          <w:bCs w:val="0"/>
          <w:color w:val="FF0000"/>
          <w:sz w:val="24"/>
          <w:szCs w:val="24"/>
          <w:lang w:val="en-US" w:eastAsia="zh-CN"/>
        </w:rPr>
        <w:t>矿区道路宽度为3.5m，</w:t>
      </w:r>
      <w:r>
        <w:rPr>
          <w:rFonts w:hint="eastAsia" w:ascii="Times New Roman" w:hAnsi="Times New Roman" w:eastAsia="宋体" w:cs="Times New Roman"/>
          <w:b w:val="0"/>
          <w:bCs w:val="0"/>
          <w:color w:val="FF0000"/>
          <w:sz w:val="24"/>
          <w:szCs w:val="24"/>
          <w:lang w:val="en-US" w:eastAsia="zh-CN"/>
        </w:rPr>
        <w:t>现状为泥结碎石路面，需要在现有道路的基础上铺设水泥路面，以</w:t>
      </w:r>
      <w:r>
        <w:rPr>
          <w:rFonts w:hint="default" w:ascii="Times New Roman" w:hAnsi="Times New Roman" w:eastAsia="宋体" w:cs="Times New Roman"/>
          <w:b w:val="0"/>
          <w:bCs w:val="0"/>
          <w:color w:val="FF0000"/>
          <w:sz w:val="24"/>
          <w:szCs w:val="24"/>
          <w:lang w:val="en-US" w:eastAsia="zh-CN"/>
        </w:rPr>
        <w:t>满足汽车外运矿石的要求。扩建项目日用水量为5m</w:t>
      </w:r>
      <w:r>
        <w:rPr>
          <w:rFonts w:hint="default" w:ascii="Times New Roman" w:hAnsi="Times New Roman" w:eastAsia="宋体" w:cs="Times New Roman"/>
          <w:b w:val="0"/>
          <w:bCs w:val="0"/>
          <w:color w:val="FF0000"/>
          <w:sz w:val="24"/>
          <w:szCs w:val="24"/>
          <w:vertAlign w:val="superscript"/>
          <w:lang w:val="en-US" w:eastAsia="zh-CN"/>
        </w:rPr>
        <w:t>3</w:t>
      </w:r>
      <w:r>
        <w:rPr>
          <w:rFonts w:hint="default" w:ascii="Times New Roman" w:hAnsi="Times New Roman" w:eastAsia="宋体" w:cs="Times New Roman"/>
          <w:b w:val="0"/>
          <w:bCs w:val="0"/>
          <w:color w:val="FF0000"/>
          <w:sz w:val="24"/>
          <w:szCs w:val="24"/>
          <w:vertAlign w:val="baseline"/>
          <w:lang w:val="en-US" w:eastAsia="zh-CN"/>
        </w:rPr>
        <w:t>，现有工程</w:t>
      </w:r>
      <w:r>
        <w:rPr>
          <w:rFonts w:hint="default" w:ascii="Times New Roman" w:hAnsi="Times New Roman" w:eastAsia="宋体" w:cs="Times New Roman"/>
          <w:b w:val="0"/>
          <w:bCs w:val="0"/>
          <w:color w:val="FF0000"/>
          <w:sz w:val="24"/>
          <w:szCs w:val="24"/>
          <w:lang w:val="en-US" w:eastAsia="zh-CN"/>
        </w:rPr>
        <w:t>30</w:t>
      </w:r>
      <w:r>
        <w:rPr>
          <w:rFonts w:hint="default" w:ascii="Times New Roman" w:hAnsi="Times New Roman" w:eastAsia="宋体" w:cs="Times New Roman"/>
          <w:b w:val="0"/>
          <w:bCs w:val="0"/>
          <w:color w:val="FF0000"/>
          <w:sz w:val="24"/>
          <w:szCs w:val="24"/>
        </w:rPr>
        <w:t xml:space="preserve"> m</w:t>
      </w:r>
      <w:r>
        <w:rPr>
          <w:rFonts w:hint="default" w:ascii="Times New Roman" w:hAnsi="Times New Roman" w:eastAsia="宋体" w:cs="Times New Roman"/>
          <w:b w:val="0"/>
          <w:bCs w:val="0"/>
          <w:color w:val="FF0000"/>
          <w:sz w:val="24"/>
          <w:szCs w:val="24"/>
          <w:vertAlign w:val="superscript"/>
        </w:rPr>
        <w:t>3</w:t>
      </w:r>
      <w:r>
        <w:rPr>
          <w:rFonts w:hint="default" w:ascii="Times New Roman" w:hAnsi="Times New Roman" w:eastAsia="宋体" w:cs="Times New Roman"/>
          <w:b w:val="0"/>
          <w:bCs w:val="0"/>
          <w:color w:val="FF0000"/>
          <w:sz w:val="24"/>
          <w:szCs w:val="24"/>
        </w:rPr>
        <w:t>的储水池</w:t>
      </w:r>
      <w:r>
        <w:rPr>
          <w:rFonts w:hint="default" w:ascii="Times New Roman" w:hAnsi="Times New Roman" w:eastAsia="宋体" w:cs="Times New Roman"/>
          <w:b w:val="0"/>
          <w:bCs w:val="0"/>
          <w:color w:val="FF0000"/>
          <w:sz w:val="24"/>
          <w:szCs w:val="24"/>
          <w:lang w:eastAsia="zh-CN"/>
        </w:rPr>
        <w:t>可满足日常用水需求。</w:t>
      </w:r>
      <w:r>
        <w:rPr>
          <w:rFonts w:hint="default" w:ascii="Times New Roman" w:hAnsi="Times New Roman" w:eastAsia="宋体" w:cs="Times New Roman"/>
          <w:b w:val="0"/>
          <w:bCs w:val="0"/>
          <w:color w:val="FF0000"/>
          <w:sz w:val="24"/>
          <w:szCs w:val="24"/>
          <w:lang w:val="en-US" w:eastAsia="zh-CN"/>
        </w:rPr>
        <w:t>K1</w:t>
      </w:r>
      <w:r>
        <w:rPr>
          <w:rFonts w:hint="default" w:ascii="Times New Roman" w:hAnsi="Times New Roman" w:eastAsia="宋体" w:cs="Times New Roman"/>
          <w:b w:val="0"/>
          <w:bCs w:val="0"/>
          <w:color w:val="FF0000"/>
          <w:sz w:val="24"/>
          <w:szCs w:val="24"/>
          <w:lang w:eastAsia="zh-CN"/>
        </w:rPr>
        <w:t>现有项目的废气治理措施井下已建成有通风降尘系统，地面</w:t>
      </w:r>
      <w:r>
        <w:rPr>
          <w:rFonts w:hint="default" w:ascii="Times New Roman" w:hAnsi="Times New Roman" w:eastAsia="宋体" w:cs="Times New Roman"/>
          <w:b w:val="0"/>
          <w:bCs w:val="0"/>
          <w:color w:val="FF0000"/>
          <w:sz w:val="24"/>
          <w:szCs w:val="24"/>
          <w:lang w:val="en-US" w:eastAsia="zh-CN"/>
        </w:rPr>
        <w:t>在PD810和PD760矿石堆放场地建设矿石堆棚，并设有喷淋降尘措施，</w:t>
      </w:r>
      <w:r>
        <w:rPr>
          <w:rFonts w:hint="default" w:ascii="Times New Roman" w:hAnsi="Times New Roman" w:eastAsia="宋体" w:cs="Times New Roman"/>
          <w:b w:val="0"/>
          <w:bCs w:val="0"/>
          <w:color w:val="FF0000"/>
          <w:sz w:val="24"/>
          <w:szCs w:val="24"/>
          <w:lang w:eastAsia="zh-CN"/>
        </w:rPr>
        <w:t>扩建项目可依托使用；</w:t>
      </w:r>
      <w:r>
        <w:rPr>
          <w:rFonts w:hint="eastAsia" w:ascii="Times New Roman" w:hAnsi="Times New Roman" w:eastAsia="宋体" w:cs="Times New Roman"/>
          <w:b w:val="0"/>
          <w:bCs w:val="0"/>
          <w:color w:val="FF0000"/>
          <w:sz w:val="24"/>
          <w:szCs w:val="24"/>
          <w:lang w:eastAsia="zh-CN"/>
        </w:rPr>
        <w:t>矿石边采边运，不在矿区堆存。采矿废石临时堆放于硐口的矿石堆棚，用于开采完毕的矿洞的井下填充。</w:t>
      </w:r>
      <w:r>
        <w:rPr>
          <w:rFonts w:hint="default" w:ascii="Times New Roman" w:hAnsi="Times New Roman" w:eastAsia="宋体" w:cs="Times New Roman"/>
          <w:b w:val="0"/>
          <w:bCs w:val="0"/>
          <w:color w:val="FF0000"/>
          <w:sz w:val="24"/>
          <w:szCs w:val="24"/>
          <w:lang w:eastAsia="zh-CN"/>
        </w:rPr>
        <w:t>废水治理措施</w:t>
      </w:r>
      <w:r>
        <w:rPr>
          <w:rFonts w:hint="default" w:ascii="Times New Roman" w:hAnsi="Times New Roman" w:eastAsia="宋体" w:cs="Times New Roman"/>
          <w:b w:val="0"/>
          <w:bCs w:val="0"/>
          <w:color w:val="FF0000"/>
          <w:sz w:val="24"/>
          <w:szCs w:val="24"/>
          <w:lang w:val="en-US" w:eastAsia="zh-CN"/>
        </w:rPr>
        <w:t>PD760已建成的15m</w:t>
      </w:r>
      <w:r>
        <w:rPr>
          <w:rFonts w:hint="default" w:ascii="Times New Roman" w:hAnsi="Times New Roman" w:eastAsia="宋体" w:cs="Times New Roman"/>
          <w:b w:val="0"/>
          <w:bCs w:val="0"/>
          <w:color w:val="FF0000"/>
          <w:sz w:val="24"/>
          <w:szCs w:val="24"/>
          <w:vertAlign w:val="superscript"/>
          <w:lang w:val="en-US" w:eastAsia="zh-CN"/>
        </w:rPr>
        <w:t>3</w:t>
      </w:r>
      <w:r>
        <w:rPr>
          <w:rFonts w:hint="default" w:ascii="Times New Roman" w:hAnsi="Times New Roman" w:eastAsia="宋体" w:cs="Times New Roman"/>
          <w:b w:val="0"/>
          <w:bCs w:val="0"/>
          <w:color w:val="FF0000"/>
          <w:sz w:val="24"/>
          <w:szCs w:val="24"/>
          <w:lang w:val="en-US" w:eastAsia="zh-CN"/>
        </w:rPr>
        <w:t>废水沉淀池满足环评要求的6</w:t>
      </w:r>
      <w:r>
        <w:rPr>
          <w:rFonts w:hint="default" w:ascii="Times New Roman" w:hAnsi="Times New Roman" w:eastAsia="宋体" w:cs="Times New Roman"/>
          <w:b w:val="0"/>
          <w:bCs w:val="0"/>
          <w:color w:val="FF0000"/>
          <w:sz w:val="24"/>
          <w:szCs w:val="24"/>
        </w:rPr>
        <w:t>m</w:t>
      </w:r>
      <w:r>
        <w:rPr>
          <w:rFonts w:hint="default" w:ascii="Times New Roman" w:hAnsi="Times New Roman" w:eastAsia="宋体" w:cs="Times New Roman"/>
          <w:b w:val="0"/>
          <w:bCs w:val="0"/>
          <w:color w:val="FF0000"/>
          <w:sz w:val="24"/>
          <w:szCs w:val="24"/>
          <w:vertAlign w:val="superscript"/>
        </w:rPr>
        <w:t>3</w:t>
      </w:r>
      <w:r>
        <w:rPr>
          <w:rFonts w:hint="default" w:ascii="Times New Roman" w:hAnsi="Times New Roman" w:eastAsia="宋体" w:cs="Times New Roman"/>
          <w:b w:val="0"/>
          <w:bCs w:val="0"/>
          <w:color w:val="FF0000"/>
          <w:sz w:val="24"/>
          <w:szCs w:val="24"/>
        </w:rPr>
        <w:t>沉淀池</w:t>
      </w:r>
      <w:r>
        <w:rPr>
          <w:rFonts w:hint="eastAsia" w:ascii="Times New Roman" w:hAnsi="Times New Roman" w:eastAsia="宋体" w:cs="Times New Roman"/>
          <w:b w:val="0"/>
          <w:bCs w:val="0"/>
          <w:color w:val="FF0000"/>
          <w:sz w:val="24"/>
          <w:szCs w:val="24"/>
          <w:lang w:eastAsia="zh-CN"/>
        </w:rPr>
        <w:t>容积的要求，扩建项目需要按照其防渗要求和三级沉淀池的结构对现有的沉淀池进行整改</w:t>
      </w:r>
      <w:r>
        <w:rPr>
          <w:rFonts w:hint="default" w:ascii="Times New Roman" w:hAnsi="Times New Roman" w:eastAsia="宋体" w:cs="Times New Roman"/>
          <w:b w:val="0"/>
          <w:bCs w:val="0"/>
          <w:color w:val="FF0000"/>
          <w:sz w:val="24"/>
          <w:szCs w:val="24"/>
          <w:lang w:eastAsia="zh-CN"/>
        </w:rPr>
        <w:t>。生活垃圾依托现有的垃圾桶，危险废物暂存间建设不规范，不满足依托要求，需要按照</w:t>
      </w:r>
      <w:r>
        <w:rPr>
          <w:rFonts w:hint="default" w:ascii="Times New Roman" w:hAnsi="Times New Roman" w:eastAsia="宋体" w:cs="Times New Roman"/>
          <w:b w:val="0"/>
          <w:bCs w:val="0"/>
          <w:color w:val="FF0000"/>
          <w:sz w:val="24"/>
          <w:szCs w:val="24"/>
        </w:rPr>
        <w:t>《危险废物贮存污染控制标准》（GB18597-2001）</w:t>
      </w:r>
      <w:r>
        <w:rPr>
          <w:rFonts w:hint="default" w:ascii="Times New Roman" w:hAnsi="Times New Roman" w:eastAsia="宋体" w:cs="Times New Roman"/>
          <w:b w:val="0"/>
          <w:bCs w:val="0"/>
          <w:color w:val="FF0000"/>
          <w:sz w:val="24"/>
          <w:szCs w:val="24"/>
          <w:lang w:eastAsia="zh-CN"/>
        </w:rPr>
        <w:t>整改。</w:t>
      </w:r>
      <w:r>
        <w:rPr>
          <w:rFonts w:hint="default" w:ascii="Times New Roman" w:hAnsi="Times New Roman" w:eastAsia="宋体" w:cs="Times New Roman"/>
          <w:b w:val="0"/>
          <w:bCs w:val="0"/>
          <w:color w:val="FF0000"/>
          <w:sz w:val="24"/>
          <w:szCs w:val="24"/>
          <w:lang w:val="en-US" w:eastAsia="zh-CN"/>
        </w:rPr>
        <w:t>K1</w:t>
      </w:r>
      <w:r>
        <w:rPr>
          <w:rFonts w:hint="default" w:ascii="Times New Roman" w:hAnsi="Times New Roman" w:eastAsia="宋体" w:cs="Times New Roman"/>
          <w:b w:val="0"/>
          <w:bCs w:val="0"/>
          <w:color w:val="FF0000"/>
          <w:sz w:val="24"/>
          <w:szCs w:val="24"/>
          <w:lang w:eastAsia="zh-CN"/>
        </w:rPr>
        <w:t>消防水池容积不满足本项目安全设施设计的要求，不满足依托条件，应再建设一个</w:t>
      </w:r>
      <w:r>
        <w:rPr>
          <w:rFonts w:hint="default" w:ascii="Times New Roman" w:hAnsi="Times New Roman" w:eastAsia="宋体" w:cs="Times New Roman"/>
          <w:b w:val="0"/>
          <w:bCs w:val="0"/>
          <w:color w:val="FF0000"/>
          <w:sz w:val="24"/>
          <w:szCs w:val="24"/>
          <w:lang w:val="en-US" w:eastAsia="zh-CN"/>
        </w:rPr>
        <w:t>1</w:t>
      </w:r>
      <w:r>
        <w:rPr>
          <w:rFonts w:hint="default" w:ascii="Times New Roman" w:hAnsi="Times New Roman" w:eastAsia="宋体" w:cs="Times New Roman"/>
          <w:b w:val="0"/>
          <w:bCs w:val="0"/>
          <w:color w:val="FF0000"/>
          <w:sz w:val="24"/>
          <w:szCs w:val="24"/>
        </w:rPr>
        <w:t>00m</w:t>
      </w:r>
      <w:r>
        <w:rPr>
          <w:rFonts w:hint="default" w:ascii="Times New Roman" w:hAnsi="Times New Roman" w:eastAsia="宋体" w:cs="Times New Roman"/>
          <w:b w:val="0"/>
          <w:bCs w:val="0"/>
          <w:color w:val="FF0000"/>
          <w:sz w:val="24"/>
          <w:szCs w:val="24"/>
          <w:vertAlign w:val="superscript"/>
        </w:rPr>
        <w:t>3</w:t>
      </w:r>
      <w:r>
        <w:rPr>
          <w:rFonts w:hint="default" w:ascii="Times New Roman" w:hAnsi="Times New Roman" w:eastAsia="宋体" w:cs="Times New Roman"/>
          <w:b w:val="0"/>
          <w:bCs w:val="0"/>
          <w:color w:val="FF0000"/>
          <w:sz w:val="24"/>
          <w:szCs w:val="24"/>
          <w:lang w:val="en-US" w:eastAsia="zh-CN"/>
        </w:rPr>
        <w:t>的水池以满足消防要求。</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jc w:val="left"/>
        <w:textAlignment w:val="auto"/>
        <w:outlineLvl w:val="9"/>
        <w:rPr>
          <w:rFonts w:hint="eastAsia" w:ascii="Times New Roman" w:hAnsi="Times New Roman" w:eastAsia="宋体" w:cs="Times New Roman"/>
          <w:b/>
          <w:bCs/>
          <w:color w:val="FF0000"/>
          <w:sz w:val="24"/>
          <w:szCs w:val="24"/>
          <w:lang w:val="en-US" w:eastAsia="zh-CN"/>
        </w:rPr>
      </w:pPr>
      <w:r>
        <w:rPr>
          <w:rFonts w:hint="eastAsia" w:ascii="Times New Roman" w:hAnsi="Times New Roman" w:eastAsia="宋体" w:cs="Times New Roman"/>
          <w:b/>
          <w:bCs/>
          <w:color w:val="FF0000"/>
          <w:sz w:val="24"/>
          <w:szCs w:val="24"/>
          <w:lang w:val="en-US" w:eastAsia="zh-CN"/>
        </w:rPr>
        <w:t>项目安全措施的六大系统：</w:t>
      </w:r>
    </w:p>
    <w:p>
      <w:pPr>
        <w:keepNext w:val="0"/>
        <w:keepLines w:val="0"/>
        <w:pageBreakBefore w:val="0"/>
        <w:widowControl w:val="0"/>
        <w:numPr>
          <w:ilvl w:val="0"/>
          <w:numId w:val="11"/>
        </w:numPr>
        <w:kinsoku w:val="0"/>
        <w:wordWrap/>
        <w:overflowPunct w:val="0"/>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lang w:val="en-US" w:eastAsia="zh-CN"/>
        </w:rPr>
        <w:t>监测监控系统：</w:t>
      </w:r>
      <w:r>
        <w:rPr>
          <w:rFonts w:hint="eastAsia" w:ascii="仿宋_GB2312" w:cs="宋体"/>
          <w:color w:val="FF0000"/>
          <w:sz w:val="24"/>
          <w:szCs w:val="24"/>
        </w:rPr>
        <w:t>该矿井开采系统简单，规模不大，设计井下监测监控均采用便携式设备。矿山应配置足够的便携式气体检测报警仪，便携式气体检测报警仪应能测量一氧化碳、氧气、二氧化氮浓度，并具有报警参数设置和声光报警功能。</w:t>
      </w:r>
    </w:p>
    <w:p>
      <w:pPr>
        <w:keepNext w:val="0"/>
        <w:keepLines w:val="0"/>
        <w:pageBreakBefore w:val="0"/>
        <w:widowControl w:val="0"/>
        <w:numPr>
          <w:ilvl w:val="0"/>
          <w:numId w:val="11"/>
        </w:numPr>
        <w:kinsoku w:val="0"/>
        <w:wordWrap/>
        <w:overflowPunct w:val="0"/>
        <w:topLinePunct w:val="0"/>
        <w:autoSpaceDE w:val="0"/>
        <w:autoSpaceDN w:val="0"/>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井下人员定位系统</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应在各坑口建立一套作业人员出入矿井信息管理系统，人员出入井信息管理系统应保证能准确掌握井下各个区域作业人员的数量</w:t>
      </w:r>
      <w:r>
        <w:rPr>
          <w:rFonts w:hint="eastAsia" w:ascii="Times New Roman" w:hAnsi="Times New Roman" w:eastAsia="宋体" w:cs="Times New Roman"/>
          <w:color w:val="FF0000"/>
          <w:sz w:val="24"/>
          <w:szCs w:val="24"/>
          <w:lang w:eastAsia="zh-CN"/>
        </w:rPr>
        <w:t>。</w:t>
      </w:r>
    </w:p>
    <w:p>
      <w:pPr>
        <w:keepNext w:val="0"/>
        <w:keepLines w:val="0"/>
        <w:pageBreakBefore w:val="0"/>
        <w:widowControl w:val="0"/>
        <w:numPr>
          <w:ilvl w:val="0"/>
          <w:numId w:val="11"/>
        </w:numPr>
        <w:kinsoku w:val="0"/>
        <w:wordWrap/>
        <w:overflowPunct w:val="0"/>
        <w:topLinePunct w:val="0"/>
        <w:autoSpaceDE w:val="0"/>
        <w:autoSpaceDN w:val="0"/>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紧急避险系统</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采用阶段平硐开拓，且各生产中段</w:t>
      </w:r>
      <w:r>
        <w:rPr>
          <w:rFonts w:hint="default" w:ascii="Times New Roman" w:hAnsi="Times New Roman" w:eastAsia="宋体" w:cs="Times New Roman"/>
          <w:color w:val="FF0000"/>
          <w:kern w:val="0"/>
          <w:sz w:val="24"/>
          <w:szCs w:val="24"/>
        </w:rPr>
        <w:t>距中段安全出口实际距离均小于2000m，根据《</w:t>
      </w:r>
      <w:r>
        <w:rPr>
          <w:rFonts w:hint="default" w:ascii="Times New Roman" w:hAnsi="Times New Roman" w:eastAsia="宋体" w:cs="Times New Roman"/>
          <w:color w:val="FF0000"/>
          <w:sz w:val="24"/>
          <w:szCs w:val="24"/>
        </w:rPr>
        <w:t>金属非金属地下矿山紧急避险系统建设规范》（AQ2033-2011），矿山开采中可不需设置井下紧急避险设施中的避灾硐室</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但矿山应设以下避险设施：</w:t>
      </w:r>
      <w:r>
        <w:rPr>
          <w:rFonts w:hint="eastAsia" w:ascii="Times New Roman" w:hAnsi="Times New Roman" w:eastAsia="宋体" w:cs="Times New Roman"/>
          <w:color w:val="FF0000"/>
          <w:sz w:val="24"/>
          <w:szCs w:val="24"/>
          <w:lang w:eastAsia="zh-CN"/>
        </w:rPr>
        <w:t>编制</w:t>
      </w:r>
      <w:r>
        <w:rPr>
          <w:rFonts w:hint="default" w:ascii="Times New Roman" w:hAnsi="Times New Roman" w:eastAsia="宋体" w:cs="Times New Roman"/>
          <w:color w:val="FF0000"/>
          <w:sz w:val="24"/>
          <w:szCs w:val="24"/>
        </w:rPr>
        <w:t>应急预案，</w:t>
      </w:r>
      <w:r>
        <w:rPr>
          <w:rFonts w:hint="eastAsia" w:ascii="Times New Roman" w:hAnsi="Times New Roman" w:eastAsia="宋体" w:cs="Times New Roman"/>
          <w:color w:val="FF0000"/>
          <w:sz w:val="24"/>
          <w:szCs w:val="24"/>
          <w:lang w:eastAsia="zh-CN"/>
        </w:rPr>
        <w:t>并</w:t>
      </w:r>
      <w:r>
        <w:rPr>
          <w:rFonts w:hint="default" w:ascii="Times New Roman" w:hAnsi="Times New Roman" w:eastAsia="宋体" w:cs="Times New Roman"/>
          <w:color w:val="FF0000"/>
          <w:sz w:val="24"/>
          <w:szCs w:val="24"/>
        </w:rPr>
        <w:t>演练。</w:t>
      </w:r>
      <w:r>
        <w:rPr>
          <w:rFonts w:hint="eastAsia" w:ascii="Times New Roman" w:hAnsi="Times New Roman" w:eastAsia="宋体" w:cs="Times New Roman"/>
          <w:color w:val="FF0000"/>
          <w:sz w:val="24"/>
          <w:szCs w:val="24"/>
          <w:lang w:eastAsia="zh-CN"/>
        </w:rPr>
        <w:t>配备</w:t>
      </w:r>
      <w:r>
        <w:rPr>
          <w:rFonts w:hint="default" w:ascii="Times New Roman" w:hAnsi="Times New Roman" w:eastAsia="宋体" w:cs="Times New Roman"/>
          <w:color w:val="FF0000"/>
          <w:kern w:val="0"/>
          <w:sz w:val="24"/>
          <w:szCs w:val="24"/>
        </w:rPr>
        <w:t>自救器，</w:t>
      </w:r>
      <w:r>
        <w:rPr>
          <w:rFonts w:hint="default" w:ascii="Times New Roman" w:hAnsi="Times New Roman" w:eastAsia="宋体" w:cs="Times New Roman"/>
          <w:color w:val="FF0000"/>
          <w:sz w:val="24"/>
          <w:szCs w:val="24"/>
        </w:rPr>
        <w:t>所有入井人员须携带自救器</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eastAsia="zh-CN"/>
        </w:rPr>
        <w:t>绘制</w:t>
      </w:r>
      <w:r>
        <w:rPr>
          <w:rFonts w:hint="default" w:ascii="Times New Roman" w:hAnsi="Times New Roman" w:eastAsia="宋体" w:cs="Times New Roman"/>
          <w:color w:val="FF0000"/>
          <w:sz w:val="24"/>
          <w:szCs w:val="24"/>
        </w:rPr>
        <w:t>避灾路线图</w:t>
      </w:r>
      <w:r>
        <w:rPr>
          <w:rFonts w:hint="default" w:ascii="Times New Roman" w:hAnsi="Times New Roman" w:eastAsia="宋体" w:cs="Times New Roman"/>
          <w:color w:val="FF0000"/>
          <w:sz w:val="24"/>
          <w:szCs w:val="24"/>
          <w:lang w:eastAsia="zh-CN"/>
        </w:rPr>
        <w:t>等。</w:t>
      </w:r>
    </w:p>
    <w:p>
      <w:pPr>
        <w:keepNext w:val="0"/>
        <w:keepLines w:val="0"/>
        <w:pageBreakBefore w:val="0"/>
        <w:widowControl w:val="0"/>
        <w:numPr>
          <w:ilvl w:val="0"/>
          <w:numId w:val="11"/>
        </w:numPr>
        <w:kinsoku w:val="0"/>
        <w:wordWrap/>
        <w:overflowPunct w:val="0"/>
        <w:topLinePunct w:val="0"/>
        <w:autoSpaceDE w:val="0"/>
        <w:autoSpaceDN w:val="0"/>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压风自救系统</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采用阶段平硐开拓，根据《金属非金属地下矿山压风自救系统建设规范》（AQ2034-2011），本矿山井下将不设紧急避险系统中的避灾硐室</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建议对本矿山压风自救系统设计如下：压风自救利用地面供风的螺杆空压机；压风管路利用矿山供风的无缝钢管；</w:t>
      </w:r>
      <w:r>
        <w:rPr>
          <w:rFonts w:hint="default" w:ascii="Times New Roman" w:hAnsi="Times New Roman" w:eastAsia="宋体" w:cs="Times New Roman"/>
          <w:color w:val="FF0000"/>
          <w:sz w:val="24"/>
          <w:szCs w:val="24"/>
          <w:lang w:eastAsia="zh-CN"/>
        </w:rPr>
        <w:t>加强压风系统的日常维护与等。</w:t>
      </w:r>
    </w:p>
    <w:p>
      <w:pPr>
        <w:keepNext w:val="0"/>
        <w:keepLines w:val="0"/>
        <w:pageBreakBefore w:val="0"/>
        <w:widowControl w:val="0"/>
        <w:numPr>
          <w:ilvl w:val="0"/>
          <w:numId w:val="11"/>
        </w:numPr>
        <w:kinsoku w:val="0"/>
        <w:wordWrap/>
        <w:overflowPunct w:val="0"/>
        <w:topLinePunct w:val="0"/>
        <w:autoSpaceDE w:val="0"/>
        <w:autoSpaceDN w:val="0"/>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供水施救系统</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根据《金属非金属地下矿山供水施救系统建设规范》（AQ2035-2011），本矿山井下将不设紧急避险系统中的避灾硐室，结合本矿山开采的特点，建议</w:t>
      </w:r>
      <w:r>
        <w:rPr>
          <w:rFonts w:hint="eastAsia" w:ascii="Times New Roman" w:hAnsi="Times New Roman" w:eastAsia="宋体" w:cs="Times New Roman"/>
          <w:color w:val="FF0000"/>
          <w:sz w:val="24"/>
          <w:szCs w:val="24"/>
          <w:lang w:eastAsia="zh-CN"/>
        </w:rPr>
        <w:t>供水施救系统</w:t>
      </w:r>
      <w:r>
        <w:rPr>
          <w:rFonts w:hint="default" w:ascii="Times New Roman" w:hAnsi="Times New Roman" w:eastAsia="宋体" w:cs="Times New Roman"/>
          <w:color w:val="FF0000"/>
          <w:sz w:val="24"/>
          <w:szCs w:val="24"/>
        </w:rPr>
        <w:t>如下：供水水源为饮水工程静压供水；供水管路利用生产供水的无缝钢管；</w:t>
      </w:r>
      <w:r>
        <w:rPr>
          <w:rFonts w:hint="default" w:ascii="Times New Roman" w:hAnsi="Times New Roman" w:eastAsia="宋体" w:cs="Times New Roman"/>
          <w:color w:val="FF0000"/>
          <w:sz w:val="24"/>
          <w:szCs w:val="24"/>
          <w:lang w:eastAsia="zh-CN"/>
        </w:rPr>
        <w:t>加强</w:t>
      </w:r>
      <w:r>
        <w:rPr>
          <w:rFonts w:hint="default" w:ascii="Times New Roman" w:hAnsi="Times New Roman" w:eastAsia="宋体" w:cs="Times New Roman"/>
          <w:color w:val="FF0000"/>
          <w:sz w:val="24"/>
          <w:szCs w:val="24"/>
        </w:rPr>
        <w:t>供水系统日常维护与管理</w:t>
      </w:r>
      <w:r>
        <w:rPr>
          <w:rFonts w:hint="default" w:ascii="Times New Roman" w:hAnsi="Times New Roman" w:eastAsia="宋体" w:cs="Times New Roman"/>
          <w:color w:val="FF0000"/>
          <w:sz w:val="24"/>
          <w:szCs w:val="24"/>
          <w:lang w:eastAsia="zh-CN"/>
        </w:rPr>
        <w:t>等。</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rPr>
        <w:t>、井下通信联络系统</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建设完善井下通信联络系统。地面调度室至井下各中段采区、装卸矿点、主通风机房、爆破时撤离人员集中地点等，应设有可靠的通信联络系统。矿井井筒通讯电缆线路一般分设两条通讯电缆，从不同的井筒进入井下配线设备，其中任何一条通讯电缆发生故障，另一条通讯电缆的容量应能担负井下各通讯终端的通讯能力。井下通讯终端设备，应具有防水、防腐、防尘功能</w:t>
      </w:r>
      <w:r>
        <w:rPr>
          <w:rFonts w:hint="default" w:ascii="Times New Roman" w:hAnsi="Times New Roman" w:eastAsia="宋体" w:cs="Times New Roman"/>
          <w:color w:val="FF0000"/>
          <w:sz w:val="24"/>
          <w:szCs w:val="24"/>
          <w:lang w:eastAsia="zh-CN"/>
        </w:rPr>
        <w:t>等。</w:t>
      </w:r>
    </w:p>
    <w:p>
      <w:pPr>
        <w:pStyle w:val="5"/>
        <w:rPr>
          <w:rFonts w:hint="default"/>
          <w:color w:val="000000" w:themeColor="text1"/>
          <w:lang w:val="en-US" w:eastAsia="zh-CN"/>
        </w:rPr>
      </w:pPr>
      <w:r>
        <w:rPr>
          <w:rFonts w:hint="eastAsia"/>
          <w:color w:val="000000" w:themeColor="text1"/>
          <w:lang w:val="en-US" w:eastAsia="zh-CN"/>
        </w:rPr>
        <w:t>扩建项目主要生产设备</w:t>
      </w:r>
      <w:bookmarkEnd w:id="204"/>
      <w:bookmarkEnd w:id="205"/>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本项目现有工程仅对</w:t>
      </w:r>
      <w:r>
        <w:rPr>
          <w:rFonts w:hint="eastAsia" w:ascii="Times New Roman" w:hAnsi="Times New Roman" w:eastAsia="宋体" w:cs="Times New Roman"/>
          <w:color w:val="000000" w:themeColor="text1"/>
          <w:sz w:val="24"/>
          <w:szCs w:val="24"/>
          <w:lang w:val="en-US" w:eastAsia="zh-CN"/>
        </w:rPr>
        <w:t>K1进行开采，K1目前处于停产阶段，由于部分设备淘汰更新，扩建项目需要对原有项目空压机新增。</w:t>
      </w:r>
      <w:r>
        <w:rPr>
          <w:rFonts w:hint="eastAsia" w:ascii="Times New Roman" w:hAnsi="Times New Roman" w:eastAsia="宋体" w:cs="Times New Roman"/>
          <w:color w:val="000000" w:themeColor="text1"/>
          <w:sz w:val="24"/>
          <w:szCs w:val="24"/>
          <w:lang w:eastAsia="zh-CN"/>
        </w:rPr>
        <w:t>详见表</w:t>
      </w:r>
      <w:r>
        <w:rPr>
          <w:rFonts w:hint="eastAsia" w:ascii="Times New Roman" w:hAnsi="Times New Roman" w:eastAsia="宋体" w:cs="Times New Roman"/>
          <w:color w:val="000000" w:themeColor="text1"/>
          <w:sz w:val="24"/>
          <w:szCs w:val="24"/>
          <w:lang w:val="en-US" w:eastAsia="zh-CN"/>
        </w:rPr>
        <w:t>3.2-2。</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0" w:firstLineChars="0"/>
        <w:jc w:val="center"/>
        <w:textAlignment w:val="auto"/>
        <w:rPr>
          <w:rFonts w:hint="eastAsia" w:ascii="Times New Roman" w:hAnsi="Times New Roman" w:eastAsia="宋体" w:cs="Times New Roman"/>
          <w:b/>
          <w:bCs w:val="0"/>
          <w:color w:val="FF0000"/>
          <w:sz w:val="21"/>
          <w:szCs w:val="21"/>
          <w:lang w:eastAsia="zh-CN"/>
        </w:rPr>
      </w:pPr>
      <w:r>
        <w:rPr>
          <w:rFonts w:hint="default" w:ascii="Times New Roman" w:hAnsi="Times New Roman" w:eastAsia="宋体" w:cs="Times New Roman"/>
          <w:b/>
          <w:bCs w:val="0"/>
          <w:color w:val="FF0000"/>
          <w:sz w:val="21"/>
          <w:szCs w:val="21"/>
        </w:rPr>
        <w:t>表3.</w:t>
      </w:r>
      <w:r>
        <w:rPr>
          <w:rFonts w:hint="eastAsia" w:ascii="Times New Roman" w:hAnsi="Times New Roman" w:eastAsia="宋体" w:cs="Times New Roman"/>
          <w:b/>
          <w:bCs w:val="0"/>
          <w:color w:val="FF0000"/>
          <w:sz w:val="21"/>
          <w:szCs w:val="21"/>
          <w:lang w:val="en-US" w:eastAsia="zh-CN"/>
        </w:rPr>
        <w:t>2</w:t>
      </w:r>
      <w:r>
        <w:rPr>
          <w:rFonts w:hint="default" w:ascii="Times New Roman" w:hAnsi="Times New Roman" w:eastAsia="宋体" w:cs="Times New Roman"/>
          <w:b/>
          <w:bCs w:val="0"/>
          <w:color w:val="FF0000"/>
          <w:sz w:val="21"/>
          <w:szCs w:val="21"/>
        </w:rPr>
        <w:t xml:space="preserve">-2  </w:t>
      </w:r>
      <w:r>
        <w:rPr>
          <w:rFonts w:hint="eastAsia" w:ascii="Times New Roman" w:hAnsi="Times New Roman" w:eastAsia="宋体" w:cs="Times New Roman"/>
          <w:b/>
          <w:bCs w:val="0"/>
          <w:color w:val="FF0000"/>
          <w:sz w:val="21"/>
          <w:szCs w:val="21"/>
          <w:lang w:eastAsia="zh-CN"/>
        </w:rPr>
        <w:t>扩建</w:t>
      </w:r>
      <w:r>
        <w:rPr>
          <w:rFonts w:hint="default" w:ascii="Times New Roman" w:hAnsi="Times New Roman" w:eastAsia="宋体" w:cs="Times New Roman"/>
          <w:b/>
          <w:bCs w:val="0"/>
          <w:color w:val="FF0000"/>
          <w:sz w:val="21"/>
          <w:szCs w:val="21"/>
        </w:rPr>
        <w:t>主要生产设备</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805"/>
        <w:gridCol w:w="2513"/>
        <w:gridCol w:w="702"/>
        <w:gridCol w:w="1310"/>
        <w:gridCol w:w="1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26"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序号</w:t>
            </w:r>
          </w:p>
        </w:tc>
        <w:tc>
          <w:tcPr>
            <w:tcW w:w="1805"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名称</w:t>
            </w:r>
          </w:p>
        </w:tc>
        <w:tc>
          <w:tcPr>
            <w:tcW w:w="2513"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规格型号</w:t>
            </w:r>
          </w:p>
        </w:tc>
        <w:tc>
          <w:tcPr>
            <w:tcW w:w="702"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单位</w:t>
            </w:r>
          </w:p>
        </w:tc>
        <w:tc>
          <w:tcPr>
            <w:tcW w:w="1310"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数量</w:t>
            </w:r>
          </w:p>
        </w:tc>
        <w:tc>
          <w:tcPr>
            <w:tcW w:w="1801"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826"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1</w:t>
            </w:r>
          </w:p>
        </w:tc>
        <w:tc>
          <w:tcPr>
            <w:tcW w:w="1805"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空压机</w:t>
            </w:r>
          </w:p>
        </w:tc>
        <w:tc>
          <w:tcPr>
            <w:tcW w:w="2513" w:type="dxa"/>
            <w:tcBorders>
              <w:tl2br w:val="nil"/>
              <w:tr2bl w:val="nil"/>
            </w:tcBorders>
            <w:vAlign w:val="top"/>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螺杆式50A6.2</w:t>
            </w:r>
          </w:p>
        </w:tc>
        <w:tc>
          <w:tcPr>
            <w:tcW w:w="702"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台</w:t>
            </w:r>
          </w:p>
        </w:tc>
        <w:tc>
          <w:tcPr>
            <w:tcW w:w="1310"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default" w:ascii="Times New Roman" w:hAnsi="Times New Roman" w:eastAsia="宋体" w:cs="Times New Roman"/>
                <w:color w:val="FF0000"/>
                <w:szCs w:val="21"/>
              </w:rPr>
              <w:t>2</w:t>
            </w:r>
            <w:r>
              <w:rPr>
                <w:rFonts w:hint="eastAsia" w:ascii="Times New Roman" w:hAnsi="Times New Roman" w:eastAsia="宋体" w:cs="Times New Roman"/>
                <w:color w:val="FF0000"/>
                <w:szCs w:val="21"/>
                <w:lang w:eastAsia="zh-CN"/>
              </w:rPr>
              <w:t>（</w:t>
            </w:r>
            <w:r>
              <w:rPr>
                <w:rFonts w:hint="default" w:ascii="Times New Roman" w:hAnsi="Times New Roman" w:eastAsia="宋体" w:cs="Times New Roman"/>
                <w:color w:val="FF0000"/>
                <w:szCs w:val="21"/>
              </w:rPr>
              <w:t>1用1备</w:t>
            </w:r>
            <w:r>
              <w:rPr>
                <w:rFonts w:hint="eastAsia" w:ascii="Times New Roman" w:hAnsi="Times New Roman" w:eastAsia="宋体" w:cs="Times New Roman"/>
                <w:color w:val="FF0000"/>
                <w:szCs w:val="21"/>
                <w:lang w:eastAsia="zh-CN"/>
              </w:rPr>
              <w:t>）</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6"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2</w:t>
            </w:r>
          </w:p>
        </w:tc>
        <w:tc>
          <w:tcPr>
            <w:tcW w:w="1805"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主扇风机</w:t>
            </w:r>
          </w:p>
        </w:tc>
        <w:tc>
          <w:tcPr>
            <w:tcW w:w="2513"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FKZ-№10型</w:t>
            </w:r>
          </w:p>
        </w:tc>
        <w:tc>
          <w:tcPr>
            <w:tcW w:w="702"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台</w:t>
            </w:r>
          </w:p>
        </w:tc>
        <w:tc>
          <w:tcPr>
            <w:tcW w:w="1310"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1</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6"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3</w:t>
            </w:r>
          </w:p>
        </w:tc>
        <w:tc>
          <w:tcPr>
            <w:tcW w:w="1805"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eastAsia="zh-CN"/>
              </w:rPr>
              <w:t>局扇</w:t>
            </w:r>
          </w:p>
        </w:tc>
        <w:tc>
          <w:tcPr>
            <w:tcW w:w="2513"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702"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eastAsia="zh-CN"/>
              </w:rPr>
              <w:t>台</w:t>
            </w:r>
          </w:p>
        </w:tc>
        <w:tc>
          <w:tcPr>
            <w:tcW w:w="1310"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26"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val="en-US" w:eastAsia="zh-CN"/>
              </w:rPr>
              <w:t>4</w:t>
            </w:r>
          </w:p>
        </w:tc>
        <w:tc>
          <w:tcPr>
            <w:tcW w:w="1805" w:type="dxa"/>
            <w:tcBorders>
              <w:tl2br w:val="nil"/>
              <w:tr2bl w:val="nil"/>
            </w:tcBorders>
          </w:tcPr>
          <w:p>
            <w:pPr>
              <w:pStyle w:val="42"/>
              <w:adjustRightInd w:val="0"/>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凿岩机</w:t>
            </w:r>
          </w:p>
        </w:tc>
        <w:tc>
          <w:tcPr>
            <w:tcW w:w="2513" w:type="dxa"/>
            <w:tcBorders>
              <w:tl2br w:val="nil"/>
              <w:tr2bl w:val="nil"/>
            </w:tcBorders>
          </w:tcPr>
          <w:p>
            <w:pPr>
              <w:pStyle w:val="42"/>
              <w:adjustRightInd w:val="0"/>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YSP-45型</w:t>
            </w:r>
          </w:p>
        </w:tc>
        <w:tc>
          <w:tcPr>
            <w:tcW w:w="702"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台</w:t>
            </w:r>
          </w:p>
        </w:tc>
        <w:tc>
          <w:tcPr>
            <w:tcW w:w="1310"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val="en-US" w:eastAsia="zh-CN"/>
              </w:rPr>
              <w:t>2</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26"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val="en-US" w:eastAsia="zh-CN"/>
              </w:rPr>
              <w:t>5</w:t>
            </w:r>
          </w:p>
        </w:tc>
        <w:tc>
          <w:tcPr>
            <w:tcW w:w="1805"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装载机</w:t>
            </w:r>
          </w:p>
        </w:tc>
        <w:tc>
          <w:tcPr>
            <w:tcW w:w="2513"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柳工30</w:t>
            </w:r>
          </w:p>
        </w:tc>
        <w:tc>
          <w:tcPr>
            <w:tcW w:w="702"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台</w:t>
            </w:r>
          </w:p>
        </w:tc>
        <w:tc>
          <w:tcPr>
            <w:tcW w:w="1310"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1</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26" w:type="dxa"/>
            <w:tcBorders>
              <w:tl2br w:val="nil"/>
              <w:tr2bl w:val="nil"/>
            </w:tcBorders>
          </w:tcPr>
          <w:p>
            <w:pPr>
              <w:pStyle w:val="42"/>
              <w:adjustRightInd w:val="0"/>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val="en-US" w:eastAsia="zh-CN"/>
              </w:rPr>
              <w:t>6</w:t>
            </w:r>
          </w:p>
        </w:tc>
        <w:tc>
          <w:tcPr>
            <w:tcW w:w="1805"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柴油三轮车</w:t>
            </w:r>
          </w:p>
        </w:tc>
        <w:tc>
          <w:tcPr>
            <w:tcW w:w="2513"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7YP-1450B115</w:t>
            </w:r>
          </w:p>
        </w:tc>
        <w:tc>
          <w:tcPr>
            <w:tcW w:w="702"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台</w:t>
            </w:r>
          </w:p>
        </w:tc>
        <w:tc>
          <w:tcPr>
            <w:tcW w:w="1310" w:type="dxa"/>
            <w:tcBorders>
              <w:tl2br w:val="nil"/>
              <w:tr2bl w:val="nil"/>
            </w:tcBorders>
          </w:tcPr>
          <w:p>
            <w:pPr>
              <w:pStyle w:val="42"/>
              <w:adjustRightInd w:val="0"/>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2</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26"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7</w:t>
            </w:r>
          </w:p>
        </w:tc>
        <w:tc>
          <w:tcPr>
            <w:tcW w:w="1805" w:type="dxa"/>
            <w:tcBorders>
              <w:tl2br w:val="nil"/>
              <w:tr2bl w:val="nil"/>
            </w:tcBorders>
          </w:tcPr>
          <w:p>
            <w:pPr>
              <w:pStyle w:val="42"/>
              <w:adjustRightInd w:val="0"/>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自卸式汽车</w:t>
            </w:r>
          </w:p>
        </w:tc>
        <w:tc>
          <w:tcPr>
            <w:tcW w:w="2513"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702"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台</w:t>
            </w:r>
          </w:p>
        </w:tc>
        <w:tc>
          <w:tcPr>
            <w:tcW w:w="1310"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26"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8</w:t>
            </w:r>
          </w:p>
        </w:tc>
        <w:tc>
          <w:tcPr>
            <w:tcW w:w="1805"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扒沙机</w:t>
            </w:r>
          </w:p>
        </w:tc>
        <w:tc>
          <w:tcPr>
            <w:tcW w:w="2513"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702"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台</w:t>
            </w:r>
          </w:p>
        </w:tc>
        <w:tc>
          <w:tcPr>
            <w:tcW w:w="1310"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2台</w:t>
            </w:r>
          </w:p>
        </w:tc>
        <w:tc>
          <w:tcPr>
            <w:tcW w:w="1801" w:type="dxa"/>
            <w:tcBorders>
              <w:tl2br w:val="nil"/>
              <w:tr2bl w:val="nil"/>
            </w:tcBorders>
          </w:tcPr>
          <w:p>
            <w:pPr>
              <w:pStyle w:val="42"/>
              <w:adjustRightInd w:val="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eastAsia="zh-CN"/>
              </w:rPr>
              <w:t>依托现有</w:t>
            </w:r>
          </w:p>
        </w:tc>
      </w:tr>
    </w:tbl>
    <w:p>
      <w:pPr>
        <w:pStyle w:val="5"/>
        <w:keepNext w:val="0"/>
        <w:keepLines w:val="0"/>
        <w:pageBreakBefore w:val="0"/>
        <w:widowControl w:val="0"/>
        <w:kinsoku/>
        <w:wordWrap/>
        <w:overflowPunct/>
        <w:topLinePunct w:val="0"/>
        <w:autoSpaceDE/>
        <w:autoSpaceDN/>
        <w:bidi w:val="0"/>
        <w:textAlignment w:val="auto"/>
        <w:rPr>
          <w:rFonts w:hint="default"/>
          <w:color w:val="000000" w:themeColor="text1"/>
          <w:lang w:val="en-US" w:eastAsia="zh-CN"/>
        </w:rPr>
      </w:pPr>
      <w:bookmarkStart w:id="206" w:name="_Toc12783_WPSOffice_Level3"/>
      <w:bookmarkStart w:id="207" w:name="_Toc27731"/>
      <w:r>
        <w:rPr>
          <w:rFonts w:hint="eastAsia"/>
          <w:color w:val="000000" w:themeColor="text1"/>
          <w:lang w:val="en-US" w:eastAsia="zh-CN"/>
        </w:rPr>
        <w:t>扩建项目原辅材料用量情况</w:t>
      </w:r>
      <w:bookmarkEnd w:id="206"/>
      <w:bookmarkEnd w:id="207"/>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eastAsiaTheme="minorEastAsia"/>
          <w:b/>
          <w:bCs w:val="0"/>
          <w:color w:val="000000" w:themeColor="text1"/>
          <w:kern w:val="28"/>
          <w:sz w:val="21"/>
          <w:szCs w:val="21"/>
        </w:rPr>
      </w:pPr>
      <w:bookmarkStart w:id="208" w:name="_Toc1579"/>
      <w:r>
        <w:rPr>
          <w:rFonts w:hint="default" w:ascii="Times New Roman" w:hAnsi="Times New Roman" w:cs="Times New Roman" w:eastAsiaTheme="minorEastAsia"/>
          <w:b/>
          <w:bCs w:val="0"/>
          <w:color w:val="000000" w:themeColor="text1"/>
          <w:kern w:val="28"/>
          <w:sz w:val="21"/>
          <w:szCs w:val="21"/>
        </w:rPr>
        <w:t>表3.</w:t>
      </w:r>
      <w:r>
        <w:rPr>
          <w:rFonts w:hint="eastAsia" w:ascii="Times New Roman" w:hAnsi="Times New Roman" w:cs="Times New Roman"/>
          <w:b/>
          <w:bCs w:val="0"/>
          <w:color w:val="000000" w:themeColor="text1"/>
          <w:kern w:val="28"/>
          <w:sz w:val="21"/>
          <w:szCs w:val="21"/>
          <w:lang w:val="en-US" w:eastAsia="zh-CN"/>
        </w:rPr>
        <w:t>2</w:t>
      </w:r>
      <w:r>
        <w:rPr>
          <w:rFonts w:hint="default" w:ascii="Times New Roman" w:hAnsi="Times New Roman" w:cs="Times New Roman" w:eastAsiaTheme="minorEastAsia"/>
          <w:b/>
          <w:bCs w:val="0"/>
          <w:color w:val="000000" w:themeColor="text1"/>
          <w:kern w:val="28"/>
          <w:sz w:val="21"/>
          <w:szCs w:val="21"/>
        </w:rPr>
        <w:t>-</w:t>
      </w:r>
      <w:r>
        <w:rPr>
          <w:rFonts w:hint="eastAsia" w:ascii="Times New Roman" w:hAnsi="Times New Roman" w:cs="Times New Roman"/>
          <w:b/>
          <w:bCs w:val="0"/>
          <w:color w:val="000000" w:themeColor="text1"/>
          <w:kern w:val="28"/>
          <w:sz w:val="21"/>
          <w:szCs w:val="21"/>
          <w:lang w:val="en-US" w:eastAsia="zh-CN"/>
        </w:rPr>
        <w:t>3</w:t>
      </w:r>
      <w:r>
        <w:rPr>
          <w:rFonts w:hint="default" w:ascii="Times New Roman" w:hAnsi="Times New Roman" w:cs="Times New Roman" w:eastAsiaTheme="minorEastAsia"/>
          <w:b/>
          <w:bCs w:val="0"/>
          <w:color w:val="000000" w:themeColor="text1"/>
          <w:kern w:val="28"/>
          <w:sz w:val="21"/>
          <w:szCs w:val="21"/>
        </w:rPr>
        <w:t xml:space="preserve"> 原辅材料一览表</w:t>
      </w:r>
      <w:bookmarkEnd w:id="208"/>
    </w:p>
    <w:tbl>
      <w:tblPr>
        <w:tblStyle w:val="40"/>
        <w:tblW w:w="8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70"/>
        <w:gridCol w:w="1980"/>
        <w:gridCol w:w="2610"/>
        <w:gridCol w:w="1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名称</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年耗量</w:t>
            </w:r>
          </w:p>
        </w:tc>
        <w:tc>
          <w:tcPr>
            <w:tcW w:w="261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来源</w:t>
            </w: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重晶石及伴生毒重石</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5万t(扩建后年产能）</w:t>
            </w:r>
          </w:p>
        </w:tc>
        <w:tc>
          <w:tcPr>
            <w:tcW w:w="261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自采</w:t>
            </w: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项目采矿区矿山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2</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snapToGrid w:val="0"/>
                <w:color w:val="000000" w:themeColor="text1"/>
                <w:sz w:val="21"/>
                <w:szCs w:val="21"/>
              </w:rPr>
              <w:t>4857</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p>
        </w:tc>
        <w:tc>
          <w:tcPr>
            <w:tcW w:w="261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商品桶装水、山泉水</w:t>
            </w: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用于生产和生活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3</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电</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100000kw.h</w:t>
            </w:r>
          </w:p>
        </w:tc>
        <w:tc>
          <w:tcPr>
            <w:tcW w:w="261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10KV电路供电专线由赤岩变电所架设至矿区</w:t>
            </w: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用于生产和生活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雷管</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eastAsia" w:ascii="Times New Roman" w:hAnsi="Times New Roman" w:cs="Times New Roman"/>
                <w:color w:val="FF0000"/>
                <w:sz w:val="21"/>
                <w:szCs w:val="21"/>
                <w:lang w:val="en-US" w:eastAsia="zh-CN"/>
              </w:rPr>
              <w:t>10000</w:t>
            </w:r>
            <w:r>
              <w:rPr>
                <w:rFonts w:hint="default" w:ascii="Times New Roman" w:hAnsi="Times New Roman" w:cs="Times New Roman"/>
                <w:color w:val="FF0000"/>
                <w:sz w:val="21"/>
                <w:szCs w:val="21"/>
                <w:lang w:eastAsia="zh-CN"/>
              </w:rPr>
              <w:t>发</w:t>
            </w:r>
            <w:r>
              <w:rPr>
                <w:rFonts w:hint="default" w:ascii="Times New Roman" w:hAnsi="Times New Roman" w:cs="Times New Roman"/>
                <w:color w:val="FF0000"/>
                <w:sz w:val="21"/>
                <w:szCs w:val="21"/>
              </w:rPr>
              <w:t>/a</w:t>
            </w:r>
          </w:p>
        </w:tc>
        <w:tc>
          <w:tcPr>
            <w:tcW w:w="26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Cs/>
                <w:color w:val="FF0000"/>
                <w:sz w:val="21"/>
                <w:szCs w:val="21"/>
                <w:lang w:eastAsia="zh-CN"/>
              </w:rPr>
              <w:t>由外委爆破公司提供，并实施爆破</w:t>
            </w: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5</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炸药</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15t/a</w:t>
            </w:r>
          </w:p>
        </w:tc>
        <w:tc>
          <w:tcPr>
            <w:tcW w:w="26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eastAsia" w:ascii="仿宋_GB2312"/>
                <w:color w:val="FF0000"/>
              </w:rPr>
              <w:t>单位炸药消耗量0.30kg/t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_GB2312"/>
                <w:color w:val="FF0000"/>
                <w:lang w:val="en-US" w:eastAsia="zh-CN"/>
              </w:rPr>
            </w:pPr>
            <w:r>
              <w:rPr>
                <w:rFonts w:hint="eastAsia" w:ascii="仿宋_GB2312"/>
                <w:color w:val="FF0000"/>
                <w:lang w:val="en-US" w:eastAsia="zh-CN"/>
              </w:rPr>
              <w:t>6</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_GB2312"/>
                <w:color w:val="FF0000"/>
                <w:lang w:eastAsia="zh-CN"/>
              </w:rPr>
            </w:pPr>
            <w:r>
              <w:rPr>
                <w:rFonts w:hint="eastAsia" w:ascii="仿宋_GB2312"/>
                <w:color w:val="FF0000"/>
                <w:lang w:eastAsia="zh-CN"/>
              </w:rPr>
              <w:t>柴油</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仿宋_GB2312"/>
                <w:color w:val="FF0000"/>
              </w:rPr>
            </w:pPr>
            <w:r>
              <w:rPr>
                <w:rFonts w:hint="eastAsia" w:ascii="仿宋_GB2312"/>
                <w:color w:val="FF0000"/>
                <w:lang w:val="en-US" w:eastAsia="zh-CN"/>
              </w:rPr>
              <w:t>2t/a</w:t>
            </w:r>
          </w:p>
        </w:tc>
        <w:tc>
          <w:tcPr>
            <w:tcW w:w="261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_GB2312"/>
                <w:color w:val="FF0000"/>
                <w:lang w:val="en-US" w:eastAsia="zh-CN"/>
              </w:rPr>
            </w:pPr>
            <w:r>
              <w:rPr>
                <w:rFonts w:hint="eastAsia" w:ascii="仿宋_GB2312"/>
                <w:color w:val="FF0000"/>
                <w:lang w:val="en-US" w:eastAsia="zh-CN"/>
              </w:rPr>
              <w:t>外购</w:t>
            </w:r>
          </w:p>
        </w:tc>
        <w:tc>
          <w:tcPr>
            <w:tcW w:w="16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仿宋_GB2312"/>
                <w:color w:val="FF0000"/>
                <w:lang w:val="en-US" w:eastAsia="zh-CN"/>
              </w:rPr>
            </w:pPr>
            <w:r>
              <w:rPr>
                <w:rFonts w:hint="eastAsia" w:ascii="仿宋_GB2312"/>
                <w:color w:val="FF0000"/>
                <w:lang w:val="en-US" w:eastAsia="zh-CN"/>
              </w:rPr>
              <w:t>柴油现卖现用，不在矿区贮存</w:t>
            </w:r>
          </w:p>
        </w:tc>
      </w:tr>
    </w:tbl>
    <w:p>
      <w:pPr>
        <w:pStyle w:val="5"/>
        <w:keepNext w:val="0"/>
        <w:keepLines w:val="0"/>
        <w:pageBreakBefore w:val="0"/>
        <w:widowControl w:val="0"/>
        <w:kinsoku/>
        <w:wordWrap/>
        <w:overflowPunct/>
        <w:topLinePunct w:val="0"/>
        <w:autoSpaceDE/>
        <w:autoSpaceDN/>
        <w:bidi w:val="0"/>
        <w:textAlignment w:val="auto"/>
        <w:rPr>
          <w:rFonts w:hint="default"/>
          <w:color w:val="000000" w:themeColor="text1"/>
          <w:lang w:val="en-US" w:eastAsia="zh-CN"/>
        </w:rPr>
      </w:pPr>
      <w:bookmarkStart w:id="209" w:name="_Toc31753"/>
      <w:bookmarkStart w:id="210" w:name="_Toc4888_WPSOffice_Level3"/>
      <w:r>
        <w:rPr>
          <w:rFonts w:hint="eastAsia"/>
          <w:color w:val="000000" w:themeColor="text1"/>
          <w:lang w:val="en-US" w:eastAsia="zh-CN"/>
        </w:rPr>
        <w:t>项目接续情况一览表</w:t>
      </w:r>
    </w:p>
    <w:p>
      <w:pPr>
        <w:pStyle w:val="5"/>
        <w:keepNext w:val="0"/>
        <w:keepLines w:val="0"/>
        <w:pageBreakBefore w:val="0"/>
        <w:widowControl w:val="0"/>
        <w:numPr>
          <w:ilvl w:val="2"/>
          <w:numId w:val="0"/>
        </w:numPr>
        <w:kinsoku/>
        <w:wordWrap/>
        <w:overflowPunct/>
        <w:topLinePunct w:val="0"/>
        <w:autoSpaceDE/>
        <w:autoSpaceDN/>
        <w:bidi w:val="0"/>
        <w:ind w:left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表3.2-4  项目接续表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2200"/>
        <w:gridCol w:w="3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98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时间</w:t>
            </w:r>
          </w:p>
        </w:tc>
        <w:tc>
          <w:tcPr>
            <w:tcW w:w="22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工程</w:t>
            </w:r>
          </w:p>
        </w:tc>
        <w:tc>
          <w:tcPr>
            <w:tcW w:w="37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298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default" w:ascii="Times New Roman" w:hAnsi="Times New Roman" w:eastAsia="宋体" w:cs="Times New Roman"/>
                <w:color w:val="FF0000"/>
                <w:vertAlign w:val="baseline"/>
                <w:lang w:val="en-US" w:eastAsia="zh-CN"/>
              </w:rPr>
              <w:t>20</w:t>
            </w:r>
            <w:r>
              <w:rPr>
                <w:rFonts w:hint="eastAsia" w:ascii="Times New Roman" w:hAnsi="Times New Roman" w:eastAsia="宋体" w:cs="Times New Roman"/>
                <w:color w:val="FF0000"/>
                <w:vertAlign w:val="baseline"/>
                <w:lang w:val="en-US" w:eastAsia="zh-CN"/>
              </w:rPr>
              <w:t>22年11月</w:t>
            </w:r>
          </w:p>
        </w:tc>
        <w:tc>
          <w:tcPr>
            <w:tcW w:w="22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K1矿体开始开采</w:t>
            </w:r>
          </w:p>
        </w:tc>
        <w:tc>
          <w:tcPr>
            <w:tcW w:w="37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2028年8月底</w:t>
            </w:r>
          </w:p>
        </w:tc>
        <w:tc>
          <w:tcPr>
            <w:tcW w:w="22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K1矿体闭矿</w:t>
            </w:r>
          </w:p>
        </w:tc>
        <w:tc>
          <w:tcPr>
            <w:tcW w:w="37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K1矿体开采时间按照4年10个月计算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2028年9月初-2029年11月底</w:t>
            </w:r>
          </w:p>
        </w:tc>
        <w:tc>
          <w:tcPr>
            <w:tcW w:w="22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K2矿体施工期建设</w:t>
            </w:r>
          </w:p>
        </w:tc>
        <w:tc>
          <w:tcPr>
            <w:tcW w:w="37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施工期约15个月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2029年12月初</w:t>
            </w:r>
          </w:p>
        </w:tc>
        <w:tc>
          <w:tcPr>
            <w:tcW w:w="22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K2矿体开始开采</w:t>
            </w:r>
          </w:p>
        </w:tc>
        <w:tc>
          <w:tcPr>
            <w:tcW w:w="37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2030年8月底闭矿</w:t>
            </w:r>
          </w:p>
        </w:tc>
        <w:tc>
          <w:tcPr>
            <w:tcW w:w="22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p>
        </w:tc>
        <w:tc>
          <w:tcPr>
            <w:tcW w:w="37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K2矿体开采时间按照9个月计算</w:t>
            </w:r>
          </w:p>
        </w:tc>
      </w:tr>
    </w:tbl>
    <w:p>
      <w:pPr>
        <w:pStyle w:val="5"/>
        <w:keepNext w:val="0"/>
        <w:keepLines w:val="0"/>
        <w:pageBreakBefore w:val="0"/>
        <w:widowControl w:val="0"/>
        <w:kinsoku/>
        <w:wordWrap/>
        <w:overflowPunct/>
        <w:topLinePunct w:val="0"/>
        <w:autoSpaceDE/>
        <w:autoSpaceDN/>
        <w:bidi w:val="0"/>
        <w:textAlignment w:val="auto"/>
        <w:rPr>
          <w:rFonts w:hint="default"/>
          <w:color w:val="000000" w:themeColor="text1"/>
          <w:lang w:val="en-US" w:eastAsia="zh-CN"/>
        </w:rPr>
      </w:pPr>
      <w:r>
        <w:rPr>
          <w:rFonts w:hint="eastAsia"/>
          <w:color w:val="000000" w:themeColor="text1"/>
          <w:lang w:val="en-US" w:eastAsia="zh-CN"/>
        </w:rPr>
        <w:t>资源概况</w:t>
      </w:r>
      <w:bookmarkEnd w:id="209"/>
      <w:bookmarkEnd w:id="21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2009年3月，陕西省地质矿产勘查开发局第一地质队受安康市国土资源局委托，对旬阳县铜钱关镇水磨河口构皮沟毒重石矿开展了资源储量核实工作，编写了《陕西省旬阳县赤岩镇毒重石矿（整合区）资源储量核实报告》。采矿区内估算K1毒重石矿体保有控制的经济基础储量（122b）＋推断的内蕴经济资源量（333）矿石量25.91万吨，平均品位73.37%。其中：控制的经济基础储量（122b）矿石量1.75万吨；推断的内蕴经济资源量（333）矿石量22.14万吨。K2重晶石矿体求得推断的内蕴经济资源量（333）矿石量3.71万吨，平均品位92.06%</w:t>
      </w:r>
      <w:r>
        <w:rPr>
          <w:rFonts w:hint="eastAsia" w:ascii="Times New Roman" w:hAnsi="Times New Roman" w:eastAsia="宋体" w:cs="Times New Roman"/>
          <w:color w:val="FF0000"/>
          <w:sz w:val="24"/>
          <w:szCs w:val="24"/>
          <w:lang w:eastAsia="zh-CN"/>
        </w:rPr>
        <w:t>，详见附件</w:t>
      </w:r>
      <w:r>
        <w:rPr>
          <w:rFonts w:hint="eastAsia" w:ascii="Times New Roman" w:hAnsi="Times New Roman" w:eastAsia="宋体" w:cs="Times New Roman"/>
          <w:color w:val="FF0000"/>
          <w:sz w:val="24"/>
          <w:szCs w:val="24"/>
          <w:lang w:val="en-US" w:eastAsia="zh-CN"/>
        </w:rPr>
        <w:t>8。</w:t>
      </w:r>
    </w:p>
    <w:p>
      <w:pPr>
        <w:pStyle w:val="4"/>
        <w:keepNext w:val="0"/>
        <w:keepLines w:val="0"/>
        <w:pageBreakBefore w:val="0"/>
        <w:widowControl w:val="0"/>
        <w:numPr>
          <w:ilvl w:val="1"/>
          <w:numId w:val="0"/>
        </w:numPr>
        <w:kinsoku w:val="0"/>
        <w:wordWrap/>
        <w:overflowPunct w:val="0"/>
        <w:topLinePunct w:val="0"/>
        <w:autoSpaceDE w:val="0"/>
        <w:autoSpaceDN w:val="0"/>
        <w:bidi w:val="0"/>
        <w:adjustRightInd w:val="0"/>
        <w:snapToGrid w:val="0"/>
        <w:spacing w:beforeLines="0"/>
        <w:ind w:leftChars="0" w:firstLine="480" w:firstLineChars="200"/>
        <w:jc w:val="left"/>
        <w:textAlignment w:val="auto"/>
        <w:outlineLvl w:val="1"/>
        <w:rPr>
          <w:rFonts w:hint="eastAsia"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eastAsia="zh-CN"/>
        </w:rPr>
        <w:t>《陕西省旬阳县赤岩镇水磨河口构皮沟毒重石矿矿产资源开发利用方案审查意见》中</w:t>
      </w:r>
      <w:r>
        <w:rPr>
          <w:rFonts w:hint="eastAsia"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eastAsia="zh-CN"/>
        </w:rPr>
        <w:t>依据安康市国土资源局《陕西省旬阳县赤岩镇毒重石矿（整合区）资源储量核实报告》矿产资源储量评审备案证明（安国土资储备〔</w:t>
      </w:r>
      <w:r>
        <w:rPr>
          <w:rFonts w:hint="default" w:ascii="Times New Roman" w:hAnsi="Times New Roman" w:eastAsia="宋体" w:cs="Times New Roman"/>
          <w:b w:val="0"/>
          <w:bCs w:val="0"/>
          <w:color w:val="FF0000"/>
          <w:sz w:val="24"/>
          <w:szCs w:val="24"/>
          <w:lang w:val="en-US" w:eastAsia="zh-CN"/>
        </w:rPr>
        <w:t>2012</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val="en-US" w:eastAsia="zh-CN"/>
        </w:rPr>
        <w:t>21号，资源量估算对象为矿区内的K1和K2矿体，估算标高450~1280m</w:t>
      </w:r>
      <w:r>
        <w:rPr>
          <w:rFonts w:hint="eastAsia" w:ascii="Times New Roman" w:hAnsi="Times New Roman" w:eastAsia="宋体" w:cs="Times New Roman"/>
          <w:b w:val="0"/>
          <w:bCs w:val="0"/>
          <w:color w:val="FF0000"/>
          <w:sz w:val="24"/>
          <w:szCs w:val="24"/>
          <w:lang w:val="en-US" w:eastAsia="zh-CN"/>
        </w:rPr>
        <w:t>，估算基准日为2008年12月1日。矿区范围内共求得K1毒重石矿体保有资源量控制的经济基础储量（122b）+推断的内蕴经济储量（333）矿石量29.34</w:t>
      </w:r>
      <w:r>
        <w:rPr>
          <w:rFonts w:hint="default" w:ascii="Arial" w:hAnsi="Arial" w:eastAsia="宋体" w:cs="Arial"/>
          <w:b w:val="0"/>
          <w:bCs w:val="0"/>
          <w:color w:val="FF0000"/>
          <w:sz w:val="24"/>
          <w:szCs w:val="24"/>
          <w:lang w:val="en-US" w:eastAsia="zh-CN"/>
        </w:rPr>
        <w:t>×</w:t>
      </w:r>
      <w:r>
        <w:rPr>
          <w:rFonts w:hint="eastAsia" w:ascii="Times New Roman" w:hAnsi="Times New Roman" w:eastAsia="宋体" w:cs="Times New Roman"/>
          <w:b w:val="0"/>
          <w:bCs w:val="0"/>
          <w:color w:val="FF0000"/>
          <w:sz w:val="24"/>
          <w:szCs w:val="24"/>
          <w:lang w:val="en-US" w:eastAsia="zh-CN"/>
        </w:rPr>
        <w:t>10</w:t>
      </w:r>
      <w:r>
        <w:rPr>
          <w:rFonts w:hint="eastAsia" w:ascii="Times New Roman" w:hAnsi="Times New Roman" w:eastAsia="宋体" w:cs="Times New Roman"/>
          <w:b w:val="0"/>
          <w:bCs w:val="0"/>
          <w:color w:val="FF0000"/>
          <w:sz w:val="24"/>
          <w:szCs w:val="24"/>
          <w:vertAlign w:val="superscript"/>
          <w:lang w:val="en-US" w:eastAsia="zh-CN"/>
        </w:rPr>
        <w:t>4</w:t>
      </w:r>
      <w:r>
        <w:rPr>
          <w:rFonts w:hint="eastAsia" w:ascii="Times New Roman" w:hAnsi="Times New Roman" w:eastAsia="宋体" w:cs="Times New Roman"/>
          <w:b w:val="0"/>
          <w:bCs w:val="0"/>
          <w:color w:val="FF0000"/>
          <w:sz w:val="24"/>
          <w:szCs w:val="24"/>
          <w:lang w:val="en-US" w:eastAsia="zh-CN"/>
        </w:rPr>
        <w:t>吨，平均品位76.38%；K</w:t>
      </w:r>
      <w:r>
        <w:rPr>
          <w:rFonts w:hint="eastAsia" w:cs="Times New Roman"/>
          <w:b w:val="0"/>
          <w:bCs w:val="0"/>
          <w:color w:val="FF0000"/>
          <w:sz w:val="24"/>
          <w:szCs w:val="24"/>
          <w:lang w:val="en-US" w:eastAsia="zh-CN"/>
        </w:rPr>
        <w:t>2重晶石</w:t>
      </w:r>
      <w:r>
        <w:rPr>
          <w:rFonts w:hint="eastAsia" w:ascii="Times New Roman" w:hAnsi="Times New Roman" w:eastAsia="宋体" w:cs="Times New Roman"/>
          <w:b w:val="0"/>
          <w:bCs w:val="0"/>
          <w:color w:val="FF0000"/>
          <w:sz w:val="24"/>
          <w:szCs w:val="24"/>
          <w:lang w:val="en-US" w:eastAsia="zh-CN"/>
        </w:rPr>
        <w:t>矿体保有资源量</w:t>
      </w:r>
      <w:r>
        <w:rPr>
          <w:rFonts w:hint="eastAsia" w:cs="Times New Roman"/>
          <w:b w:val="0"/>
          <w:bCs w:val="0"/>
          <w:color w:val="FF0000"/>
          <w:sz w:val="24"/>
          <w:szCs w:val="24"/>
          <w:lang w:val="en-US" w:eastAsia="zh-CN"/>
        </w:rPr>
        <w:t>推断</w:t>
      </w:r>
      <w:r>
        <w:rPr>
          <w:rFonts w:hint="eastAsia" w:ascii="Times New Roman" w:hAnsi="Times New Roman" w:eastAsia="宋体" w:cs="Times New Roman"/>
          <w:b w:val="0"/>
          <w:bCs w:val="0"/>
          <w:color w:val="FF0000"/>
          <w:sz w:val="24"/>
          <w:szCs w:val="24"/>
          <w:lang w:val="en-US" w:eastAsia="zh-CN"/>
        </w:rPr>
        <w:t>的经济基础储量（122b）+推断的内蕴经济储量（333）矿石量29.34</w:t>
      </w:r>
      <w:r>
        <w:rPr>
          <w:rFonts w:hint="default" w:ascii="Arial" w:hAnsi="Arial" w:eastAsia="宋体" w:cs="Arial"/>
          <w:b w:val="0"/>
          <w:bCs w:val="0"/>
          <w:color w:val="FF0000"/>
          <w:sz w:val="24"/>
          <w:szCs w:val="24"/>
          <w:lang w:val="en-US" w:eastAsia="zh-CN"/>
        </w:rPr>
        <w:t>×</w:t>
      </w:r>
      <w:r>
        <w:rPr>
          <w:rFonts w:hint="eastAsia" w:ascii="Times New Roman" w:hAnsi="Times New Roman" w:eastAsia="宋体" w:cs="Times New Roman"/>
          <w:b w:val="0"/>
          <w:bCs w:val="0"/>
          <w:color w:val="FF0000"/>
          <w:sz w:val="24"/>
          <w:szCs w:val="24"/>
          <w:lang w:val="en-US" w:eastAsia="zh-CN"/>
        </w:rPr>
        <w:t>10</w:t>
      </w:r>
      <w:r>
        <w:rPr>
          <w:rFonts w:hint="eastAsia" w:ascii="Times New Roman" w:hAnsi="Times New Roman" w:eastAsia="宋体" w:cs="Times New Roman"/>
          <w:b w:val="0"/>
          <w:bCs w:val="0"/>
          <w:color w:val="FF0000"/>
          <w:sz w:val="24"/>
          <w:szCs w:val="24"/>
          <w:vertAlign w:val="superscript"/>
          <w:lang w:val="en-US" w:eastAsia="zh-CN"/>
        </w:rPr>
        <w:t>4</w:t>
      </w:r>
      <w:r>
        <w:rPr>
          <w:rFonts w:hint="eastAsia" w:ascii="Times New Roman" w:hAnsi="Times New Roman" w:eastAsia="宋体" w:cs="Times New Roman"/>
          <w:b w:val="0"/>
          <w:bCs w:val="0"/>
          <w:color w:val="FF0000"/>
          <w:sz w:val="24"/>
          <w:szCs w:val="24"/>
          <w:lang w:val="en-US" w:eastAsia="zh-CN"/>
        </w:rPr>
        <w:t>吨，平均品位76.38%</w:t>
      </w:r>
      <w:r>
        <w:rPr>
          <w:rFonts w:hint="eastAsia"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eastAsia="zh-CN"/>
        </w:rPr>
        <w:t>中</w:t>
      </w:r>
      <w:r>
        <w:rPr>
          <w:rFonts w:hint="eastAsia" w:ascii="Times New Roman" w:hAnsi="Times New Roman" w:eastAsia="宋体" w:cs="Times New Roman"/>
          <w:b w:val="0"/>
          <w:bCs w:val="0"/>
          <w:color w:val="FF0000"/>
          <w:sz w:val="24"/>
          <w:szCs w:val="24"/>
          <w:lang w:val="en-US" w:eastAsia="zh-CN"/>
        </w:rPr>
        <w:t>K2矿体的资源量明显有误。“专家组认为《方案》根据矿区设计开采范围内毒重石、重晶石矿保有资源量矿石量27.60</w:t>
      </w:r>
      <w:r>
        <w:rPr>
          <w:rFonts w:hint="default" w:ascii="Arial" w:hAnsi="Arial" w:eastAsia="宋体" w:cs="Arial"/>
          <w:b w:val="0"/>
          <w:bCs w:val="0"/>
          <w:color w:val="FF0000"/>
          <w:sz w:val="24"/>
          <w:szCs w:val="24"/>
          <w:lang w:val="en-US" w:eastAsia="zh-CN"/>
        </w:rPr>
        <w:t>×</w:t>
      </w:r>
      <w:r>
        <w:rPr>
          <w:rFonts w:hint="eastAsia" w:ascii="Times New Roman" w:hAnsi="Times New Roman" w:eastAsia="宋体" w:cs="Times New Roman"/>
          <w:b w:val="0"/>
          <w:bCs w:val="0"/>
          <w:color w:val="FF0000"/>
          <w:sz w:val="24"/>
          <w:szCs w:val="24"/>
          <w:lang w:val="en-US" w:eastAsia="zh-CN"/>
        </w:rPr>
        <w:t>10</w:t>
      </w:r>
      <w:r>
        <w:rPr>
          <w:rFonts w:hint="eastAsia" w:ascii="Times New Roman" w:hAnsi="Times New Roman" w:eastAsia="宋体" w:cs="Times New Roman"/>
          <w:b w:val="0"/>
          <w:bCs w:val="0"/>
          <w:color w:val="FF0000"/>
          <w:sz w:val="24"/>
          <w:szCs w:val="24"/>
          <w:vertAlign w:val="superscript"/>
          <w:lang w:val="en-US" w:eastAsia="zh-CN"/>
        </w:rPr>
        <w:t>4</w:t>
      </w:r>
      <w:r>
        <w:rPr>
          <w:rFonts w:hint="eastAsia" w:ascii="Times New Roman" w:hAnsi="Times New Roman" w:eastAsia="宋体" w:cs="Times New Roman"/>
          <w:b w:val="0"/>
          <w:bCs w:val="0"/>
          <w:color w:val="FF0000"/>
          <w:sz w:val="24"/>
          <w:szCs w:val="24"/>
          <w:lang w:val="en-US" w:eastAsia="zh-CN"/>
        </w:rPr>
        <w:t>吨，</w:t>
      </w:r>
      <w:r>
        <w:rPr>
          <w:rFonts w:hint="eastAsia" w:cs="Times New Roman"/>
          <w:b w:val="0"/>
          <w:bCs w:val="0"/>
          <w:color w:val="FF0000"/>
          <w:sz w:val="24"/>
          <w:szCs w:val="24"/>
          <w:lang w:val="en-US" w:eastAsia="zh-CN"/>
        </w:rPr>
        <w:t>设计利用储量19.67</w:t>
      </w:r>
      <w:r>
        <w:rPr>
          <w:rFonts w:hint="default" w:ascii="Arial" w:hAnsi="Arial" w:eastAsia="宋体" w:cs="Arial"/>
          <w:b w:val="0"/>
          <w:bCs w:val="0"/>
          <w:color w:val="FF0000"/>
          <w:sz w:val="24"/>
          <w:szCs w:val="24"/>
          <w:lang w:val="en-US" w:eastAsia="zh-CN"/>
        </w:rPr>
        <w:t>×</w:t>
      </w:r>
      <w:r>
        <w:rPr>
          <w:rFonts w:hint="eastAsia" w:ascii="Times New Roman" w:hAnsi="Times New Roman" w:eastAsia="宋体" w:cs="Times New Roman"/>
          <w:b w:val="0"/>
          <w:bCs w:val="0"/>
          <w:color w:val="FF0000"/>
          <w:sz w:val="24"/>
          <w:szCs w:val="24"/>
          <w:lang w:val="en-US" w:eastAsia="zh-CN"/>
        </w:rPr>
        <w:t>10</w:t>
      </w:r>
      <w:r>
        <w:rPr>
          <w:rFonts w:hint="eastAsia" w:ascii="Times New Roman" w:hAnsi="Times New Roman" w:eastAsia="宋体" w:cs="Times New Roman"/>
          <w:b w:val="0"/>
          <w:bCs w:val="0"/>
          <w:color w:val="FF0000"/>
          <w:sz w:val="24"/>
          <w:szCs w:val="24"/>
          <w:vertAlign w:val="superscript"/>
          <w:lang w:val="en-US" w:eastAsia="zh-CN"/>
        </w:rPr>
        <w:t>4</w:t>
      </w:r>
      <w:r>
        <w:rPr>
          <w:rFonts w:hint="eastAsia" w:ascii="Times New Roman" w:hAnsi="Times New Roman" w:eastAsia="宋体" w:cs="Times New Roman"/>
          <w:b w:val="0"/>
          <w:bCs w:val="0"/>
          <w:color w:val="FF0000"/>
          <w:sz w:val="24"/>
          <w:szCs w:val="24"/>
          <w:lang w:val="en-US" w:eastAsia="zh-CN"/>
        </w:rPr>
        <w:t>吨，</w:t>
      </w:r>
      <w:r>
        <w:rPr>
          <w:rFonts w:hint="eastAsia" w:cs="Times New Roman"/>
          <w:b w:val="0"/>
          <w:bCs w:val="0"/>
          <w:color w:val="FF0000"/>
          <w:sz w:val="24"/>
          <w:szCs w:val="24"/>
          <w:lang w:val="en-US" w:eastAsia="zh-CN"/>
        </w:rPr>
        <w:t>可开采储量17.70</w:t>
      </w:r>
      <w:r>
        <w:rPr>
          <w:rFonts w:hint="default" w:ascii="Arial" w:hAnsi="Arial" w:eastAsia="宋体" w:cs="Arial"/>
          <w:b w:val="0"/>
          <w:bCs w:val="0"/>
          <w:color w:val="FF0000"/>
          <w:sz w:val="24"/>
          <w:szCs w:val="24"/>
          <w:lang w:val="en-US" w:eastAsia="zh-CN"/>
        </w:rPr>
        <w:t>×</w:t>
      </w:r>
      <w:r>
        <w:rPr>
          <w:rFonts w:hint="eastAsia" w:ascii="Times New Roman" w:hAnsi="Times New Roman" w:eastAsia="宋体" w:cs="Times New Roman"/>
          <w:b w:val="0"/>
          <w:bCs w:val="0"/>
          <w:color w:val="FF0000"/>
          <w:sz w:val="24"/>
          <w:szCs w:val="24"/>
          <w:lang w:val="en-US" w:eastAsia="zh-CN"/>
        </w:rPr>
        <w:t>10</w:t>
      </w:r>
      <w:r>
        <w:rPr>
          <w:rFonts w:hint="eastAsia" w:ascii="Times New Roman" w:hAnsi="Times New Roman" w:eastAsia="宋体" w:cs="Times New Roman"/>
          <w:b w:val="0"/>
          <w:bCs w:val="0"/>
          <w:color w:val="FF0000"/>
          <w:sz w:val="24"/>
          <w:szCs w:val="24"/>
          <w:vertAlign w:val="superscript"/>
          <w:lang w:val="en-US" w:eastAsia="zh-CN"/>
        </w:rPr>
        <w:t>4</w:t>
      </w:r>
      <w:r>
        <w:rPr>
          <w:rFonts w:hint="eastAsia" w:ascii="Times New Roman" w:hAnsi="Times New Roman" w:eastAsia="宋体" w:cs="Times New Roman"/>
          <w:b w:val="0"/>
          <w:bCs w:val="0"/>
          <w:color w:val="FF0000"/>
          <w:sz w:val="24"/>
          <w:szCs w:val="24"/>
          <w:lang w:val="en-US" w:eastAsia="zh-CN"/>
        </w:rPr>
        <w:t>吨</w:t>
      </w:r>
      <w:r>
        <w:rPr>
          <w:rFonts w:hint="eastAsia" w:cs="Times New Roman"/>
          <w:b w:val="0"/>
          <w:bCs w:val="0"/>
          <w:color w:val="FF0000"/>
          <w:sz w:val="24"/>
          <w:szCs w:val="24"/>
          <w:lang w:val="en-US" w:eastAsia="zh-CN"/>
        </w:rPr>
        <w:t>符合矿山的实际</w:t>
      </w:r>
      <w:r>
        <w:rPr>
          <w:rFonts w:hint="eastAsia" w:ascii="Times New Roman" w:hAnsi="Times New Roman" w:eastAsia="宋体" w:cs="Times New Roman"/>
          <w:b w:val="0"/>
          <w:bCs w:val="0"/>
          <w:color w:val="FF0000"/>
          <w:sz w:val="24"/>
          <w:szCs w:val="24"/>
          <w:lang w:val="en-US" w:eastAsia="zh-CN"/>
        </w:rPr>
        <w:t>”</w:t>
      </w:r>
      <w:r>
        <w:rPr>
          <w:rFonts w:hint="eastAsia" w:cs="Times New Roman"/>
          <w:b w:val="0"/>
          <w:bCs w:val="0"/>
          <w:color w:val="FF0000"/>
          <w:sz w:val="24"/>
          <w:szCs w:val="24"/>
          <w:lang w:val="en-US" w:eastAsia="zh-CN"/>
        </w:rPr>
        <w:t>的结论有误，不可作为本项目实际储量的依据。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val="en-US" w:eastAsia="zh-CN"/>
        </w:rPr>
        <w:t>经过与相关部门以及建设单位沟通，最终以2009年3月</w:t>
      </w:r>
      <w:r>
        <w:rPr>
          <w:rFonts w:hint="default" w:ascii="Times New Roman" w:hAnsi="Times New Roman" w:eastAsia="宋体" w:cs="Times New Roman"/>
          <w:color w:val="FF0000"/>
          <w:sz w:val="24"/>
          <w:szCs w:val="24"/>
        </w:rPr>
        <w:t>安康市国土资源局</w:t>
      </w:r>
      <w:r>
        <w:rPr>
          <w:rFonts w:hint="default" w:ascii="Times New Roman" w:hAnsi="Times New Roman" w:eastAsia="宋体" w:cs="Times New Roman"/>
          <w:color w:val="FF0000"/>
          <w:sz w:val="24"/>
          <w:szCs w:val="24"/>
          <w:lang w:eastAsia="zh-CN"/>
        </w:rPr>
        <w:t>委托</w:t>
      </w:r>
      <w:r>
        <w:rPr>
          <w:rFonts w:hint="default" w:ascii="Times New Roman" w:hAnsi="Times New Roman" w:eastAsia="宋体" w:cs="Times New Roman"/>
          <w:color w:val="FF0000"/>
          <w:sz w:val="24"/>
          <w:szCs w:val="24"/>
        </w:rPr>
        <w:t>陕西省地质矿产勘查开发局第一地质队编写</w:t>
      </w:r>
      <w:r>
        <w:rPr>
          <w:rFonts w:hint="default" w:ascii="Times New Roman" w:hAnsi="Times New Roman" w:eastAsia="宋体" w:cs="Times New Roman"/>
          <w:color w:val="FF0000"/>
          <w:sz w:val="24"/>
          <w:szCs w:val="24"/>
          <w:lang w:eastAsia="zh-CN"/>
        </w:rPr>
        <w:t>的</w:t>
      </w:r>
      <w:r>
        <w:rPr>
          <w:rFonts w:hint="default" w:ascii="Times New Roman" w:hAnsi="Times New Roman" w:eastAsia="宋体" w:cs="Times New Roman"/>
          <w:color w:val="FF0000"/>
          <w:sz w:val="24"/>
          <w:szCs w:val="24"/>
        </w:rPr>
        <w:t>《陕西省旬阳县赤岩镇毒重石矿（整合区）资源储量核实报告》</w:t>
      </w:r>
      <w:r>
        <w:rPr>
          <w:rFonts w:hint="default" w:ascii="Times New Roman" w:hAnsi="Times New Roman" w:eastAsia="宋体" w:cs="Times New Roman"/>
          <w:color w:val="FF0000"/>
          <w:sz w:val="24"/>
          <w:szCs w:val="24"/>
          <w:lang w:eastAsia="zh-CN"/>
        </w:rPr>
        <w:t>中</w:t>
      </w:r>
      <w:r>
        <w:rPr>
          <w:rFonts w:hint="default" w:ascii="Times New Roman" w:hAnsi="Times New Roman" w:eastAsia="宋体" w:cs="Times New Roman"/>
          <w:color w:val="FF0000"/>
          <w:sz w:val="24"/>
          <w:szCs w:val="24"/>
        </w:rPr>
        <w:t>K1矿石量25.91万吨，K2矿石量3.71万吨，</w:t>
      </w:r>
      <w:r>
        <w:rPr>
          <w:rFonts w:hint="default" w:ascii="Times New Roman" w:hAnsi="Times New Roman" w:eastAsia="宋体" w:cs="Times New Roman"/>
          <w:color w:val="FF0000"/>
          <w:sz w:val="24"/>
          <w:szCs w:val="24"/>
          <w:lang w:eastAsia="zh-CN"/>
        </w:rPr>
        <w:t>总矿石量</w:t>
      </w:r>
      <w:r>
        <w:rPr>
          <w:rFonts w:hint="default" w:ascii="Times New Roman" w:hAnsi="Times New Roman" w:eastAsia="宋体" w:cs="Times New Roman"/>
          <w:color w:val="FF0000"/>
          <w:sz w:val="24"/>
          <w:szCs w:val="24"/>
          <w:lang w:val="en-US" w:eastAsia="zh-CN"/>
        </w:rPr>
        <w:t>以29.62</w:t>
      </w:r>
      <w:r>
        <w:rPr>
          <w:rFonts w:hint="default" w:ascii="Times New Roman" w:hAnsi="Times New Roman" w:eastAsia="宋体" w:cs="Times New Roman"/>
          <w:color w:val="FF0000"/>
          <w:sz w:val="24"/>
          <w:szCs w:val="24"/>
        </w:rPr>
        <w:t>万吨</w:t>
      </w:r>
      <w:r>
        <w:rPr>
          <w:rFonts w:hint="default" w:ascii="Times New Roman" w:hAnsi="Times New Roman" w:eastAsia="宋体" w:cs="Times New Roman"/>
          <w:color w:val="FF0000"/>
          <w:sz w:val="24"/>
          <w:szCs w:val="24"/>
          <w:lang w:eastAsia="zh-CN"/>
        </w:rPr>
        <w:t>为准。</w:t>
      </w:r>
    </w:p>
    <w:p>
      <w:pPr>
        <w:pStyle w:val="5"/>
        <w:rPr>
          <w:rFonts w:hint="default"/>
          <w:color w:val="000000" w:themeColor="text1"/>
          <w:lang w:val="en-US" w:eastAsia="zh-CN"/>
        </w:rPr>
      </w:pPr>
      <w:bookmarkStart w:id="211" w:name="_Toc13997"/>
      <w:bookmarkStart w:id="212" w:name="_Toc30069_WPSOffice_Level3"/>
      <w:r>
        <w:rPr>
          <w:rFonts w:hint="eastAsia"/>
          <w:color w:val="000000" w:themeColor="text1"/>
          <w:lang w:val="en-US" w:eastAsia="zh-CN"/>
        </w:rPr>
        <w:t>周边矿权设置</w:t>
      </w:r>
      <w:bookmarkEnd w:id="211"/>
      <w:bookmarkEnd w:id="21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旬阳县赤岩镇水磨河口构皮沟毒重石矿（CQ233）采矿许可证东南侧为旬阳县居金</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塬矿业有限公司的“旬阳县扇子坡毒重石矿”采矿许可证（CQ234）和旬阳县宝峰矿业有限公司的“旬阳县铜钱关毒重石矿”采矿许可证（CQ235）；上述矿山均属同一个矿带，构皮沟毒重石矿矿区位于其中的北段。南侧为旬阳县宝峰矿业有限公司的“陕西省旬阳县赤岩沟-七里关一带钛多金属矿普查”探矿许可证（KQ137）。矿区清晰无争议。本矿周边探、采矿权设立情况见下图。</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eastAsia" w:ascii="Times New Roman" w:hAnsi="Times New Roman" w:eastAsia="宋体" w:cs="Times New Roman"/>
          <w:b/>
          <w:bCs/>
          <w:color w:val="000000" w:themeColor="text1"/>
          <w:sz w:val="24"/>
          <w:szCs w:val="24"/>
          <w:lang w:val="en-US" w:eastAsia="zh-CN"/>
        </w:rPr>
      </w:pPr>
      <w:r>
        <w:rPr>
          <w:color w:val="000000" w:themeColor="text1"/>
        </w:rPr>
        <w:drawing>
          <wp:inline distT="0" distB="0" distL="114300" distR="114300">
            <wp:extent cx="4909185" cy="3576955"/>
            <wp:effectExtent l="0" t="0" r="5715" b="444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26"/>
                    <a:stretch>
                      <a:fillRect/>
                    </a:stretch>
                  </pic:blipFill>
                  <pic:spPr>
                    <a:xfrm>
                      <a:off x="0" y="0"/>
                      <a:ext cx="4909185" cy="35769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图3.2-1  矿区周边采矿权设置</w:t>
      </w:r>
    </w:p>
    <w:p>
      <w:pPr>
        <w:pStyle w:val="4"/>
        <w:numPr>
          <w:ilvl w:val="1"/>
          <w:numId w:val="0"/>
        </w:numPr>
        <w:rPr>
          <w:rFonts w:hint="eastAsia"/>
          <w:color w:val="FF0000"/>
          <w:lang w:val="en-US" w:eastAsia="zh-CN"/>
        </w:rPr>
      </w:pPr>
      <w:bookmarkStart w:id="213" w:name="_Toc32131_WPSOffice_Level3"/>
      <w:bookmarkStart w:id="214" w:name="_Toc16062"/>
      <w:r>
        <w:rPr>
          <w:rFonts w:hint="eastAsia"/>
          <w:color w:val="FF0000"/>
          <w:lang w:val="en-US" w:eastAsia="zh-CN"/>
        </w:rPr>
        <w:t>项目周边矿区形成的采空区现状：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根据本项目周边采矿权设置情况可知，距离本项目较近的为CQ234，为旬阳县居金</w:t>
      </w:r>
    </w:p>
    <w:p>
      <w:pPr>
        <w:keepNext/>
        <w:keepLines/>
        <w:pageBreakBefore w:val="0"/>
        <w:widowControl w:val="0"/>
        <w:numPr>
          <w:ilvl w:val="0"/>
          <w:numId w:val="0"/>
        </w:numPr>
        <w:kinsoku/>
        <w:wordWrap/>
        <w:overflowPunct/>
        <w:topLinePunct w:val="0"/>
        <w:autoSpaceDE/>
        <w:autoSpaceDN/>
        <w:bidi w:val="0"/>
        <w:adjustRightInd w:val="0"/>
        <w:snapToGrid w:val="0"/>
        <w:spacing w:beforeLines="0" w:line="360" w:lineRule="auto"/>
        <w:ind w:firstLine="0" w:firstLineChars="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塬矿业有限公司的旬阳县扇子坡毒重石矿；CQ235，为旬阳县宝峰矿业有限公司毒重石矿，上述矿山均属同一个矿带，构皮沟毒重石矿矿区位于其中的北段。</w:t>
      </w:r>
    </w:p>
    <w:p>
      <w:pPr>
        <w:keepNext/>
        <w:keepLines/>
        <w:pageBreakBefore w:val="0"/>
        <w:widowControl w:val="0"/>
        <w:numPr>
          <w:ilvl w:val="0"/>
          <w:numId w:val="0"/>
        </w:numPr>
        <w:kinsoku/>
        <w:wordWrap/>
        <w:overflowPunct/>
        <w:topLinePunct w:val="0"/>
        <w:autoSpaceDE/>
        <w:autoSpaceDN/>
        <w:bidi w:val="0"/>
        <w:adjustRightInd w:val="0"/>
        <w:snapToGrid w:val="0"/>
        <w:spacing w:beforeLines="0" w:line="360" w:lineRule="auto"/>
        <w:ind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1、</w:t>
      </w:r>
      <w:r>
        <w:rPr>
          <w:rFonts w:hint="default" w:ascii="Times New Roman" w:hAnsi="Times New Roman" w:eastAsia="宋体" w:cs="Times New Roman"/>
          <w:b w:val="0"/>
          <w:bCs w:val="0"/>
          <w:color w:val="FF0000"/>
          <w:sz w:val="24"/>
          <w:szCs w:val="24"/>
          <w:lang w:eastAsia="zh-CN"/>
        </w:rPr>
        <w:t>旬阳县宝峰矿业有限公司建设年产5万吨毒重石改扩建项目</w:t>
      </w:r>
    </w:p>
    <w:p>
      <w:pPr>
        <w:keepNext/>
        <w:keepLines/>
        <w:pageBreakBefore w:val="0"/>
        <w:widowControl w:val="0"/>
        <w:numPr>
          <w:ilvl w:val="0"/>
          <w:numId w:val="0"/>
        </w:numPr>
        <w:kinsoku/>
        <w:wordWrap/>
        <w:overflowPunct/>
        <w:topLinePunct w:val="0"/>
        <w:autoSpaceDE/>
        <w:autoSpaceDN/>
        <w:bidi w:val="0"/>
        <w:adjustRightInd w:val="0"/>
        <w:snapToGrid w:val="0"/>
        <w:spacing w:beforeLines="0" w:line="360" w:lineRule="auto"/>
        <w:ind w:firstLine="480" w:firstLineChars="200"/>
        <w:jc w:val="left"/>
        <w:textAlignment w:val="auto"/>
        <w:outlineLvl w:val="9"/>
        <w:rPr>
          <w:rFonts w:hint="default" w:ascii="Times New Roman" w:hAnsi="Times New Roman" w:eastAsia="宋体" w:cs="Times New Roman"/>
          <w:b w:val="0"/>
          <w:bCs w:val="0"/>
          <w:color w:val="FF0000"/>
          <w:sz w:val="24"/>
          <w:szCs w:val="24"/>
          <w:lang w:eastAsia="zh-CN"/>
        </w:rPr>
      </w:pPr>
      <w:r>
        <w:rPr>
          <w:rFonts w:hint="default" w:ascii="Times New Roman" w:hAnsi="Times New Roman" w:eastAsia="宋体" w:cs="Times New Roman"/>
          <w:b w:val="0"/>
          <w:bCs w:val="0"/>
          <w:color w:val="FF0000"/>
          <w:sz w:val="24"/>
          <w:szCs w:val="24"/>
          <w:lang w:val="en-US" w:eastAsia="zh-CN"/>
        </w:rPr>
        <w:t>根据2021年批复的</w:t>
      </w:r>
      <w:r>
        <w:rPr>
          <w:rFonts w:hint="default" w:ascii="Times New Roman" w:hAnsi="Times New Roman" w:eastAsia="宋体" w:cs="Times New Roman"/>
          <w:b w:val="0"/>
          <w:bCs w:val="0"/>
          <w:color w:val="FF0000"/>
          <w:sz w:val="24"/>
          <w:szCs w:val="24"/>
          <w:lang w:eastAsia="zh-CN"/>
        </w:rPr>
        <w:t>旬阳县宝峰矿业有限公司建设年产5万吨毒重石改扩建项目环境影响报告书可知，现状开采情况如下：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rPr>
        <w:t>采矿平硐：PD1、平硐口在570m标高，有平巷300m，断面2×2m</w:t>
      </w:r>
      <w:r>
        <w:rPr>
          <w:rFonts w:hint="default" w:ascii="Times New Roman" w:hAnsi="Times New Roman" w:eastAsia="宋体" w:cs="Times New Roman"/>
          <w:b w:val="0"/>
          <w:bCs w:val="0"/>
          <w:color w:val="FF0000"/>
          <w:sz w:val="24"/>
          <w:szCs w:val="24"/>
          <w:vertAlign w:val="superscript"/>
        </w:rPr>
        <w:t>2</w:t>
      </w:r>
      <w:r>
        <w:rPr>
          <w:rFonts w:hint="default" w:ascii="Times New Roman" w:hAnsi="Times New Roman" w:eastAsia="宋体" w:cs="Times New Roman"/>
          <w:b w:val="0"/>
          <w:bCs w:val="0"/>
          <w:color w:val="FF0000"/>
          <w:sz w:val="24"/>
          <w:szCs w:val="24"/>
        </w:rPr>
        <w:t>。老硐位于PD1主硐口上游左岸，为早期民采形成，硐口尺寸为1.5×2.0m</w:t>
      </w:r>
      <w:r>
        <w:rPr>
          <w:rFonts w:hint="eastAsia"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rPr>
        <w:t>开采深度约5m，后期将利用老硐作为通风井。</w:t>
      </w:r>
      <w:r>
        <w:rPr>
          <w:rFonts w:hint="eastAsia" w:ascii="Times New Roman" w:hAnsi="Times New Roman" w:eastAsia="宋体" w:cs="Times New Roman"/>
          <w:b w:val="0"/>
          <w:bCs w:val="0"/>
          <w:color w:val="FF0000"/>
          <w:sz w:val="24"/>
          <w:szCs w:val="24"/>
          <w:lang w:eastAsia="zh-CN"/>
        </w:rPr>
        <w:t>由此可知，此项目形成的矿洞主要为</w:t>
      </w:r>
      <w:r>
        <w:rPr>
          <w:rFonts w:hint="default" w:ascii="Times New Roman" w:hAnsi="Times New Roman" w:eastAsia="宋体" w:cs="Times New Roman"/>
          <w:b w:val="0"/>
          <w:bCs w:val="0"/>
          <w:color w:val="FF0000"/>
          <w:sz w:val="24"/>
          <w:szCs w:val="24"/>
        </w:rPr>
        <w:t>2m×2m×2</w:t>
      </w:r>
      <w:r>
        <w:rPr>
          <w:rFonts w:hint="eastAsia" w:ascii="Times New Roman" w:hAnsi="Times New Roman" w:eastAsia="宋体" w:cs="Times New Roman"/>
          <w:b w:val="0"/>
          <w:bCs w:val="0"/>
          <w:color w:val="FF0000"/>
          <w:sz w:val="24"/>
          <w:szCs w:val="24"/>
          <w:lang w:val="en-US" w:eastAsia="zh-CN"/>
        </w:rPr>
        <w:t>00</w:t>
      </w:r>
      <w:r>
        <w:rPr>
          <w:rFonts w:hint="default" w:ascii="Times New Roman" w:hAnsi="Times New Roman" w:eastAsia="宋体" w:cs="Times New Roman"/>
          <w:b w:val="0"/>
          <w:bCs w:val="0"/>
          <w:color w:val="FF0000"/>
          <w:sz w:val="24"/>
          <w:szCs w:val="24"/>
        </w:rPr>
        <w:t>m</w:t>
      </w:r>
      <w:r>
        <w:rPr>
          <w:rFonts w:hint="eastAsia" w:ascii="Times New Roman" w:hAnsi="Times New Roman" w:eastAsia="宋体" w:cs="Times New Roman"/>
          <w:b w:val="0"/>
          <w:bCs w:val="0"/>
          <w:color w:val="FF0000"/>
          <w:sz w:val="24"/>
          <w:szCs w:val="24"/>
          <w:lang w:eastAsia="zh-CN"/>
        </w:rPr>
        <w:t>的矿洞，此矿洞距离本项目矿洞最近的距离为</w:t>
      </w:r>
      <w:r>
        <w:rPr>
          <w:rFonts w:hint="eastAsia" w:ascii="Times New Roman" w:hAnsi="Times New Roman" w:eastAsia="宋体" w:cs="Times New Roman"/>
          <w:b w:val="0"/>
          <w:bCs w:val="0"/>
          <w:color w:val="FF0000"/>
          <w:sz w:val="24"/>
          <w:szCs w:val="24"/>
          <w:lang w:val="en-US" w:eastAsia="zh-CN"/>
        </w:rPr>
        <w:t>2.2km，其岩移不会对本项目产生影响。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2、旬阳县居金塬矿业有限公司的旬阳县扇子坡毒重石矿</w:t>
      </w:r>
    </w:p>
    <w:p>
      <w:pPr>
        <w:pStyle w:val="5"/>
        <w:keepNext w:val="0"/>
        <w:keepLines w:val="0"/>
        <w:pageBreakBefore w:val="0"/>
        <w:widowControl w:val="0"/>
        <w:numPr>
          <w:ilvl w:val="2"/>
          <w:numId w:val="0"/>
        </w:numPr>
        <w:kinsoku/>
        <w:wordWrap/>
        <w:overflowPunct/>
        <w:topLinePunct w:val="0"/>
        <w:autoSpaceDE/>
        <w:autoSpaceDN/>
        <w:bidi w:val="0"/>
        <w:ind w:leftChars="0"/>
        <w:textAlignment w:val="auto"/>
        <w:rPr>
          <w:rFonts w:hint="eastAsia"/>
          <w:color w:val="000000" w:themeColor="text1"/>
          <w:lang w:val="en-US" w:eastAsia="zh-CN"/>
        </w:rPr>
      </w:pPr>
      <w:r>
        <w:rPr>
          <w:rFonts w:hint="eastAsia" w:ascii="Times New Roman" w:hAnsi="Times New Roman" w:eastAsia="宋体" w:cs="Times New Roman"/>
          <w:b w:val="0"/>
          <w:bCs w:val="0"/>
          <w:color w:val="FF0000"/>
          <w:sz w:val="24"/>
          <w:szCs w:val="24"/>
          <w:lang w:val="en-US" w:eastAsia="zh-CN"/>
        </w:rPr>
        <w:t>据调查，旬阳县居金塬矿业有限公司的旬阳县扇子坡毒重石矿为存在多年的老矿山，但未进行大规模开发，产生的矿洞较小，与本项目的矿洞的最近距离约900m，其岩移不会对本项目产生影响。</w:t>
      </w:r>
    </w:p>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r>
        <w:rPr>
          <w:rFonts w:hint="eastAsia"/>
          <w:color w:val="000000" w:themeColor="text1"/>
          <w:lang w:val="en-US" w:eastAsia="zh-CN"/>
        </w:rPr>
        <w:t>区域地质概况</w:t>
      </w:r>
      <w:bookmarkEnd w:id="213"/>
      <w:bookmarkEnd w:id="21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区位于秦岭印支褶皱带牛山—得胜铺复式背斜南翼，其北侧为山（阳）、柞（水）、旬（阳）泥盆纪沉积盆地，南为北大巴山加里东褶皱带。区域出露地层有震旦系耀岭河群（Zayl）的一套灰绿色基性火山碎屑岩及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浅变质陆源碎屑岩夹硅质岩、碳酸盐岩、志留系梅子垭组（S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m）浅变质陆源碎屑岩。构造线总体呈北西—南东向展布，断裂构造发育。</w:t>
      </w:r>
    </w:p>
    <w:p>
      <w:pPr>
        <w:pStyle w:val="5"/>
        <w:rPr>
          <w:rFonts w:hint="default"/>
          <w:color w:val="000000" w:themeColor="text1"/>
          <w:lang w:val="en-US" w:eastAsia="zh-CN"/>
        </w:rPr>
      </w:pPr>
      <w:bookmarkStart w:id="215" w:name="_Toc21974_WPSOffice_Level3"/>
      <w:bookmarkStart w:id="216" w:name="_Toc6272"/>
      <w:r>
        <w:rPr>
          <w:rFonts w:hint="eastAsia"/>
          <w:color w:val="000000" w:themeColor="text1"/>
          <w:lang w:val="en-US" w:eastAsia="zh-CN"/>
        </w:rPr>
        <w:t>矿床地质及结构特征</w:t>
      </w:r>
      <w:bookmarkEnd w:id="215"/>
      <w:bookmarkEnd w:id="21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bookmarkStart w:id="217" w:name="_Toc4303_WPSOffice_Level3"/>
      <w:bookmarkStart w:id="218" w:name="_Toc16793_WPSOffice_Level3"/>
      <w:r>
        <w:rPr>
          <w:rFonts w:hint="default" w:ascii="Times New Roman" w:hAnsi="Times New Roman" w:eastAsia="宋体" w:cs="Times New Roman"/>
          <w:color w:val="000000" w:themeColor="text1"/>
          <w:sz w:val="24"/>
          <w:szCs w:val="24"/>
        </w:rPr>
        <w:t>1、地层</w:t>
      </w:r>
      <w:bookmarkEnd w:id="217"/>
      <w:bookmarkEnd w:id="21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区内区内出露的地层主要为震旦系耀岭河群（Zayl）、寒武系—志留系（∈-S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）地层。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各地层单元岩性组合特征由老至新分述于下：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bookmarkStart w:id="219" w:name="_Toc181065614"/>
      <w:bookmarkStart w:id="220" w:name="_Toc180977149"/>
      <w:r>
        <w:rPr>
          <w:rFonts w:hint="default" w:ascii="Times New Roman" w:hAnsi="Times New Roman" w:eastAsia="宋体" w:cs="Times New Roman"/>
          <w:color w:val="000000" w:themeColor="text1"/>
          <w:sz w:val="24"/>
          <w:szCs w:val="24"/>
        </w:rPr>
        <w:t>①震旦系耀岭河群（Zayl）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出露于矿区中、北部的石门沟—构皮沟一带，其岩性为灰绿—绿色中基性火山碎屑岩、熔岩，灰绿色绿泥石英片岩、云母石英片岩、钠长斜长片岩。在火山碎岩中可见炭质片岩夹层。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）地层。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分布于矿区南部陈家大房—构皮寨一带，其岩性为底部炭质片岩夹结晶灰岩，下部硅质岩，中上部绿泥钠长片岩、绢云母石英片岩互层夹结晶灰岩、炭质硅质岩、硅质岩。是矿区的含矿地层。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w:t>
      </w:r>
      <w:bookmarkEnd w:id="219"/>
      <w:bookmarkEnd w:id="220"/>
      <w:r>
        <w:rPr>
          <w:rFonts w:hint="default" w:ascii="Times New Roman" w:hAnsi="Times New Roman" w:eastAsia="宋体" w:cs="Times New Roman"/>
          <w:color w:val="000000" w:themeColor="text1"/>
          <w:sz w:val="24"/>
          <w:szCs w:val="24"/>
        </w:rPr>
        <w:t>志留系梅子垭组（S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m）：分布矿区外围西北部石门沟—付家花屋带，其岩性为绢云石英片岩与石英绢云母片岩互层，夹少量变砂岩。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④第四系全新统（Q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第四系全新统分为冲洪积层（Q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apl</w:t>
      </w:r>
      <w:r>
        <w:rPr>
          <w:rFonts w:hint="default" w:ascii="Times New Roman" w:hAnsi="Times New Roman" w:eastAsia="宋体" w:cs="Times New Roman"/>
          <w:color w:val="000000" w:themeColor="text1"/>
          <w:sz w:val="24"/>
          <w:szCs w:val="24"/>
        </w:rPr>
        <w:t>）和坡残积层（Q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del</w:t>
      </w:r>
      <w:r>
        <w:rPr>
          <w:rFonts w:hint="default" w:ascii="Times New Roman" w:hAnsi="Times New Roman" w:eastAsia="宋体" w:cs="Times New Roman"/>
          <w:color w:val="000000" w:themeColor="text1"/>
          <w:sz w:val="24"/>
          <w:szCs w:val="24"/>
        </w:rPr>
        <w:t xml:space="preserve">）地层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冲洪积（Q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apl</w:t>
      </w:r>
      <w:r>
        <w:rPr>
          <w:rFonts w:hint="default" w:ascii="Times New Roman" w:hAnsi="Times New Roman" w:eastAsia="宋体" w:cs="Times New Roman"/>
          <w:color w:val="000000" w:themeColor="text1"/>
          <w:sz w:val="24"/>
          <w:szCs w:val="24"/>
        </w:rPr>
        <w:t xml:space="preserve">）：该地层分布于沟谷之中，砾石多呈次棱角状，由各类片岩和石英脉组成，厚度0.5—3.5m，出露宽度5—30m。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残坡积（Q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del</w:t>
      </w:r>
      <w:r>
        <w:rPr>
          <w:rFonts w:hint="default" w:ascii="Times New Roman" w:hAnsi="Times New Roman" w:eastAsia="宋体" w:cs="Times New Roman"/>
          <w:color w:val="000000" w:themeColor="text1"/>
          <w:sz w:val="24"/>
          <w:szCs w:val="24"/>
        </w:rPr>
        <w:t>）：该地层分布于山梁、鞍部、斜坡及其它负地形等宽缓地带，其中碎石砾石发育，棱角分明，厚度1.5—2.60m。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bookmarkStart w:id="221" w:name="_Toc3064_WPSOffice_Level3"/>
      <w:bookmarkStart w:id="222" w:name="_Toc3468_WPSOffice_Level3"/>
      <w:r>
        <w:rPr>
          <w:rFonts w:hint="default" w:ascii="Times New Roman" w:hAnsi="Times New Roman" w:eastAsia="宋体" w:cs="Times New Roman"/>
          <w:color w:val="000000" w:themeColor="text1"/>
          <w:sz w:val="24"/>
          <w:szCs w:val="24"/>
        </w:rPr>
        <w:t>2、构造、岩浆岩</w:t>
      </w:r>
      <w:bookmarkEnd w:id="221"/>
      <w:bookmarkEnd w:id="22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区内褶皱、断裂发育，片理化构造更是广泛见于各类片岩中，主要构造线与区域构造方向一致，均呈北西向展布，大磨沟—王家湾背斜、F1、F2断裂构成了区内构造的基本格架。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①褶皱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大磨沟—王家湾背斜：西起大磨沟，东到王家湾，长度大于5公里，幅宽0.5—1.4公里，轴面北倾</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南翼地层倒转</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为一倒转背斜</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枢扭向北西倾伏</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倾伏角10°-18°</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核部地层为震旦系耀岭河群(Zayl)基性火山碎屑岩、片岩，翼部地层为寒武系—志留系（∈-S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炭质片岩、结晶灰岩、炭质硅质岩、绿泥钠长片岩、绢云母石英片。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②断裂构造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bookmarkStart w:id="223" w:name="_Toc20561976"/>
      <w:bookmarkStart w:id="224" w:name="_Toc20284997"/>
      <w:bookmarkStart w:id="225" w:name="_Toc20620942"/>
      <w:bookmarkStart w:id="226" w:name="_Toc20284871"/>
      <w:bookmarkStart w:id="227" w:name="_Toc20620106"/>
      <w:bookmarkStart w:id="228" w:name="_Toc20620330"/>
      <w:bookmarkStart w:id="229" w:name="_Toc175454910"/>
      <w:bookmarkStart w:id="230" w:name="_Toc20562945"/>
      <w:bookmarkStart w:id="231" w:name="_Toc20561643"/>
      <w:bookmarkStart w:id="232" w:name="_Toc18547601"/>
      <w:bookmarkStart w:id="233" w:name="_Toc20619980"/>
      <w:bookmarkStart w:id="234" w:name="_Toc18894780"/>
      <w:bookmarkStart w:id="235" w:name="_Toc20621122"/>
      <w:bookmarkStart w:id="236" w:name="_Toc20620757"/>
      <w:bookmarkStart w:id="237" w:name="_Toc20621442"/>
      <w:r>
        <w:rPr>
          <w:rFonts w:hint="default" w:ascii="Times New Roman" w:hAnsi="Times New Roman" w:eastAsia="宋体" w:cs="Times New Roman"/>
          <w:color w:val="000000" w:themeColor="text1"/>
          <w:sz w:val="24"/>
          <w:szCs w:val="24"/>
        </w:rPr>
        <w:t>区内断裂发育，其特征如下：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F1断裂：位于矿区南部外围的扇子坡—窑沟脑一带，呈近东西向延伸，长十余公里，断面北倾，断层出露线多为负地形及断层陡坎，该断层造成南、北盘地层东西向错位，破碎带宽20~20米，具强炭化、片理化、角砾岩化，具多期活动特征，断裂产状350°-15°∠68°-75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F2断层：位于矿区外围西北部石门沟—构皮沟口一线，呈北西—南东向延伸，长度大于5公里，断裂宽10-15米，具强炭化、片理化、角砾岩化，具多期活动特征，断层出露线多为负地形及断层陡坎，断层产状45°-50°∠55°-60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③岩浆岩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区内无岩浆</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hint="default" w:ascii="Times New Roman" w:hAnsi="Times New Roman" w:eastAsia="宋体" w:cs="Times New Roman"/>
          <w:color w:val="000000" w:themeColor="text1"/>
          <w:sz w:val="24"/>
          <w:szCs w:val="24"/>
        </w:rPr>
        <w:t>岩出露。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bookmarkStart w:id="238" w:name="_Toc5694_WPSOffice_Level3"/>
      <w:bookmarkStart w:id="239" w:name="_Toc29620_WPSOffice_Level3"/>
      <w:r>
        <w:rPr>
          <w:rFonts w:hint="default" w:ascii="Times New Roman" w:hAnsi="Times New Roman" w:eastAsia="宋体" w:cs="Times New Roman"/>
          <w:color w:val="000000" w:themeColor="text1"/>
          <w:sz w:val="24"/>
          <w:szCs w:val="24"/>
        </w:rPr>
        <w:t>3、矿体特征</w:t>
      </w:r>
      <w:bookmarkEnd w:id="238"/>
      <w:bookmarkEnd w:id="23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通过地质工作，在区内共圈出两条矿体，分别为K1矿和K2矿。矿体主要赋存于寒武系—志留系（∈-S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地层的黑色炭质硅质岩中，呈北西-南东向展布，与区域地层走向线一致，受层位、岩性控制，层控特征明显。矿体特征如下：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K1矿体：为重晶石、毒重石矿体，矿体地表由TC1、TC2、TC3三个槽探工程及浅部PD1、PD2、PD3穿、沿脉工程控制，矿体地表出露长度310米，矿体出露最高标高908米，最低标高660米，工程控制高差248米，单工程矿体厚度1.03~2.03米，平均厚度1.51米，厚度较稳定。单工程矿体品位BaCO</w:t>
      </w:r>
      <w:r>
        <w:rPr>
          <w:rFonts w:hint="default" w:ascii="Times New Roman" w:hAnsi="Times New Roman" w:eastAsia="宋体" w:cs="Times New Roman"/>
          <w:color w:val="000000" w:themeColor="text1"/>
          <w:sz w:val="24"/>
          <w:szCs w:val="24"/>
          <w:vertAlign w:val="subscript"/>
        </w:rPr>
        <w:t>3</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rPr>
        <w:t>56.00~82.00%</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矿体平均品位BaCO</w:t>
      </w:r>
      <w:r>
        <w:rPr>
          <w:rFonts w:hint="default" w:ascii="Times New Roman" w:hAnsi="Times New Roman" w:eastAsia="宋体" w:cs="Times New Roman"/>
          <w:color w:val="000000" w:themeColor="text1"/>
          <w:sz w:val="24"/>
          <w:szCs w:val="24"/>
          <w:vertAlign w:val="subscript"/>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73.37%</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矿体产状35 º—65°∠45°—60 º，矿体平均产状45 °∠53°。矿体赋存标高655米~908米，并有向深部延伸的趋势。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K2矿体：为重晶石矿体，矿体地表由TC11、TC12两个槽探工程及浅部PD4穿脉工程控制，矿体地表出露长度205米，矿体出露最高标高845米，最低标高708米，工程控制高差137米，单工程矿体厚度1.13~1.23米，平均厚度1.18米，厚度较稳定。单工程矿体品位BaSO</w:t>
      </w:r>
      <w:r>
        <w:rPr>
          <w:rFonts w:hint="default" w:ascii="Times New Roman" w:hAnsi="Times New Roman" w:eastAsia="宋体" w:cs="Times New Roman"/>
          <w:color w:val="000000" w:themeColor="text1"/>
          <w:sz w:val="24"/>
          <w:szCs w:val="24"/>
          <w:vertAlign w:val="subscript"/>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89.13—95.39%</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矿体平均品位BaSO</w:t>
      </w:r>
      <w:r>
        <w:rPr>
          <w:rFonts w:hint="default" w:ascii="Times New Roman" w:hAnsi="Times New Roman" w:eastAsia="宋体" w:cs="Times New Roman"/>
          <w:color w:val="000000" w:themeColor="text1"/>
          <w:sz w:val="24"/>
          <w:szCs w:val="24"/>
          <w:vertAlign w:val="subscript"/>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92.06%</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矿体产状39 º~42°∠49°—51 º，矿体平均产状40 °∠50°。矿体赋存标高708米~845米，并有向深部延伸、厚度变厚的趋势。</w:t>
      </w:r>
    </w:p>
    <w:p>
      <w:pPr>
        <w:pStyle w:val="5"/>
        <w:rPr>
          <w:rFonts w:hint="default"/>
          <w:color w:val="000000" w:themeColor="text1"/>
          <w:lang w:val="en-US" w:eastAsia="zh-CN"/>
        </w:rPr>
      </w:pPr>
      <w:bookmarkStart w:id="240" w:name="_Toc15400_WPSOffice_Level3"/>
      <w:bookmarkStart w:id="241" w:name="_Toc10118"/>
      <w:r>
        <w:rPr>
          <w:rFonts w:hint="eastAsia"/>
          <w:color w:val="000000" w:themeColor="text1"/>
          <w:lang w:val="en-US" w:eastAsia="zh-CN"/>
        </w:rPr>
        <w:t>矿物组成</w:t>
      </w:r>
      <w:bookmarkEnd w:id="240"/>
      <w:bookmarkEnd w:id="24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1、毒重石</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BaCO</w:t>
      </w:r>
      <w:r>
        <w:rPr>
          <w:rFonts w:hint="default" w:ascii="Times New Roman" w:hAnsi="Times New Roman" w:eastAsia="宋体" w:cs="Times New Roman"/>
          <w:color w:val="FF0000"/>
          <w:sz w:val="24"/>
          <w:szCs w:val="24"/>
          <w:vertAlign w:val="subscript"/>
        </w:rPr>
        <w:t>3</w:t>
      </w:r>
      <w:r>
        <w:rPr>
          <w:rFonts w:hint="default" w:ascii="Times New Roman" w:hAnsi="Times New Roman" w:eastAsia="宋体" w:cs="Times New Roman"/>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矿石的有用矿物为白色、深灰——灰色毒重石，含量约占矿物总量的90~95%。脉石矿物含量较少，主要为重晶石、石英、绿泥石等，约占矿物总量的5~10%。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2、重晶石</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BaSO</w:t>
      </w:r>
      <w:r>
        <w:rPr>
          <w:rFonts w:hint="default" w:ascii="Times New Roman" w:hAnsi="Times New Roman" w:eastAsia="宋体" w:cs="Times New Roman"/>
          <w:color w:val="FF0000"/>
          <w:sz w:val="24"/>
          <w:szCs w:val="24"/>
          <w:vertAlign w:val="subscript"/>
        </w:rPr>
        <w:t>4</w:t>
      </w:r>
      <w:r>
        <w:rPr>
          <w:rFonts w:hint="eastAsia" w:ascii="Times New Roman" w:hAnsi="Times New Roman" w:eastAsia="宋体" w:cs="Times New Roman"/>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呈白、灰、深灰及黄褐等颜色。主要矿物成分为重晶石，含量≥90%；次为石英、毒重石、斜钡钙石；含有少量的方解石、碳质、钡钒云母、铝硅钡石及微量黄铁矿。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3、化学成分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①重晶石矿石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有益化学组分主要为BaSO</w:t>
      </w:r>
      <w:r>
        <w:rPr>
          <w:rFonts w:hint="default" w:ascii="Times New Roman" w:hAnsi="Times New Roman" w:eastAsia="宋体" w:cs="Times New Roman"/>
          <w:color w:val="FF0000"/>
          <w:sz w:val="24"/>
          <w:szCs w:val="24"/>
          <w:vertAlign w:val="subscript"/>
        </w:rPr>
        <w:t>4</w:t>
      </w:r>
      <w:r>
        <w:rPr>
          <w:rFonts w:hint="default" w:ascii="Times New Roman" w:hAnsi="Times New Roman" w:eastAsia="宋体" w:cs="Times New Roman"/>
          <w:color w:val="FF0000"/>
          <w:sz w:val="24"/>
          <w:szCs w:val="24"/>
        </w:rPr>
        <w:t>，含量89.36～96.82%；其次为 BaCO</w:t>
      </w:r>
      <w:r>
        <w:rPr>
          <w:rFonts w:hint="default" w:ascii="Times New Roman" w:hAnsi="Times New Roman" w:eastAsia="宋体" w:cs="Times New Roman"/>
          <w:color w:val="FF0000"/>
          <w:sz w:val="24"/>
          <w:szCs w:val="24"/>
          <w:vertAlign w:val="subscript"/>
        </w:rPr>
        <w:t>3</w:t>
      </w:r>
      <w:r>
        <w:rPr>
          <w:rFonts w:hint="default" w:ascii="Times New Roman" w:hAnsi="Times New Roman" w:eastAsia="宋体" w:cs="Times New Roman"/>
          <w:color w:val="FF0000"/>
          <w:sz w:val="24"/>
          <w:szCs w:val="24"/>
        </w:rPr>
        <w:t>含量0.28～2.87%，与BaSO</w:t>
      </w:r>
      <w:r>
        <w:rPr>
          <w:rFonts w:hint="default" w:ascii="Times New Roman" w:hAnsi="Times New Roman" w:eastAsia="宋体" w:cs="Times New Roman"/>
          <w:color w:val="FF0000"/>
          <w:sz w:val="24"/>
          <w:szCs w:val="24"/>
          <w:vertAlign w:val="subscript"/>
        </w:rPr>
        <w:t>4</w:t>
      </w:r>
      <w:r>
        <w:rPr>
          <w:rFonts w:hint="default" w:ascii="Times New Roman" w:hAnsi="Times New Roman" w:eastAsia="宋体" w:cs="Times New Roman"/>
          <w:color w:val="FF0000"/>
          <w:sz w:val="24"/>
          <w:szCs w:val="24"/>
        </w:rPr>
        <w:t>呈反消长关系。有害组分含量为：SiO</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rPr>
        <w:t xml:space="preserve"> 0.72～4.53%、Fe</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rPr>
        <w:t>O</w:t>
      </w:r>
      <w:r>
        <w:rPr>
          <w:rFonts w:hint="default" w:ascii="Times New Roman" w:hAnsi="Times New Roman" w:eastAsia="宋体" w:cs="Times New Roman"/>
          <w:color w:val="FF0000"/>
          <w:sz w:val="24"/>
          <w:szCs w:val="24"/>
          <w:vertAlign w:val="subscript"/>
        </w:rPr>
        <w:t>3</w:t>
      </w:r>
      <w:r>
        <w:rPr>
          <w:rFonts w:hint="default" w:ascii="Times New Roman" w:hAnsi="Times New Roman" w:eastAsia="宋体" w:cs="Times New Roman"/>
          <w:color w:val="FF0000"/>
          <w:sz w:val="24"/>
          <w:szCs w:val="24"/>
        </w:rPr>
        <w:t xml:space="preserve"> 1.079～0.270%、Al</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rPr>
        <w:t>O</w:t>
      </w:r>
      <w:r>
        <w:rPr>
          <w:rFonts w:hint="default" w:ascii="Times New Roman" w:hAnsi="Times New Roman" w:eastAsia="宋体" w:cs="Times New Roman"/>
          <w:color w:val="FF0000"/>
          <w:sz w:val="24"/>
          <w:szCs w:val="24"/>
          <w:vertAlign w:val="subscript"/>
        </w:rPr>
        <w:t>3</w:t>
      </w:r>
      <w:r>
        <w:rPr>
          <w:rFonts w:hint="default" w:ascii="Times New Roman" w:hAnsi="Times New Roman" w:eastAsia="宋体" w:cs="Times New Roman"/>
          <w:color w:val="FF0000"/>
          <w:sz w:val="24"/>
          <w:szCs w:val="24"/>
        </w:rPr>
        <w:t xml:space="preserve"> 0.00%、水溶盐52.14～100.27mg/L。矿石中有益组分含量较高，有害组分含量较低，能满足化工用毒重石粉合格品级质量指标要求。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②毒重石矿石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根据项目已批复的资源储量核实报告可知，矿石刻槽化学样品进行组合样分析，其结果见表3.</w:t>
      </w:r>
      <w:r>
        <w:rPr>
          <w:rFonts w:hint="eastAsia"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5</w:t>
      </w:r>
      <w:r>
        <w:rPr>
          <w:rFonts w:hint="default" w:ascii="Times New Roman" w:hAnsi="Times New Roman" w:eastAsia="宋体" w:cs="Times New Roman"/>
          <w:color w:val="FF0000"/>
          <w:sz w:val="24"/>
          <w:szCs w:val="24"/>
        </w:rPr>
        <w:t>。</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22" w:firstLineChars="200"/>
        <w:textAlignment w:val="auto"/>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表3.</w:t>
      </w:r>
      <w:r>
        <w:rPr>
          <w:rFonts w:hint="eastAsia" w:ascii="Times New Roman" w:hAnsi="Times New Roman" w:eastAsia="宋体" w:cs="Times New Roman"/>
          <w:b/>
          <w:bCs w:val="0"/>
          <w:color w:val="FF0000"/>
          <w:sz w:val="21"/>
          <w:szCs w:val="21"/>
          <w:lang w:val="en-US" w:eastAsia="zh-CN"/>
        </w:rPr>
        <w:t>2</w:t>
      </w:r>
      <w:r>
        <w:rPr>
          <w:rFonts w:hint="default" w:ascii="Times New Roman" w:hAnsi="Times New Roman" w:eastAsia="宋体" w:cs="Times New Roman"/>
          <w:b/>
          <w:bCs w:val="0"/>
          <w:color w:val="FF0000"/>
          <w:sz w:val="21"/>
          <w:szCs w:val="21"/>
        </w:rPr>
        <w:t>-</w:t>
      </w:r>
      <w:r>
        <w:rPr>
          <w:rFonts w:hint="eastAsia" w:ascii="Times New Roman" w:hAnsi="Times New Roman" w:eastAsia="宋体" w:cs="Times New Roman"/>
          <w:b/>
          <w:bCs w:val="0"/>
          <w:color w:val="FF0000"/>
          <w:sz w:val="21"/>
          <w:szCs w:val="21"/>
          <w:lang w:val="en-US" w:eastAsia="zh-CN"/>
        </w:rPr>
        <w:t>5</w:t>
      </w:r>
      <w:r>
        <w:rPr>
          <w:rFonts w:hint="default" w:ascii="Times New Roman" w:hAnsi="Times New Roman" w:eastAsia="宋体" w:cs="Times New Roman"/>
          <w:b/>
          <w:bCs w:val="0"/>
          <w:color w:val="FF0000"/>
          <w:sz w:val="21"/>
          <w:szCs w:val="21"/>
        </w:rPr>
        <w:t xml:space="preserve">  毒重石矿石组合样化学分析结果表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30"/>
        <w:gridCol w:w="1429"/>
        <w:gridCol w:w="1429"/>
        <w:gridCol w:w="1429"/>
        <w:gridCol w:w="1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化学成份</w:t>
            </w:r>
          </w:p>
        </w:tc>
        <w:tc>
          <w:tcPr>
            <w:tcW w:w="14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vertAlign w:val="subscript"/>
              </w:rPr>
            </w:pPr>
            <w:r>
              <w:rPr>
                <w:rFonts w:hint="default" w:ascii="Times New Roman" w:hAnsi="Times New Roman" w:eastAsia="宋体" w:cs="Times New Roman"/>
                <w:color w:val="FF0000"/>
                <w:sz w:val="21"/>
                <w:szCs w:val="21"/>
              </w:rPr>
              <w:t>SiO</w:t>
            </w:r>
            <w:r>
              <w:rPr>
                <w:rFonts w:hint="default" w:ascii="Times New Roman" w:hAnsi="Times New Roman" w:eastAsia="宋体" w:cs="Times New Roman"/>
                <w:color w:val="FF0000"/>
                <w:sz w:val="21"/>
                <w:szCs w:val="21"/>
                <w:vertAlign w:val="subscript"/>
              </w:rPr>
              <w:t>2</w:t>
            </w:r>
          </w:p>
        </w:tc>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vertAlign w:val="subscript"/>
              </w:rPr>
            </w:pPr>
            <w:r>
              <w:rPr>
                <w:rFonts w:hint="default" w:ascii="Times New Roman" w:hAnsi="Times New Roman" w:eastAsia="宋体" w:cs="Times New Roman"/>
                <w:color w:val="FF0000"/>
                <w:sz w:val="21"/>
                <w:szCs w:val="21"/>
              </w:rPr>
              <w:t>BaCO</w:t>
            </w:r>
            <w:r>
              <w:rPr>
                <w:rFonts w:hint="default" w:ascii="Times New Roman" w:hAnsi="Times New Roman" w:eastAsia="宋体" w:cs="Times New Roman"/>
                <w:color w:val="FF0000"/>
                <w:sz w:val="21"/>
                <w:szCs w:val="21"/>
                <w:vertAlign w:val="subscript"/>
              </w:rPr>
              <w:t>3</w:t>
            </w:r>
          </w:p>
        </w:tc>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vertAlign w:val="subscript"/>
              </w:rPr>
            </w:pPr>
            <w:r>
              <w:rPr>
                <w:rFonts w:hint="default" w:ascii="Times New Roman" w:hAnsi="Times New Roman" w:eastAsia="宋体" w:cs="Times New Roman"/>
                <w:color w:val="FF0000"/>
                <w:sz w:val="21"/>
                <w:szCs w:val="21"/>
              </w:rPr>
              <w:t>BaSO</w:t>
            </w:r>
            <w:r>
              <w:rPr>
                <w:rFonts w:hint="default" w:ascii="Times New Roman" w:hAnsi="Times New Roman" w:eastAsia="宋体" w:cs="Times New Roman"/>
                <w:color w:val="FF0000"/>
                <w:sz w:val="21"/>
                <w:szCs w:val="21"/>
                <w:vertAlign w:val="subscript"/>
              </w:rPr>
              <w:t>4</w:t>
            </w:r>
          </w:p>
        </w:tc>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vertAlign w:val="subscript"/>
              </w:rPr>
            </w:pPr>
            <w:r>
              <w:rPr>
                <w:rFonts w:hint="default" w:ascii="Times New Roman" w:hAnsi="Times New Roman" w:eastAsia="宋体" w:cs="Times New Roman"/>
                <w:color w:val="FF0000"/>
                <w:sz w:val="21"/>
                <w:szCs w:val="21"/>
              </w:rPr>
              <w:t>R</w:t>
            </w:r>
            <w:r>
              <w:rPr>
                <w:rFonts w:hint="default" w:ascii="Times New Roman" w:hAnsi="Times New Roman" w:eastAsia="宋体" w:cs="Times New Roman"/>
                <w:color w:val="FF0000"/>
                <w:sz w:val="21"/>
                <w:szCs w:val="21"/>
                <w:vertAlign w:val="subscript"/>
              </w:rPr>
              <w:t>2</w:t>
            </w:r>
            <w:r>
              <w:rPr>
                <w:rFonts w:hint="default" w:ascii="Times New Roman" w:hAnsi="Times New Roman" w:eastAsia="宋体" w:cs="Times New Roman"/>
                <w:color w:val="FF0000"/>
                <w:sz w:val="21"/>
                <w:szCs w:val="21"/>
              </w:rPr>
              <w:t>O</w:t>
            </w:r>
            <w:r>
              <w:rPr>
                <w:rFonts w:hint="default" w:ascii="Times New Roman" w:hAnsi="Times New Roman" w:eastAsia="宋体" w:cs="Times New Roman"/>
                <w:color w:val="FF0000"/>
                <w:sz w:val="21"/>
                <w:szCs w:val="21"/>
                <w:vertAlign w:val="subscript"/>
              </w:rPr>
              <w:t>3</w:t>
            </w:r>
          </w:p>
        </w:tc>
        <w:tc>
          <w:tcPr>
            <w:tcW w:w="181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vertAlign w:val="subscript"/>
              </w:rPr>
            </w:pPr>
            <w:r>
              <w:rPr>
                <w:rFonts w:hint="default" w:ascii="Times New Roman" w:hAnsi="Times New Roman" w:eastAsia="宋体" w:cs="Times New Roman"/>
                <w:color w:val="FF0000"/>
                <w:sz w:val="21"/>
                <w:szCs w:val="21"/>
              </w:rPr>
              <w:t>CaO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含量（%）</w:t>
            </w:r>
          </w:p>
        </w:tc>
        <w:tc>
          <w:tcPr>
            <w:tcW w:w="14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5.85</w:t>
            </w:r>
          </w:p>
        </w:tc>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76.72</w:t>
            </w:r>
          </w:p>
        </w:tc>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12.38</w:t>
            </w:r>
          </w:p>
        </w:tc>
        <w:tc>
          <w:tcPr>
            <w:tcW w:w="142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1.06</w:t>
            </w:r>
          </w:p>
        </w:tc>
        <w:tc>
          <w:tcPr>
            <w:tcW w:w="181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2.20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矿石中有益组分含量较高，有害组分含量较低，满足工业利用毒重石的指标要求。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4、结构、构造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毒重石：为自形—半自形粗晶结构、包含结构等。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重晶石：有细晶结构、中—粗晶结构有细晶结构、中-粗晶结构。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重晶石、毒重石矿石构造为块状、条带状构造。其中：块状矿石呈致密块状，较坚硬，颜色浅，呈白、灰白色；条带状矿石为在平行层理的韵律层间由于含碳量的差异，而形成深灰—灰白、灰—白相间的条带，条带宽2～15m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5、矿石自然类型和工业类型</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bCs/>
          <w:color w:val="FF0000"/>
          <w:sz w:val="24"/>
          <w:szCs w:val="24"/>
        </w:rPr>
      </w:pPr>
      <w:r>
        <w:rPr>
          <w:rFonts w:hint="default" w:ascii="Times New Roman" w:hAnsi="Times New Roman" w:eastAsia="宋体" w:cs="Times New Roman"/>
          <w:color w:val="FF0000"/>
          <w:sz w:val="24"/>
          <w:szCs w:val="24"/>
        </w:rPr>
        <w:t>矿区毒重石、重晶石矿属沉积型，矿石为单一的毒重石、重晶石型，企业主要销售原矿，易选、易加工，主要通过手选和重选加工成矿粉外售于化工用毒重石、重晶石。其常用选矿工艺，一般经过一次洗矿、两段破碎、一段跳汰选出矿粉。矿石加工技术性能简单。</w:t>
      </w:r>
    </w:p>
    <w:p>
      <w:pPr>
        <w:pStyle w:val="5"/>
        <w:rPr>
          <w:rFonts w:hint="default"/>
          <w:color w:val="000000" w:themeColor="text1"/>
          <w:lang w:val="en-US" w:eastAsia="zh-CN"/>
        </w:rPr>
      </w:pPr>
      <w:bookmarkStart w:id="242" w:name="_Toc10041_WPSOffice_Level3"/>
      <w:bookmarkStart w:id="243" w:name="_Toc3842"/>
      <w:r>
        <w:rPr>
          <w:rFonts w:hint="default"/>
          <w:color w:val="000000" w:themeColor="text1"/>
          <w:lang w:val="en-US" w:eastAsia="zh-CN"/>
        </w:rPr>
        <w:t>产品方案</w:t>
      </w:r>
      <w:bookmarkEnd w:id="242"/>
      <w:bookmarkEnd w:id="243"/>
    </w:p>
    <w:p>
      <w:pPr>
        <w:pStyle w:val="12"/>
        <w:adjustRightInd w:val="0"/>
        <w:snapToGrid w:val="0"/>
        <w:spacing w:after="0" w:line="360" w:lineRule="auto"/>
        <w:ind w:firstLine="0" w:firstLineChars="0"/>
        <w:jc w:val="center"/>
        <w:rPr>
          <w:rFonts w:hint="default" w:ascii="Times New Roman" w:hAnsi="Times New Roman" w:eastAsia="宋体" w:cs="Times New Roman"/>
          <w:b/>
          <w:bCs/>
          <w:color w:val="FF0000"/>
          <w:sz w:val="21"/>
          <w:szCs w:val="21"/>
          <w:vertAlign w:val="baseline"/>
          <w:lang w:val="en-US" w:eastAsia="zh-CN"/>
        </w:rPr>
      </w:pPr>
      <w:r>
        <w:rPr>
          <w:rFonts w:hint="eastAsia" w:ascii="Times New Roman" w:hAnsi="Times New Roman" w:eastAsia="宋体" w:cs="Times New Roman"/>
          <w:b/>
          <w:bCs/>
          <w:color w:val="FF0000"/>
          <w:sz w:val="21"/>
          <w:szCs w:val="21"/>
          <w:lang w:val="en-US" w:eastAsia="zh-CN"/>
        </w:rPr>
        <w:t>表3.2-6  本项目产品方案一览表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778"/>
        <w:gridCol w:w="65"/>
        <w:gridCol w:w="1713"/>
        <w:gridCol w:w="130"/>
        <w:gridCol w:w="1647"/>
        <w:gridCol w:w="17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产品名称</w:t>
            </w:r>
          </w:p>
        </w:tc>
        <w:tc>
          <w:tcPr>
            <w:tcW w:w="1843"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总储量</w:t>
            </w:r>
          </w:p>
        </w:tc>
        <w:tc>
          <w:tcPr>
            <w:tcW w:w="1843"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日产量（</w:t>
            </w:r>
            <w:r>
              <w:rPr>
                <w:rFonts w:hint="default" w:ascii="Times New Roman" w:hAnsi="Times New Roman" w:eastAsia="宋体" w:cs="Times New Roman"/>
                <w:color w:val="FF0000"/>
              </w:rPr>
              <w:t>t/</w:t>
            </w:r>
            <w:r>
              <w:rPr>
                <w:rFonts w:hint="default" w:ascii="Times New Roman" w:hAnsi="Times New Roman" w:eastAsia="宋体" w:cs="Times New Roman"/>
                <w:color w:val="FF0000"/>
                <w:lang w:val="en-US" w:eastAsia="zh-CN"/>
              </w:rPr>
              <w:t>d</w:t>
            </w:r>
            <w:r>
              <w:rPr>
                <w:rFonts w:hint="default" w:ascii="Times New Roman" w:hAnsi="Times New Roman" w:eastAsia="宋体" w:cs="Times New Roman"/>
                <w:b w:val="0"/>
                <w:bCs w:val="0"/>
                <w:color w:val="FF0000"/>
                <w:sz w:val="21"/>
                <w:szCs w:val="21"/>
                <w:vertAlign w:val="baseline"/>
                <w:lang w:val="en-US" w:eastAsia="zh-CN"/>
              </w:rPr>
              <w:t>）</w:t>
            </w:r>
          </w:p>
        </w:tc>
        <w:tc>
          <w:tcPr>
            <w:tcW w:w="164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年产量（</w:t>
            </w:r>
            <w:r>
              <w:rPr>
                <w:rFonts w:hint="default" w:ascii="Times New Roman" w:hAnsi="Times New Roman" w:eastAsia="宋体" w:cs="Times New Roman"/>
                <w:color w:val="FF0000"/>
              </w:rPr>
              <w:t>t/</w:t>
            </w:r>
            <w:r>
              <w:rPr>
                <w:rFonts w:hint="default" w:ascii="Times New Roman" w:hAnsi="Times New Roman" w:eastAsia="宋体" w:cs="Times New Roman"/>
                <w:color w:val="FF0000"/>
                <w:lang w:val="en-US" w:eastAsia="zh-CN"/>
              </w:rPr>
              <w:t>a</w:t>
            </w:r>
            <w:r>
              <w:rPr>
                <w:rFonts w:hint="default" w:ascii="Times New Roman" w:hAnsi="Times New Roman" w:eastAsia="宋体" w:cs="Times New Roman"/>
                <w:b w:val="0"/>
                <w:bCs w:val="0"/>
                <w:color w:val="FF0000"/>
                <w:sz w:val="21"/>
                <w:szCs w:val="21"/>
                <w:vertAlign w:val="baseline"/>
                <w:lang w:val="en-US" w:eastAsia="zh-CN"/>
              </w:rPr>
              <w:t>）</w:t>
            </w:r>
          </w:p>
        </w:tc>
        <w:tc>
          <w:tcPr>
            <w:tcW w:w="178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服务年限（</w:t>
            </w:r>
            <w:r>
              <w:rPr>
                <w:rFonts w:hint="default" w:ascii="Times New Roman" w:hAnsi="Times New Roman" w:eastAsia="宋体" w:cs="Times New Roman"/>
                <w:color w:val="FF0000"/>
                <w:lang w:val="en-US" w:eastAsia="zh-CN"/>
              </w:rPr>
              <w:t>a</w:t>
            </w: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3"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毒重石、重晶石原矿</w:t>
            </w:r>
          </w:p>
        </w:tc>
        <w:tc>
          <w:tcPr>
            <w:tcW w:w="1843"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29.62</w:t>
            </w:r>
            <w:r>
              <w:rPr>
                <w:rFonts w:hint="eastAsia" w:ascii="Times New Roman" w:hAnsi="Times New Roman" w:eastAsia="宋体" w:cs="Times New Roman"/>
                <w:color w:val="FF0000"/>
                <w:sz w:val="21"/>
                <w:szCs w:val="21"/>
                <w:lang w:val="en-US" w:eastAsia="zh-CN"/>
              </w:rPr>
              <w:t>万吨</w:t>
            </w:r>
          </w:p>
        </w:tc>
        <w:tc>
          <w:tcPr>
            <w:tcW w:w="1843"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166.7</w:t>
            </w:r>
          </w:p>
        </w:tc>
        <w:tc>
          <w:tcPr>
            <w:tcW w:w="164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5万</w:t>
            </w:r>
          </w:p>
        </w:tc>
        <w:tc>
          <w:tcPr>
            <w:tcW w:w="178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5.9（不含基建期）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84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p>
        </w:tc>
        <w:tc>
          <w:tcPr>
            <w:tcW w:w="7114" w:type="dxa"/>
            <w:gridSpan w:val="6"/>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现有项目已开采：3.5万吨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p>
        </w:tc>
        <w:tc>
          <w:tcPr>
            <w:tcW w:w="17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剩余储量</w:t>
            </w:r>
          </w:p>
        </w:tc>
        <w:tc>
          <w:tcPr>
            <w:tcW w:w="1778"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日产量（</w:t>
            </w:r>
            <w:r>
              <w:rPr>
                <w:rFonts w:hint="default" w:ascii="Times New Roman" w:hAnsi="Times New Roman" w:eastAsia="宋体" w:cs="Times New Roman"/>
                <w:color w:val="FF0000"/>
              </w:rPr>
              <w:t>t/</w:t>
            </w:r>
            <w:r>
              <w:rPr>
                <w:rFonts w:hint="default" w:ascii="Times New Roman" w:hAnsi="Times New Roman" w:eastAsia="宋体" w:cs="Times New Roman"/>
                <w:color w:val="FF0000"/>
                <w:lang w:val="en-US" w:eastAsia="zh-CN"/>
              </w:rPr>
              <w:t>d</w:t>
            </w:r>
            <w:r>
              <w:rPr>
                <w:rFonts w:hint="default" w:ascii="Times New Roman" w:hAnsi="Times New Roman" w:eastAsia="宋体" w:cs="Times New Roman"/>
                <w:b w:val="0"/>
                <w:bCs w:val="0"/>
                <w:color w:val="FF0000"/>
                <w:sz w:val="21"/>
                <w:szCs w:val="21"/>
                <w:vertAlign w:val="baseline"/>
                <w:lang w:val="en-US" w:eastAsia="zh-CN"/>
              </w:rPr>
              <w:t>）</w:t>
            </w:r>
          </w:p>
        </w:tc>
        <w:tc>
          <w:tcPr>
            <w:tcW w:w="1777"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年产量（</w:t>
            </w:r>
            <w:r>
              <w:rPr>
                <w:rFonts w:hint="default" w:ascii="Times New Roman" w:hAnsi="Times New Roman" w:eastAsia="宋体" w:cs="Times New Roman"/>
                <w:color w:val="FF0000"/>
              </w:rPr>
              <w:t>t/</w:t>
            </w:r>
            <w:r>
              <w:rPr>
                <w:rFonts w:hint="default" w:ascii="Times New Roman" w:hAnsi="Times New Roman" w:eastAsia="宋体" w:cs="Times New Roman"/>
                <w:color w:val="FF0000"/>
                <w:lang w:val="en-US" w:eastAsia="zh-CN"/>
              </w:rPr>
              <w:t>a</w:t>
            </w:r>
            <w:r>
              <w:rPr>
                <w:rFonts w:hint="default" w:ascii="Times New Roman" w:hAnsi="Times New Roman" w:eastAsia="宋体" w:cs="Times New Roman"/>
                <w:b w:val="0"/>
                <w:bCs w:val="0"/>
                <w:color w:val="FF0000"/>
                <w:sz w:val="21"/>
                <w:szCs w:val="21"/>
                <w:vertAlign w:val="baseline"/>
                <w:lang w:val="en-US" w:eastAsia="zh-CN"/>
              </w:rPr>
              <w:t>）</w:t>
            </w:r>
          </w:p>
        </w:tc>
        <w:tc>
          <w:tcPr>
            <w:tcW w:w="178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服务年限（</w:t>
            </w:r>
            <w:r>
              <w:rPr>
                <w:rFonts w:hint="default" w:ascii="Times New Roman" w:hAnsi="Times New Roman" w:eastAsia="宋体" w:cs="Times New Roman"/>
                <w:color w:val="FF0000"/>
                <w:lang w:val="en-US" w:eastAsia="zh-CN"/>
              </w:rPr>
              <w:t>a</w:t>
            </w: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p>
        </w:tc>
        <w:tc>
          <w:tcPr>
            <w:tcW w:w="177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26.12</w:t>
            </w:r>
          </w:p>
        </w:tc>
        <w:tc>
          <w:tcPr>
            <w:tcW w:w="1778"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166.7</w:t>
            </w:r>
          </w:p>
        </w:tc>
        <w:tc>
          <w:tcPr>
            <w:tcW w:w="1777"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5万</w:t>
            </w:r>
          </w:p>
        </w:tc>
        <w:tc>
          <w:tcPr>
            <w:tcW w:w="178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5.3（不含基建期）</w:t>
            </w:r>
          </w:p>
        </w:tc>
      </w:tr>
    </w:tbl>
    <w:p>
      <w:pPr>
        <w:pStyle w:val="5"/>
        <w:rPr>
          <w:rFonts w:hint="eastAsia"/>
          <w:color w:val="000000" w:themeColor="text1"/>
          <w:lang w:val="en-US" w:eastAsia="zh-CN"/>
        </w:rPr>
      </w:pPr>
      <w:bookmarkStart w:id="244" w:name="_Toc7829"/>
      <w:bookmarkStart w:id="245" w:name="_Toc14638_WPSOffice_Level3"/>
      <w:r>
        <w:rPr>
          <w:rFonts w:hint="eastAsia"/>
          <w:color w:val="000000" w:themeColor="text1"/>
          <w:lang w:val="en-US" w:eastAsia="zh-CN"/>
        </w:rPr>
        <w:t>矿山开采叙述</w:t>
      </w:r>
      <w:bookmarkEnd w:id="244"/>
      <w:bookmarkEnd w:id="245"/>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0"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开采范围</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扩建工程采矿范围与原有项目相同，根据安康市国土资源局2019年1月20日核发的旬阳县赤岩镇水磨河口构皮沟毒重石矿采矿许可证，证号：C6109002009126120047872。矿区由五个拐点坐标圈定，开采深度：由+1280m至+450m，矿区面积：2.3842km</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lang w:eastAsia="zh-CN"/>
        </w:rPr>
        <w:t>矿区</w:t>
      </w:r>
      <w:r>
        <w:rPr>
          <w:rFonts w:hint="default" w:ascii="Times New Roman" w:hAnsi="Times New Roman" w:eastAsia="宋体" w:cs="Times New Roman"/>
          <w:color w:val="000000" w:themeColor="text1"/>
          <w:sz w:val="24"/>
          <w:szCs w:val="24"/>
        </w:rPr>
        <w:t>范围见</w:t>
      </w:r>
      <w:r>
        <w:rPr>
          <w:rFonts w:hint="eastAsia" w:ascii="Times New Roman" w:hAnsi="Times New Roman" w:eastAsia="宋体" w:cs="Times New Roman"/>
          <w:color w:val="000000" w:themeColor="text1"/>
          <w:sz w:val="24"/>
          <w:szCs w:val="24"/>
          <w:lang w:val="en-US" w:eastAsia="zh-CN"/>
        </w:rPr>
        <w:t>附</w:t>
      </w:r>
      <w:r>
        <w:rPr>
          <w:rFonts w:hint="default" w:ascii="Times New Roman" w:hAnsi="Times New Roman" w:eastAsia="宋体" w:cs="Times New Roman"/>
          <w:color w:val="000000" w:themeColor="text1"/>
          <w:sz w:val="24"/>
          <w:szCs w:val="24"/>
        </w:rPr>
        <w:t>图</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表3.2-7  矿区范围拐点坐标（坐标系：1980西安坐标系）</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7"/>
        <w:gridCol w:w="3063"/>
        <w:gridCol w:w="3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拐点</w:t>
            </w:r>
          </w:p>
        </w:tc>
        <w:tc>
          <w:tcPr>
            <w:tcW w:w="3063"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X坐标</w:t>
            </w:r>
          </w:p>
        </w:tc>
        <w:tc>
          <w:tcPr>
            <w:tcW w:w="302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Y坐标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w:t>
            </w:r>
          </w:p>
        </w:tc>
        <w:tc>
          <w:tcPr>
            <w:tcW w:w="3063"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3613096.65</w:t>
            </w:r>
          </w:p>
        </w:tc>
        <w:tc>
          <w:tcPr>
            <w:tcW w:w="302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37363160.79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2</w:t>
            </w:r>
          </w:p>
        </w:tc>
        <w:tc>
          <w:tcPr>
            <w:tcW w:w="3063"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3612921.65</w:t>
            </w:r>
          </w:p>
        </w:tc>
        <w:tc>
          <w:tcPr>
            <w:tcW w:w="302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37363680.79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w:t>
            </w:r>
          </w:p>
        </w:tc>
        <w:tc>
          <w:tcPr>
            <w:tcW w:w="3063"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3610896.74</w:t>
            </w:r>
          </w:p>
        </w:tc>
        <w:tc>
          <w:tcPr>
            <w:tcW w:w="302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37365780.92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4</w:t>
            </w:r>
          </w:p>
        </w:tc>
        <w:tc>
          <w:tcPr>
            <w:tcW w:w="3063"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3610896.73</w:t>
            </w:r>
          </w:p>
        </w:tc>
        <w:tc>
          <w:tcPr>
            <w:tcW w:w="302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37364430.91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5</w:t>
            </w:r>
          </w:p>
        </w:tc>
        <w:tc>
          <w:tcPr>
            <w:tcW w:w="3063"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3612046.64</w:t>
            </w:r>
          </w:p>
        </w:tc>
        <w:tc>
          <w:tcPr>
            <w:tcW w:w="302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37363260.79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867" w:type="dxa"/>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开采深度</w:t>
            </w:r>
          </w:p>
        </w:tc>
        <w:tc>
          <w:tcPr>
            <w:tcW w:w="6090" w:type="dxa"/>
            <w:gridSpan w:val="2"/>
            <w:tcBorders>
              <w:tl2br w:val="nil"/>
              <w:tr2bl w:val="nil"/>
            </w:tcBorders>
            <w:vAlign w:val="center"/>
          </w:tcPr>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由1280米至450米标高，共有5个拐点圈定</w:t>
            </w:r>
          </w:p>
        </w:tc>
      </w:tr>
    </w:tbl>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开采方式</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矿开采矿体为倾斜薄矿体，且矿区地处山区，地形受切割较强烈，若采用露天开采，剥采比将随着开采深度的下延而增大，经济上不合理；且大面积的开挖不仅损坏植被，且大量的废石堆放和管理比较困难。而采用地下开采方式回采，废石</w:t>
      </w:r>
      <w:r>
        <w:rPr>
          <w:rFonts w:hint="eastAsia" w:ascii="Times New Roman" w:hAnsi="Times New Roman" w:eastAsia="宋体" w:cs="Times New Roman"/>
          <w:color w:val="000000" w:themeColor="text1"/>
          <w:sz w:val="24"/>
          <w:szCs w:val="24"/>
          <w:lang w:val="en-US" w:eastAsia="zh-CN"/>
        </w:rPr>
        <w:t>产生</w:t>
      </w:r>
      <w:r>
        <w:rPr>
          <w:rFonts w:hint="default" w:ascii="Times New Roman" w:hAnsi="Times New Roman" w:eastAsia="宋体" w:cs="Times New Roman"/>
          <w:color w:val="000000" w:themeColor="text1"/>
          <w:sz w:val="24"/>
          <w:szCs w:val="24"/>
        </w:rPr>
        <w:t>少，对地表地质环境的破坏较小。因此本矿设计开采方式采用地下开采。</w:t>
      </w:r>
    </w:p>
    <w:p>
      <w:pPr>
        <w:pStyle w:val="6"/>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3</w:t>
      </w:r>
      <w:r>
        <w:rPr>
          <w:rFonts w:hint="eastAsia" w:ascii="Times New Roman" w:hAnsi="Times New Roman" w:eastAsia="宋体" w:cs="Times New Roman"/>
          <w:b w:val="0"/>
          <w:bCs w:val="0"/>
          <w:color w:val="FF0000"/>
          <w:sz w:val="24"/>
          <w:szCs w:val="24"/>
          <w:lang w:eastAsia="zh-CN"/>
        </w:rPr>
        <w:t>）开拓运输方式</w:t>
      </w:r>
    </w:p>
    <w:p>
      <w:pPr>
        <w:pStyle w:val="6"/>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val="0"/>
          <w:color w:val="FF0000"/>
          <w:kern w:val="2"/>
          <w:sz w:val="24"/>
          <w:szCs w:val="24"/>
          <w:lang w:val="en-US" w:eastAsia="zh-CN" w:bidi="ar-SA"/>
        </w:rPr>
      </w:pPr>
      <w:r>
        <w:rPr>
          <w:rFonts w:hint="eastAsia" w:ascii="Times New Roman" w:hAnsi="Times New Roman" w:eastAsia="宋体" w:cs="Times New Roman"/>
          <w:b w:val="0"/>
          <w:bCs w:val="0"/>
          <w:color w:val="FF0000"/>
          <w:kern w:val="2"/>
          <w:sz w:val="24"/>
          <w:szCs w:val="24"/>
          <w:lang w:val="en-US" w:eastAsia="zh-CN" w:bidi="ar-SA"/>
        </w:rPr>
        <w:t>矿体大部分位于当地侵蚀基准面以上，无大的富水层及含水构造，地形条件有利，本次开采对象为K1、K2矿体，矿体总体位于当地侵蚀基准面（500m）以上，宜采用平硐开拓方案。</w:t>
      </w:r>
      <w:r>
        <w:rPr>
          <w:rFonts w:hint="eastAsia" w:ascii="仿宋_GB2312"/>
          <w:b w:val="0"/>
          <w:bCs w:val="0"/>
          <w:color w:val="FF0000"/>
          <w:sz w:val="24"/>
          <w:szCs w:val="24"/>
        </w:rPr>
        <w:t>本矿井采平硐开拓方式，三轮车运输运输，不设提升系统。矿山采用平硐开拓，井下采用无轨运输方式，运输平硐承担全矿的矿石、废石、人员、设备及材料等运输任务。</w:t>
      </w:r>
    </w:p>
    <w:p>
      <w:pPr>
        <w:pStyle w:val="6"/>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4</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生产规模及服务年限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1、生产规模</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根据安康市国土资源局颁发的采矿许可证，其批准的生产规模为年开采毒重石、重晶石5万t/年。</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2、矿山服务年限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服务年限按下式计算：</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center"/>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
          <w:color w:val="000000" w:themeColor="text1"/>
          <w:sz w:val="24"/>
          <w:szCs w:val="24"/>
        </w:rPr>
        <w:t>T=</w:t>
      </w:r>
      <w:r>
        <w:rPr>
          <w:rFonts w:hint="default" w:ascii="Times New Roman" w:hAnsi="Times New Roman" w:eastAsia="宋体" w:cs="Times New Roman"/>
          <w:b/>
          <w:color w:val="000000" w:themeColor="text1"/>
          <w:sz w:val="24"/>
          <w:szCs w:val="24"/>
        </w:rPr>
        <w:object>
          <v:shape id="_x0000_i1025" o:spt="75" type="#_x0000_t75" style="height:33.05pt;width:55.05pt;" o:ole="t" filled="f" o:preferrelative="t" stroked="f" coordsize="21600,21600">
            <v:path/>
            <v:fill on="f" focussize="0,0"/>
            <v:stroke on="f" joinstyle="miter"/>
            <v:imagedata r:id="rId28" o:title=""/>
            <o:lock v:ext="edit" aspectratio="t"/>
            <w10:wrap type="none"/>
            <w10:anchorlock/>
          </v:shape>
          <o:OLEObject Type="Embed" ProgID="Equations" ShapeID="_x0000_i1025" DrawAspect="Content" ObjectID="_1468075725" r:id="rId27">
            <o:LockedField>false</o:LockedField>
          </o:OLEObject>
        </w:object>
      </w:r>
      <w:r>
        <w:rPr>
          <w:rFonts w:hint="default" w:ascii="Times New Roman" w:hAnsi="Times New Roman" w:eastAsia="宋体" w:cs="Times New Roman"/>
          <w:b/>
          <w:color w:val="000000" w:themeColor="text1"/>
          <w:sz w:val="24"/>
          <w:szCs w:val="24"/>
        </w:rPr>
        <w:object>
          <v:shape id="_x0000_i1026" o:spt="75" type="#_x0000_t75" style="height:18.65pt;width:7.6pt;" o:ole="t" filled="f" o:preferrelative="t" stroked="f" coordsize="21600,21600">
            <v:path/>
            <v:fill on="f" focussize="0,0"/>
            <v:stroke on="f" joinstyle="miter"/>
            <v:imagedata r:id="rId30" o:title=""/>
            <o:lock v:ext="edit" aspectratio="t"/>
            <w10:wrap type="none"/>
            <w10:anchorlock/>
          </v:shape>
          <o:OLEObject Type="Embed" ProgID="Equations" ShapeID="_x0000_i1026" DrawAspect="Content" ObjectID="_1468075726" r:id="rId29">
            <o:LockedField>false</o:LockedField>
          </o:OLEObject>
        </w:object>
      </w:r>
      <w:r>
        <w:rPr>
          <w:rFonts w:hint="default" w:ascii="Times New Roman" w:hAnsi="Times New Roman" w:eastAsia="宋体" w:cs="Times New Roman"/>
          <w:b/>
          <w:color w:val="000000" w:themeColor="text1"/>
          <w:sz w:val="24"/>
          <w:szCs w:val="24"/>
        </w:rPr>
        <w:object>
          <v:shape id="_x0000_i1027" o:spt="75" type="#_x0000_t75" style="height:18.65pt;width:7.6pt;" o:ole="t" filled="f" o:preferrelative="t" stroked="f" coordsize="21600,21600">
            <v:path/>
            <v:fill on="f" focussize="0,0"/>
            <v:stroke on="f" joinstyle="miter"/>
            <v:imagedata r:id="rId30" o:title=""/>
            <o:lock v:ext="edit" aspectratio="t"/>
            <w10:wrap type="none"/>
            <w10:anchorlock/>
          </v:shape>
          <o:OLEObject Type="Embed" ProgID="Equations" ShapeID="_x0000_i1027" DrawAspect="Content" ObjectID="_1468075727" r:id="rId3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式中：Ｔ—矿山服务年限，年；</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K－矿山地下开采回采率，90%；</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Ｑ—设计利用资源量，</w:t>
      </w:r>
      <w:r>
        <w:rPr>
          <w:rFonts w:hint="default" w:ascii="Times New Roman" w:hAnsi="Times New Roman" w:eastAsia="宋体" w:cs="Times New Roman"/>
          <w:color w:val="000000" w:themeColor="text1"/>
          <w:sz w:val="24"/>
          <w:szCs w:val="24"/>
        </w:rPr>
        <w:t>29.62</w:t>
      </w:r>
      <w:r>
        <w:rPr>
          <w:rFonts w:hint="default" w:ascii="Times New Roman" w:hAnsi="Times New Roman" w:eastAsia="宋体" w:cs="Times New Roman"/>
          <w:bCs/>
          <w:color w:val="000000" w:themeColor="text1"/>
          <w:sz w:val="24"/>
          <w:szCs w:val="24"/>
        </w:rPr>
        <w:t>×10</w:t>
      </w:r>
      <w:r>
        <w:rPr>
          <w:rFonts w:hint="default" w:ascii="Times New Roman" w:hAnsi="Times New Roman" w:eastAsia="宋体" w:cs="Times New Roman"/>
          <w:bCs/>
          <w:color w:val="000000" w:themeColor="text1"/>
          <w:sz w:val="24"/>
          <w:szCs w:val="24"/>
          <w:vertAlign w:val="superscript"/>
        </w:rPr>
        <w:t>4</w:t>
      </w:r>
      <w:r>
        <w:rPr>
          <w:rFonts w:hint="default" w:ascii="Times New Roman" w:hAnsi="Times New Roman" w:eastAsia="宋体" w:cs="Times New Roman"/>
          <w:bCs/>
          <w:color w:val="000000" w:themeColor="text1"/>
          <w:sz w:val="24"/>
          <w:szCs w:val="24"/>
        </w:rPr>
        <w:t xml:space="preserve">t； </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A—矿山年产量，5×10</w:t>
      </w:r>
      <w:r>
        <w:rPr>
          <w:rFonts w:hint="default" w:ascii="Times New Roman" w:hAnsi="Times New Roman" w:eastAsia="宋体" w:cs="Times New Roman"/>
          <w:bCs/>
          <w:color w:val="000000" w:themeColor="text1"/>
          <w:sz w:val="24"/>
          <w:szCs w:val="24"/>
          <w:vertAlign w:val="superscript"/>
        </w:rPr>
        <w:t>4</w:t>
      </w:r>
      <w:r>
        <w:rPr>
          <w:rFonts w:hint="default" w:ascii="Times New Roman" w:hAnsi="Times New Roman" w:eastAsia="宋体" w:cs="Times New Roman"/>
          <w:bCs/>
          <w:color w:val="000000" w:themeColor="text1"/>
          <w:sz w:val="24"/>
          <w:szCs w:val="24"/>
        </w:rPr>
        <w:t>t；</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β—矿石开采贫化率，10 %；</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 经计算，矿山服务年限为5.9年 。</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5</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矿区开采总顺序及首采地段的选择</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开采顺序总体上从上中段向下中段，中段内采用后退式回采。</w:t>
      </w:r>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6</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采矿方法</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矿体的开采技术条件、矿体特征及其它自然前提条件，矿山开采选择浅孔留矿采矿法。该方法是空场法的一种，将矿块分为矿房和矿柱两步骤回采，先采矿房，后采矿柱。这种采矿方法工人可以直接在矿房中大暴露面下工作，自下而上分层回采矿房，使用浅孔崩薄矿石。</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1、矿块构成要素</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矿块沿走向布置，矿块长度40m，矿块高度50m、40m，采幅宽为矿体厚度。设计底柱高度5.0m，顶柱高度3.0m，间柱宽度6.0m，联络道宽度2.0m。</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2、采准切割工程</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主要采准工作有：由各中段脉内下盘沿脉平巷作为主运输巷，每隔40m掘进切割天井形成矿块。沿天井每隔5m掘进一联络道以联通矿房，方便人员、设备、材料和新鲜风流进入矿房。为防止崩落矿石堵死，两侧联络巷宜交错布置。</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因矿山生产规模不大，根据矿体赋存状态，并综合考虑矿山建设单位意见后，设计沿矿块走向每隔6.0m施工劈漏并作为拉底空间回采矿石，采用底部漏斗出矿，矿车接漏斗直接装矿，矿石经沿脉运输平硐运至地表。</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掘进采用YT28型凿岩机凿岩、局扇通风。</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3、回采工艺</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回采顺序：矿块内采用自下而上分层回采，在每一个分层中进行崩矿、通风、局部放矿、平场及浮石处理、破碎大块等工作。分层高度2～2.5m，回采工作面多为梯段布置。</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爆破落矿：每个采场配备1台YT28型凿岩机穿凿上向孔，爆破材料选用炸药、微差导爆管雷管起爆，炮眼沿倾向平行布置。起爆顺序从自由面开始一次性爆破，装药系数为0.6～0.7，各炮孔通过导爆管连接，一次凿岩爆破长度为10m左右。浅孔落矿的凿岩爆破参数：钎头直径 28mm～32mm，炮孔直径 28mm～36mm，最小抵抗线 0.4mm～1.0m,孔底距 0.5mm～1.0m，孔深2mm～2.5m，单位炸药消耗量0.30kg/t。</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放矿分两步骤，即局部放矿和大量放矿。局部放矿每次放出崩落矿石的30%左右，矿房内暂留矿石，使回采工作面保持1.8～2.0m的作业空间，局部放矿后即检查顶板和上、下盘，同时处理浮石，平整场地。当矿房回采至顶柱时，进行大量放矿，大量放矿要均匀。</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矿石搬运：崩落的大块矿石在采场内进行二次破碎，然后经漏斗放矿、装矿后直接运至地表。</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4、矿柱回采</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当中段矿房回采结束后，先回采顶柱和上中段底柱，再回采间柱。顶底柱回采采用崩落法回采，间柱回采采用在采准天井中打水平浅眼、沿倾斜方向自上而下回采。</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5、采场通风</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爆破后采用贯穿风流方式进行通风，当个别采场贯穿风流方式进行通风条件不好时，采用JK56-1No.4局扇型局扇加强通风。新风由阶段平硐进入，经采场底部运输大巷-矿块通风天井-工作面-矿块另一侧通风天井</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rPr>
        <w:t>顶部回风巷，由回风井抽出。每次爆破后用局扇加强采场通风。</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回采和掘进工作面，除采用辅扇和局扇进行机械通风外，均必须采用湿式凿岩，出渣和出矿工作面进行喷雾洒水，装卸矿地点采取净化措施。此外，设置专职通风管理机构和人员，负责通风防尘工作，建立健全通风制度。</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6、顶板管理</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房通风完毕，即可进入矿房进行顶板的安全检查处理，顶板的拉橇工作需由专人进入采场进行。发现问题及时处理，确认无误后方可进行下个循环的作业。采场不稳固部位采用光面爆破技术，减少爆破时对周围矿岩的破坏，防止爆破引起顶帮失稳现象。个别地段岩石不稳固地段采用锚杆进行支护，锚杆网度1～1.5m×1～1.5m</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锚杆深度1米以上。</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7、采准、切割、回采计算</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根据矿体条件，按平均段高45m、平均厚度1.3m，平均斜长55m作为标准矿块计算矿块矿量：</w:t>
      </w:r>
    </w:p>
    <w:p>
      <w:pPr>
        <w:pStyle w:val="25"/>
        <w:pageBreakBefore w:val="0"/>
        <w:widowControl w:val="0"/>
        <w:kinsoku/>
        <w:wordWrap/>
        <w:overflowPunct/>
        <w:topLinePunct w:val="0"/>
        <w:autoSpaceDE/>
        <w:autoSpaceDN/>
        <w:bidi w:val="0"/>
        <w:adjustRightInd w:val="0"/>
        <w:snapToGrid w:val="0"/>
        <w:spacing w:beforeLines="0" w:afterLines="0" w:line="360" w:lineRule="auto"/>
        <w:ind w:left="0" w:firstLine="422" w:firstLineChars="200"/>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3.</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8</w:t>
      </w:r>
      <w:r>
        <w:rPr>
          <w:rFonts w:hint="default" w:ascii="Times New Roman" w:hAnsi="Times New Roman" w:eastAsia="宋体" w:cs="Times New Roman"/>
          <w:b/>
          <w:bCs w:val="0"/>
          <w:color w:val="000000" w:themeColor="text1"/>
          <w:sz w:val="21"/>
          <w:szCs w:val="21"/>
        </w:rPr>
        <w:t xml:space="preserve">  矿块矿量及采出矿量</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330"/>
        <w:gridCol w:w="1553"/>
        <w:gridCol w:w="1196"/>
        <w:gridCol w:w="1967"/>
        <w:gridCol w:w="1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项目名称</w:t>
            </w:r>
          </w:p>
        </w:tc>
        <w:tc>
          <w:tcPr>
            <w:tcW w:w="7079"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矿块地质储量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p>
        </w:tc>
        <w:tc>
          <w:tcPr>
            <w:tcW w:w="13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厚度 (m)</w:t>
            </w:r>
          </w:p>
        </w:tc>
        <w:tc>
          <w:tcPr>
            <w:tcW w:w="155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长度（m）</w:t>
            </w:r>
          </w:p>
        </w:tc>
        <w:tc>
          <w:tcPr>
            <w:tcW w:w="119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斜长(m)</w:t>
            </w:r>
          </w:p>
        </w:tc>
        <w:tc>
          <w:tcPr>
            <w:tcW w:w="19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矿石体重(t/m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103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资源量(t)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矿块矿量总计</w:t>
            </w:r>
          </w:p>
        </w:tc>
        <w:tc>
          <w:tcPr>
            <w:tcW w:w="13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55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w:t>
            </w:r>
          </w:p>
        </w:tc>
        <w:tc>
          <w:tcPr>
            <w:tcW w:w="119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55</w:t>
            </w:r>
          </w:p>
        </w:tc>
        <w:tc>
          <w:tcPr>
            <w:tcW w:w="19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4.2</w:t>
            </w:r>
          </w:p>
        </w:tc>
        <w:tc>
          <w:tcPr>
            <w:tcW w:w="103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13860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顶柱矿量</w:t>
            </w:r>
          </w:p>
        </w:tc>
        <w:tc>
          <w:tcPr>
            <w:tcW w:w="13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55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34</w:t>
            </w:r>
          </w:p>
        </w:tc>
        <w:tc>
          <w:tcPr>
            <w:tcW w:w="119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9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4.2</w:t>
            </w:r>
          </w:p>
        </w:tc>
        <w:tc>
          <w:tcPr>
            <w:tcW w:w="103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底柱矿量</w:t>
            </w:r>
          </w:p>
        </w:tc>
        <w:tc>
          <w:tcPr>
            <w:tcW w:w="13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55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34</w:t>
            </w:r>
          </w:p>
        </w:tc>
        <w:tc>
          <w:tcPr>
            <w:tcW w:w="119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19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4.2</w:t>
            </w:r>
          </w:p>
        </w:tc>
        <w:tc>
          <w:tcPr>
            <w:tcW w:w="103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1285.2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间柱矿量</w:t>
            </w:r>
          </w:p>
        </w:tc>
        <w:tc>
          <w:tcPr>
            <w:tcW w:w="13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55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119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55</w:t>
            </w:r>
          </w:p>
        </w:tc>
        <w:tc>
          <w:tcPr>
            <w:tcW w:w="19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4.2</w:t>
            </w:r>
          </w:p>
        </w:tc>
        <w:tc>
          <w:tcPr>
            <w:tcW w:w="103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7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矿房矿量</w:t>
            </w:r>
          </w:p>
        </w:tc>
        <w:tc>
          <w:tcPr>
            <w:tcW w:w="133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p>
        </w:tc>
        <w:tc>
          <w:tcPr>
            <w:tcW w:w="155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p>
        </w:tc>
        <w:tc>
          <w:tcPr>
            <w:tcW w:w="119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p>
        </w:tc>
        <w:tc>
          <w:tcPr>
            <w:tcW w:w="19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p>
        </w:tc>
        <w:tc>
          <w:tcPr>
            <w:tcW w:w="103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=SUM(ABOVE)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17866.8</w:t>
            </w:r>
            <w:r>
              <w:rPr>
                <w:rFonts w:hint="default" w:ascii="Times New Roman" w:hAnsi="Times New Roman" w:eastAsia="宋体" w:cs="Times New Roman"/>
                <w:color w:val="000000" w:themeColor="text1"/>
                <w:sz w:val="21"/>
                <w:szCs w:val="21"/>
              </w:rPr>
              <w:fldChar w:fldCharType="end"/>
            </w:r>
          </w:p>
        </w:tc>
      </w:tr>
    </w:tbl>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8、开采顺序</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本项目设计矿体在走向方向上，由矿体回风井向各个阶段平硐口后退式回采；在垂直方向上，由上向下分阶段回采；矿房内回采顺序由下向上爆破落矿。生产过程中要坚持</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先探后采、探采结合</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的工作制度。</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开采顺序：本次设计先</w:t>
      </w:r>
      <w:r>
        <w:rPr>
          <w:rFonts w:hint="eastAsia" w:ascii="Times New Roman" w:hAnsi="Times New Roman" w:eastAsia="宋体" w:cs="Times New Roman"/>
          <w:color w:val="FF0000"/>
          <w:sz w:val="24"/>
          <w:szCs w:val="24"/>
          <w:lang w:eastAsia="zh-CN"/>
        </w:rPr>
        <w:t>开采</w:t>
      </w:r>
      <w:r>
        <w:rPr>
          <w:rFonts w:hint="default" w:ascii="Times New Roman" w:hAnsi="Times New Roman" w:eastAsia="宋体" w:cs="Times New Roman"/>
          <w:color w:val="FF0000"/>
          <w:sz w:val="24"/>
          <w:szCs w:val="24"/>
        </w:rPr>
        <w:t>K1矿体，待K1矿体开采</w:t>
      </w:r>
      <w:r>
        <w:rPr>
          <w:rFonts w:hint="eastAsia" w:ascii="Times New Roman" w:hAnsi="Times New Roman" w:eastAsia="宋体" w:cs="Times New Roman"/>
          <w:color w:val="FF0000"/>
          <w:sz w:val="24"/>
          <w:szCs w:val="24"/>
          <w:lang w:val="en-US" w:eastAsia="zh-CN"/>
        </w:rPr>
        <w:t>完之后开采K2矿体</w:t>
      </w:r>
      <w:r>
        <w:rPr>
          <w:rFonts w:hint="default" w:ascii="Times New Roman" w:hAnsi="Times New Roman" w:eastAsia="宋体" w:cs="Times New Roman"/>
          <w:color w:val="FF0000"/>
          <w:sz w:val="24"/>
          <w:szCs w:val="24"/>
        </w:rPr>
        <w:t>。</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首采地段：由设计选定的开采顺序，首采地段选择K1毒重石矿体810m中段。</w:t>
      </w:r>
    </w:p>
    <w:p>
      <w:pPr>
        <w:pStyle w:val="6"/>
        <w:pageBreakBefore w:val="0"/>
        <w:widowControl w:val="0"/>
        <w:numPr>
          <w:ilvl w:val="0"/>
          <w:numId w:val="8"/>
        </w:numPr>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运输系统</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eastAsia" w:ascii="宋体" w:hAnsi="宋体" w:eastAsia="宋体" w:cs="宋体"/>
          <w:b w:val="0"/>
          <w:bCs w:val="0"/>
          <w:color w:val="000000" w:themeColor="text1"/>
          <w:sz w:val="24"/>
          <w:szCs w:val="24"/>
          <w:lang w:eastAsia="zh-CN"/>
        </w:rPr>
      </w:pPr>
      <w:r>
        <w:rPr>
          <w:rFonts w:hint="eastAsia" w:ascii="宋体" w:hAnsi="宋体" w:eastAsia="宋体" w:cs="宋体"/>
          <w:b w:val="0"/>
          <w:bCs w:val="0"/>
          <w:sz w:val="24"/>
          <w:szCs w:val="24"/>
        </w:rPr>
        <w:t>坑内运输采用矿用三轮车运输</w:t>
      </w:r>
      <w:r>
        <w:rPr>
          <w:rFonts w:hint="default" w:ascii="Times New Roman" w:hAnsi="Times New Roman" w:eastAsia="宋体" w:cs="Times New Roman"/>
          <w:b w:val="0"/>
          <w:bCs w:val="0"/>
          <w:sz w:val="24"/>
          <w:szCs w:val="24"/>
        </w:rPr>
        <w:t>（1850</w:t>
      </w:r>
      <w:r>
        <w:rPr>
          <w:rFonts w:hint="default" w:ascii="Times New Roman" w:hAnsi="Times New Roman" w:eastAsia="宋体" w:cs="Times New Roman"/>
          <w:b w:val="0"/>
          <w:bCs w:val="0"/>
          <w:sz w:val="24"/>
          <w:szCs w:val="24"/>
          <w:lang w:val="en-US" w:eastAsia="zh-CN"/>
        </w:rPr>
        <w:t>mm</w:t>
      </w:r>
      <w:r>
        <w:rPr>
          <w:rFonts w:hint="default" w:ascii="Times New Roman" w:hAnsi="Times New Roman" w:eastAsia="宋体" w:cs="Times New Roman"/>
          <w:b w:val="0"/>
          <w:bCs w:val="0"/>
          <w:sz w:val="24"/>
          <w:szCs w:val="24"/>
        </w:rPr>
        <w:t>×1100</w:t>
      </w:r>
      <w:r>
        <w:rPr>
          <w:rFonts w:hint="default" w:ascii="Times New Roman" w:hAnsi="Times New Roman" w:eastAsia="宋体" w:cs="Times New Roman"/>
          <w:b w:val="0"/>
          <w:bCs w:val="0"/>
          <w:sz w:val="24"/>
          <w:szCs w:val="24"/>
          <w:lang w:val="en-US" w:eastAsia="zh-CN"/>
        </w:rPr>
        <w:t>mm</w:t>
      </w:r>
      <w:r>
        <w:rPr>
          <w:rFonts w:hint="default" w:ascii="Times New Roman" w:hAnsi="Times New Roman" w:eastAsia="宋体" w:cs="Times New Roman"/>
          <w:b w:val="0"/>
          <w:bCs w:val="0"/>
          <w:sz w:val="24"/>
          <w:szCs w:val="24"/>
        </w:rPr>
        <w:t>×1200</w:t>
      </w:r>
      <w:r>
        <w:rPr>
          <w:rFonts w:hint="default" w:ascii="Times New Roman" w:hAnsi="Times New Roman" w:eastAsia="宋体" w:cs="Times New Roman"/>
          <w:b w:val="0"/>
          <w:bCs w:val="0"/>
          <w:sz w:val="24"/>
          <w:szCs w:val="24"/>
          <w:lang w:val="en-US" w:eastAsia="zh-CN"/>
        </w:rPr>
        <w:t>mm</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eastAsia="zh-CN"/>
        </w:rPr>
        <w:t>。</w:t>
      </w:r>
    </w:p>
    <w:p>
      <w:pPr>
        <w:pStyle w:val="5"/>
        <w:rPr>
          <w:rFonts w:hint="default"/>
          <w:color w:val="000000" w:themeColor="text1"/>
          <w:lang w:val="en-US" w:eastAsia="zh-CN"/>
        </w:rPr>
      </w:pPr>
      <w:bookmarkStart w:id="246" w:name="_Toc26759_WPSOffice_Level3"/>
      <w:bookmarkStart w:id="247" w:name="_Toc21171"/>
      <w:r>
        <w:rPr>
          <w:rFonts w:hint="default"/>
          <w:color w:val="000000" w:themeColor="text1"/>
          <w:lang w:val="en-US" w:eastAsia="zh-CN"/>
        </w:rPr>
        <w:t>工程总平面布置</w:t>
      </w:r>
      <w:bookmarkEnd w:id="246"/>
      <w:bookmarkEnd w:id="24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rPr>
          <w:rFonts w:hint="default" w:ascii="Times New Roman" w:hAnsi="Times New Roman" w:eastAsia="宋体" w:cs="Times New Roman"/>
          <w:color w:val="000000" w:themeColor="text1"/>
          <w:sz w:val="24"/>
          <w:szCs w:val="24"/>
          <w:vertAlign w:val="baseline"/>
          <w:lang w:val="en-US" w:eastAsia="zh-CN"/>
        </w:rPr>
      </w:pPr>
      <w:r>
        <w:rPr>
          <w:rFonts w:hint="default" w:ascii="Times New Roman" w:hAnsi="Times New Roman" w:eastAsia="宋体" w:cs="Times New Roman"/>
          <w:color w:val="000000" w:themeColor="text1"/>
          <w:sz w:val="24"/>
          <w:szCs w:val="24"/>
          <w:lang w:val="en-US" w:eastAsia="zh-CN"/>
        </w:rPr>
        <w:t>本项目</w:t>
      </w:r>
      <w:r>
        <w:rPr>
          <w:rFonts w:hint="eastAsia" w:ascii="Times New Roman" w:hAnsi="Times New Roman" w:eastAsia="宋体" w:cs="Times New Roman"/>
          <w:color w:val="000000" w:themeColor="text1"/>
          <w:sz w:val="24"/>
          <w:szCs w:val="24"/>
          <w:lang w:val="en-US" w:eastAsia="zh-CN"/>
        </w:rPr>
        <w:t>现有工程中</w:t>
      </w:r>
      <w:r>
        <w:rPr>
          <w:rFonts w:hint="default" w:ascii="Times New Roman" w:hAnsi="Times New Roman" w:eastAsia="宋体" w:cs="Times New Roman"/>
          <w:color w:val="000000" w:themeColor="text1"/>
          <w:sz w:val="24"/>
          <w:szCs w:val="24"/>
          <w:lang w:val="en-US" w:eastAsia="zh-CN"/>
        </w:rPr>
        <w:t>K1</w:t>
      </w:r>
      <w:r>
        <w:rPr>
          <w:rFonts w:hint="eastAsia" w:ascii="Times New Roman" w:hAnsi="Times New Roman" w:eastAsia="宋体" w:cs="Times New Roman"/>
          <w:color w:val="000000" w:themeColor="text1"/>
          <w:sz w:val="24"/>
          <w:szCs w:val="24"/>
          <w:lang w:val="en-US" w:eastAsia="zh-CN"/>
        </w:rPr>
        <w:t>矿体已建成的</w:t>
      </w:r>
      <w:r>
        <w:rPr>
          <w:rFonts w:hint="default" w:ascii="Times New Roman" w:hAnsi="Times New Roman" w:eastAsia="宋体" w:cs="Times New Roman"/>
          <w:color w:val="000000" w:themeColor="text1"/>
          <w:sz w:val="24"/>
          <w:szCs w:val="24"/>
          <w:lang w:val="en-US" w:eastAsia="zh-CN"/>
        </w:rPr>
        <w:t>建（构）筑物主要有：办公区、宿舍、</w:t>
      </w:r>
      <w:r>
        <w:rPr>
          <w:rFonts w:hint="default" w:ascii="Times New Roman" w:hAnsi="Times New Roman" w:eastAsia="宋体" w:cs="Times New Roman"/>
          <w:color w:val="000000" w:themeColor="text1"/>
          <w:sz w:val="24"/>
          <w:szCs w:val="24"/>
        </w:rPr>
        <w:t>炸药库、</w:t>
      </w:r>
      <w:r>
        <w:rPr>
          <w:rFonts w:hint="default" w:ascii="Times New Roman" w:hAnsi="Times New Roman" w:eastAsia="宋体" w:cs="Times New Roman"/>
          <w:color w:val="000000" w:themeColor="text1"/>
          <w:sz w:val="24"/>
          <w:szCs w:val="24"/>
          <w:lang w:eastAsia="zh-CN"/>
        </w:rPr>
        <w:t>工业场地（</w:t>
      </w:r>
      <w:r>
        <w:rPr>
          <w:rFonts w:hint="default" w:ascii="Times New Roman" w:hAnsi="Times New Roman" w:eastAsia="宋体" w:cs="Times New Roman"/>
          <w:color w:val="000000" w:themeColor="text1"/>
          <w:sz w:val="24"/>
          <w:szCs w:val="24"/>
          <w:lang w:val="en-US" w:eastAsia="zh-CN"/>
        </w:rPr>
        <w:t>PD810占地260m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b w:val="0"/>
          <w:bCs w:val="0"/>
          <w:color w:val="000000" w:themeColor="text1"/>
          <w:sz w:val="24"/>
          <w:szCs w:val="24"/>
        </w:rPr>
        <w:t>，</w:t>
      </w:r>
      <w:r>
        <w:rPr>
          <w:rFonts w:hint="default" w:ascii="Times New Roman" w:hAnsi="Times New Roman" w:eastAsia="宋体" w:cs="Times New Roman"/>
          <w:b w:val="0"/>
          <w:bCs w:val="0"/>
          <w:color w:val="000000" w:themeColor="text1"/>
          <w:sz w:val="24"/>
          <w:szCs w:val="24"/>
          <w:lang w:eastAsia="zh-CN"/>
        </w:rPr>
        <w:t>主要占地为硐口及矿石堆场；</w:t>
      </w:r>
      <w:r>
        <w:rPr>
          <w:rFonts w:hint="default" w:ascii="Times New Roman" w:hAnsi="Times New Roman" w:eastAsia="宋体" w:cs="Times New Roman"/>
          <w:color w:val="000000" w:themeColor="text1"/>
          <w:sz w:val="24"/>
          <w:szCs w:val="24"/>
          <w:lang w:val="en-US" w:eastAsia="zh-CN"/>
        </w:rPr>
        <w:t>PD760占地500m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b w:val="0"/>
          <w:bCs w:val="0"/>
          <w:color w:val="000000" w:themeColor="text1"/>
          <w:sz w:val="24"/>
          <w:szCs w:val="24"/>
        </w:rPr>
        <w:t>，</w:t>
      </w:r>
      <w:r>
        <w:rPr>
          <w:rFonts w:hint="default" w:ascii="Times New Roman" w:hAnsi="Times New Roman" w:eastAsia="宋体" w:cs="Times New Roman"/>
          <w:b w:val="0"/>
          <w:bCs w:val="0"/>
          <w:color w:val="000000" w:themeColor="text1"/>
          <w:sz w:val="24"/>
          <w:szCs w:val="24"/>
          <w:lang w:eastAsia="zh-CN"/>
        </w:rPr>
        <w:t>主要为硐口和矿石堆场，集水池等；</w:t>
      </w:r>
      <w:r>
        <w:rPr>
          <w:rFonts w:hint="default" w:ascii="Times New Roman" w:hAnsi="Times New Roman" w:eastAsia="宋体" w:cs="Times New Roman"/>
          <w:color w:val="000000" w:themeColor="text1"/>
          <w:sz w:val="24"/>
          <w:szCs w:val="24"/>
          <w:lang w:val="en-US" w:eastAsia="zh-CN"/>
        </w:rPr>
        <w:t>PD660占地500m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vertAlign w:val="baseline"/>
          <w:lang w:val="en-US" w:eastAsia="zh-CN"/>
        </w:rPr>
        <w:t>主要占地为硐口及矿石堆场)</w:t>
      </w:r>
      <w:r>
        <w:rPr>
          <w:rFonts w:hint="eastAsia" w:ascii="Times New Roman" w:hAnsi="Times New Roman" w:eastAsia="宋体" w:cs="Times New Roman"/>
          <w:color w:val="000000" w:themeColor="text1"/>
          <w:sz w:val="24"/>
          <w:szCs w:val="24"/>
          <w:vertAlign w:val="baseline"/>
          <w:lang w:val="en-US" w:eastAsia="zh-CN"/>
        </w:rPr>
        <w:t>、危险废物贮存间等</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eastAsia="zh-CN"/>
        </w:rPr>
        <w:t>现有废石场分布在</w:t>
      </w:r>
      <w:r>
        <w:rPr>
          <w:rFonts w:hint="default" w:ascii="Times New Roman" w:hAnsi="Times New Roman" w:eastAsia="宋体" w:cs="Times New Roman"/>
          <w:color w:val="000000" w:themeColor="text1"/>
          <w:sz w:val="24"/>
          <w:szCs w:val="24"/>
          <w:lang w:val="en-US" w:eastAsia="zh-CN"/>
        </w:rPr>
        <w:t>PD810，占地面积</w:t>
      </w:r>
      <w:r>
        <w:rPr>
          <w:rFonts w:hint="eastAsia" w:ascii="Times New Roman" w:hAnsi="Times New Roman" w:eastAsia="宋体" w:cs="Times New Roman"/>
          <w:color w:val="000000" w:themeColor="text1"/>
          <w:sz w:val="24"/>
          <w:szCs w:val="24"/>
          <w:lang w:val="en-US" w:eastAsia="zh-CN"/>
        </w:rPr>
        <w:t>约1100</w:t>
      </w:r>
      <w:r>
        <w:rPr>
          <w:rFonts w:hint="default" w:ascii="Times New Roman" w:hAnsi="Times New Roman" w:eastAsia="宋体" w:cs="Times New Roman"/>
          <w:color w:val="000000" w:themeColor="text1"/>
          <w:sz w:val="24"/>
          <w:szCs w:val="24"/>
          <w:lang w:val="en-US" w:eastAsia="zh-CN"/>
        </w:rPr>
        <w:t>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lang w:val="en-US" w:eastAsia="zh-CN"/>
        </w:rPr>
        <w:t>；PD760，占地面积约</w:t>
      </w:r>
      <w:r>
        <w:rPr>
          <w:rFonts w:hint="eastAsia" w:ascii="Times New Roman" w:hAnsi="Times New Roman" w:eastAsia="宋体" w:cs="Times New Roman"/>
          <w:color w:val="000000" w:themeColor="text1"/>
          <w:sz w:val="24"/>
          <w:szCs w:val="24"/>
          <w:lang w:val="en-US" w:eastAsia="zh-CN"/>
        </w:rPr>
        <w:t>2000</w:t>
      </w:r>
      <w:r>
        <w:rPr>
          <w:rFonts w:hint="default" w:ascii="Times New Roman" w:hAnsi="Times New Roman" w:eastAsia="宋体" w:cs="Times New Roman"/>
          <w:color w:val="000000" w:themeColor="text1"/>
          <w:sz w:val="24"/>
          <w:szCs w:val="24"/>
          <w:lang w:val="en-US" w:eastAsia="zh-CN"/>
        </w:rPr>
        <w:t>m</w:t>
      </w:r>
      <w:r>
        <w:rPr>
          <w:rFonts w:hint="default" w:ascii="Times New Roman" w:hAnsi="Times New Roman" w:eastAsia="宋体" w:cs="Times New Roman"/>
          <w:color w:val="000000" w:themeColor="text1"/>
          <w:sz w:val="24"/>
          <w:szCs w:val="24"/>
          <w:vertAlign w:val="superscript"/>
          <w:lang w:val="en-US" w:eastAsia="zh-CN"/>
        </w:rPr>
        <w:t>2</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PD</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lang w:val="en-US" w:eastAsia="zh-CN"/>
        </w:rPr>
        <w:t>60，占地面积约</w:t>
      </w:r>
      <w:r>
        <w:rPr>
          <w:rFonts w:hint="eastAsia" w:ascii="Times New Roman" w:hAnsi="Times New Roman" w:eastAsia="宋体" w:cs="Times New Roman"/>
          <w:color w:val="000000" w:themeColor="text1"/>
          <w:sz w:val="24"/>
          <w:szCs w:val="24"/>
          <w:lang w:val="en-US" w:eastAsia="zh-CN"/>
        </w:rPr>
        <w:t>1100</w:t>
      </w:r>
      <w:r>
        <w:rPr>
          <w:rFonts w:hint="default" w:ascii="Times New Roman" w:hAnsi="Times New Roman" w:eastAsia="宋体" w:cs="Times New Roman"/>
          <w:color w:val="000000" w:themeColor="text1"/>
          <w:sz w:val="24"/>
          <w:szCs w:val="24"/>
          <w:lang w:val="en-US" w:eastAsia="zh-CN"/>
        </w:rPr>
        <w:t>m</w:t>
      </w:r>
      <w:r>
        <w:rPr>
          <w:rFonts w:hint="default" w:ascii="Times New Roman" w:hAnsi="Times New Roman" w:eastAsia="宋体" w:cs="Times New Roman"/>
          <w:color w:val="000000" w:themeColor="text1"/>
          <w:sz w:val="24"/>
          <w:szCs w:val="24"/>
          <w:vertAlign w:val="superscript"/>
          <w:lang w:val="en-US" w:eastAsia="zh-CN"/>
        </w:rPr>
        <w:t>2</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现有废石场占地总面积</w:t>
      </w:r>
      <w:r>
        <w:rPr>
          <w:rFonts w:hint="eastAsia" w:ascii="Times New Roman" w:hAnsi="Times New Roman" w:eastAsia="宋体" w:cs="Times New Roman"/>
          <w:color w:val="000000" w:themeColor="text1"/>
          <w:sz w:val="24"/>
          <w:szCs w:val="24"/>
          <w:lang w:val="en-US" w:eastAsia="zh-CN"/>
        </w:rPr>
        <w:t>为42</w:t>
      </w:r>
      <w:r>
        <w:rPr>
          <w:rFonts w:hint="default" w:ascii="Times New Roman" w:hAnsi="Times New Roman" w:eastAsia="宋体" w:cs="Times New Roman"/>
          <w:color w:val="000000" w:themeColor="text1"/>
          <w:sz w:val="24"/>
          <w:szCs w:val="24"/>
          <w:lang w:val="en-US" w:eastAsia="zh-CN"/>
        </w:rPr>
        <w:t>00m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vertAlign w:val="baseline"/>
          <w:lang w:val="en-US" w:eastAsia="zh-CN"/>
        </w:rPr>
        <w:t>。</w:t>
      </w:r>
      <w:r>
        <w:rPr>
          <w:rFonts w:hint="default" w:ascii="Times New Roman" w:hAnsi="Times New Roman" w:eastAsia="宋体" w:cs="Times New Roman"/>
          <w:color w:val="000000" w:themeColor="text1"/>
          <w:sz w:val="24"/>
          <w:szCs w:val="24"/>
        </w:rPr>
        <w:t>矿</w:t>
      </w:r>
      <w:r>
        <w:rPr>
          <w:rFonts w:hint="default" w:ascii="Times New Roman" w:hAnsi="Times New Roman" w:eastAsia="宋体" w:cs="Times New Roman"/>
          <w:color w:val="000000" w:themeColor="text1"/>
          <w:sz w:val="24"/>
          <w:szCs w:val="24"/>
          <w:lang w:val="en-US" w:eastAsia="zh-CN"/>
        </w:rPr>
        <w:t>区道路在原有村道上铺设，未新增占地。</w:t>
      </w:r>
      <w:r>
        <w:rPr>
          <w:rFonts w:hint="default" w:ascii="Times New Roman" w:hAnsi="Times New Roman" w:eastAsia="宋体" w:cs="Times New Roman"/>
          <w:b w:val="0"/>
          <w:bCs w:val="0"/>
          <w:color w:val="000000" w:themeColor="text1"/>
          <w:sz w:val="24"/>
          <w:szCs w:val="24"/>
          <w:lang w:val="en-US" w:eastAsia="zh-CN"/>
        </w:rPr>
        <w:t>K1矿体占地面积为</w:t>
      </w:r>
      <w:r>
        <w:rPr>
          <w:rFonts w:hint="eastAsia" w:ascii="Times New Roman" w:hAnsi="Times New Roman" w:eastAsia="宋体" w:cs="Times New Roman"/>
          <w:color w:val="000000" w:themeColor="text1"/>
          <w:sz w:val="24"/>
          <w:szCs w:val="24"/>
          <w:lang w:val="en-US" w:eastAsia="zh-CN"/>
        </w:rPr>
        <w:t>66</w:t>
      </w:r>
      <w:r>
        <w:rPr>
          <w:rFonts w:hint="default" w:ascii="Times New Roman" w:hAnsi="Times New Roman" w:eastAsia="宋体" w:cs="Times New Roman"/>
          <w:color w:val="000000" w:themeColor="text1"/>
          <w:sz w:val="24"/>
          <w:szCs w:val="24"/>
          <w:lang w:val="en-US" w:eastAsia="zh-CN"/>
        </w:rPr>
        <w:t>60m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rPr>
          <w:rFonts w:hint="default" w:ascii="Times New Roman" w:hAnsi="Times New Roman" w:eastAsia="宋体" w:cs="Times New Roman"/>
          <w:color w:val="000000" w:themeColor="text1"/>
          <w:sz w:val="24"/>
          <w:szCs w:val="24"/>
          <w:vertAlign w:val="baseline"/>
          <w:lang w:val="en-US" w:eastAsia="zh-CN"/>
        </w:rPr>
      </w:pPr>
      <w:r>
        <w:rPr>
          <w:rFonts w:hint="default" w:ascii="Times New Roman" w:hAnsi="Times New Roman" w:eastAsia="宋体" w:cs="Times New Roman"/>
          <w:b w:val="0"/>
          <w:bCs w:val="0"/>
          <w:color w:val="000000" w:themeColor="text1"/>
          <w:sz w:val="24"/>
          <w:szCs w:val="24"/>
          <w:lang w:val="en-US" w:eastAsia="zh-CN"/>
        </w:rPr>
        <w:t>K2矿体</w:t>
      </w:r>
      <w:r>
        <w:rPr>
          <w:rFonts w:hint="eastAsia" w:ascii="Times New Roman" w:hAnsi="Times New Roman" w:eastAsia="宋体" w:cs="Times New Roman"/>
          <w:b w:val="0"/>
          <w:bCs w:val="0"/>
          <w:color w:val="000000" w:themeColor="text1"/>
          <w:sz w:val="24"/>
          <w:szCs w:val="24"/>
          <w:lang w:val="en-US" w:eastAsia="zh-CN"/>
        </w:rPr>
        <w:t>尚未开发，新建的</w:t>
      </w:r>
      <w:r>
        <w:rPr>
          <w:rFonts w:hint="default" w:ascii="Times New Roman" w:hAnsi="Times New Roman" w:eastAsia="宋体" w:cs="Times New Roman"/>
          <w:b w:val="0"/>
          <w:bCs w:val="0"/>
          <w:color w:val="000000" w:themeColor="text1"/>
          <w:sz w:val="24"/>
          <w:szCs w:val="24"/>
          <w:lang w:val="en-US" w:eastAsia="zh-CN"/>
        </w:rPr>
        <w:t>工业场地主要包括集水池，硐口及矿石堆场等；井口值班室；矿区新建道路长度约2km，宽度平均3m，总占地面积约为6000</w:t>
      </w:r>
      <w:r>
        <w:rPr>
          <w:rFonts w:hint="default" w:ascii="Times New Roman" w:hAnsi="Times New Roman" w:eastAsia="宋体" w:cs="Times New Roman"/>
          <w:color w:val="000000" w:themeColor="text1"/>
          <w:sz w:val="24"/>
          <w:szCs w:val="24"/>
          <w:lang w:val="en-US" w:eastAsia="zh-CN"/>
        </w:rPr>
        <w:t>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b w:val="0"/>
          <w:bCs w:val="0"/>
          <w:color w:val="000000" w:themeColor="text1"/>
          <w:sz w:val="24"/>
          <w:szCs w:val="24"/>
          <w:lang w:val="en-US" w:eastAsia="zh-CN"/>
        </w:rPr>
        <w:t>K2矿体占地面积为</w:t>
      </w:r>
      <w:r>
        <w:rPr>
          <w:rFonts w:hint="default" w:ascii="Times New Roman" w:hAnsi="Times New Roman" w:eastAsia="宋体" w:cs="Times New Roman"/>
          <w:color w:val="000000" w:themeColor="text1"/>
          <w:sz w:val="24"/>
          <w:szCs w:val="24"/>
          <w:lang w:val="en-US" w:eastAsia="zh-CN"/>
        </w:rPr>
        <w:t>7540m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vertAlign w:val="baseline"/>
          <w:lang w:val="en-US" w:eastAsia="zh-CN"/>
        </w:rPr>
        <w:t>。</w:t>
      </w:r>
      <w:r>
        <w:rPr>
          <w:rFonts w:hint="eastAsia" w:ascii="Times New Roman" w:hAnsi="Times New Roman" w:eastAsia="宋体" w:cs="Times New Roman"/>
          <w:color w:val="000000" w:themeColor="text1"/>
          <w:sz w:val="24"/>
          <w:szCs w:val="24"/>
          <w:vertAlign w:val="baseline"/>
          <w:lang w:val="en-US" w:eastAsia="zh-CN"/>
        </w:rPr>
        <w:t>K2矿体的废石少部分用于矿区基建，其余全部井下充填，不新建废石场。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 w:val="0"/>
          <w:bCs w:val="0"/>
          <w:color w:val="000000" w:themeColor="text1"/>
          <w:sz w:val="24"/>
          <w:szCs w:val="24"/>
          <w:lang w:val="en-US" w:eastAsia="zh-CN"/>
        </w:rPr>
        <w:t>K1和K2矿体总占地面积为</w:t>
      </w:r>
      <w:r>
        <w:rPr>
          <w:rFonts w:hint="eastAsia" w:ascii="Times New Roman" w:hAnsi="Times New Roman" w:eastAsia="宋体" w:cs="Times New Roman"/>
          <w:color w:val="000000" w:themeColor="text1"/>
          <w:sz w:val="24"/>
          <w:szCs w:val="24"/>
          <w:lang w:val="en-US" w:eastAsia="zh-CN"/>
        </w:rPr>
        <w:t>14200</w:t>
      </w:r>
      <w:r>
        <w:rPr>
          <w:rFonts w:hint="default" w:ascii="Times New Roman" w:hAnsi="Times New Roman" w:eastAsia="宋体" w:cs="Times New Roman"/>
          <w:color w:val="000000" w:themeColor="text1"/>
          <w:sz w:val="24"/>
          <w:szCs w:val="24"/>
          <w:lang w:val="en-US" w:eastAsia="zh-CN"/>
        </w:rPr>
        <w:t>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本项目不涉及搬迁。</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表3.</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 xml:space="preserve">9 </w:t>
      </w:r>
      <w:r>
        <w:rPr>
          <w:rFonts w:hint="default" w:ascii="Times New Roman" w:hAnsi="Times New Roman" w:eastAsia="宋体" w:cs="Times New Roman"/>
          <w:b/>
          <w:bCs w:val="0"/>
          <w:color w:val="000000" w:themeColor="text1"/>
          <w:sz w:val="21"/>
          <w:szCs w:val="21"/>
        </w:rPr>
        <w:t xml:space="preserve"> </w:t>
      </w:r>
      <w:r>
        <w:rPr>
          <w:rFonts w:hint="eastAsia" w:ascii="Times New Roman" w:hAnsi="Times New Roman" w:eastAsia="宋体" w:cs="Times New Roman"/>
          <w:b/>
          <w:bCs w:val="0"/>
          <w:color w:val="000000" w:themeColor="text1"/>
          <w:sz w:val="21"/>
          <w:szCs w:val="21"/>
          <w:lang w:val="en-US" w:eastAsia="zh-CN"/>
        </w:rPr>
        <w:t>K1 矿体</w:t>
      </w:r>
      <w:r>
        <w:rPr>
          <w:rFonts w:hint="default" w:ascii="Times New Roman" w:hAnsi="Times New Roman" w:eastAsia="宋体" w:cs="Times New Roman"/>
          <w:b/>
          <w:bCs w:val="0"/>
          <w:color w:val="000000" w:themeColor="text1"/>
          <w:sz w:val="21"/>
          <w:szCs w:val="21"/>
        </w:rPr>
        <w:t>占地统计表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787"/>
        <w:gridCol w:w="1295"/>
        <w:gridCol w:w="1295"/>
        <w:gridCol w:w="1295"/>
        <w:gridCol w:w="2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141"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序号</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占用土地项目</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占地性质</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占地类型</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占地面积（m</w:t>
            </w:r>
            <w:r>
              <w:rPr>
                <w:rFonts w:hint="default" w:ascii="Times New Roman" w:hAnsi="Times New Roman" w:eastAsia="宋体" w:cs="Times New Roman"/>
                <w:color w:val="000000" w:themeColor="text1"/>
                <w:vertAlign w:val="superscript"/>
              </w:rPr>
              <w:t>2</w:t>
            </w:r>
            <w:r>
              <w:rPr>
                <w:rFonts w:hint="default" w:ascii="Times New Roman" w:hAnsi="Times New Roman" w:eastAsia="宋体" w:cs="Times New Roman"/>
                <w:color w:val="000000" w:themeColor="text1"/>
              </w:rPr>
              <w:t>）</w:t>
            </w:r>
          </w:p>
        </w:tc>
        <w:tc>
          <w:tcPr>
            <w:tcW w:w="2144"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141"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办公区</w:t>
            </w:r>
          </w:p>
        </w:tc>
        <w:tc>
          <w:tcPr>
            <w:tcW w:w="1295" w:type="dxa"/>
            <w:tcBorders>
              <w:tl2br w:val="nil"/>
              <w:tr2bl w:val="nil"/>
            </w:tcBorders>
            <w:shd w:val="clear" w:color="auto" w:fill="auto"/>
            <w:vAlign w:val="center"/>
          </w:tcPr>
          <w:p>
            <w:pPr>
              <w:pStyle w:val="42"/>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295"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林地</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200</w:t>
            </w:r>
          </w:p>
        </w:tc>
        <w:tc>
          <w:tcPr>
            <w:tcW w:w="2144" w:type="dxa"/>
            <w:vMerge w:val="restart"/>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利用现有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141"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w:t>
            </w:r>
          </w:p>
        </w:tc>
        <w:tc>
          <w:tcPr>
            <w:tcW w:w="1787"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宿舍</w:t>
            </w:r>
          </w:p>
        </w:tc>
        <w:tc>
          <w:tcPr>
            <w:tcW w:w="1295" w:type="dxa"/>
            <w:tcBorders>
              <w:tl2br w:val="nil"/>
              <w:tr2bl w:val="nil"/>
            </w:tcBorders>
            <w:shd w:val="clear" w:color="auto" w:fill="auto"/>
            <w:vAlign w:val="center"/>
          </w:tcPr>
          <w:p>
            <w:pPr>
              <w:pStyle w:val="42"/>
              <w:jc w:val="center"/>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295"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林地</w:t>
            </w:r>
          </w:p>
        </w:tc>
        <w:tc>
          <w:tcPr>
            <w:tcW w:w="1295"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200</w:t>
            </w:r>
          </w:p>
        </w:tc>
        <w:tc>
          <w:tcPr>
            <w:tcW w:w="2144" w:type="dxa"/>
            <w:vMerge w:val="continue"/>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141"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工业场地</w:t>
            </w:r>
          </w:p>
        </w:tc>
        <w:tc>
          <w:tcPr>
            <w:tcW w:w="1295" w:type="dxa"/>
            <w:tcBorders>
              <w:tl2br w:val="nil"/>
              <w:tr2bl w:val="nil"/>
            </w:tcBorders>
            <w:shd w:val="clear" w:color="auto" w:fill="auto"/>
            <w:vAlign w:val="center"/>
          </w:tcPr>
          <w:p>
            <w:pPr>
              <w:pStyle w:val="42"/>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295"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林地</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1260</w:t>
            </w:r>
          </w:p>
        </w:tc>
        <w:tc>
          <w:tcPr>
            <w:tcW w:w="2144" w:type="dxa"/>
            <w:vMerge w:val="continue"/>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141"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炸药库</w:t>
            </w:r>
          </w:p>
        </w:tc>
        <w:tc>
          <w:tcPr>
            <w:tcW w:w="1295" w:type="dxa"/>
            <w:tcBorders>
              <w:tl2br w:val="nil"/>
              <w:tr2bl w:val="nil"/>
            </w:tcBorders>
            <w:shd w:val="clear" w:color="auto" w:fill="auto"/>
            <w:vAlign w:val="center"/>
          </w:tcPr>
          <w:p>
            <w:pPr>
              <w:pStyle w:val="42"/>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荒地、林地</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8</w:t>
            </w:r>
            <w:r>
              <w:rPr>
                <w:rFonts w:hint="default" w:ascii="Times New Roman" w:hAnsi="Times New Roman" w:eastAsia="宋体" w:cs="Times New Roman"/>
                <w:color w:val="000000" w:themeColor="text1"/>
              </w:rPr>
              <w:t>00</w:t>
            </w:r>
          </w:p>
        </w:tc>
        <w:tc>
          <w:tcPr>
            <w:tcW w:w="2144" w:type="dxa"/>
            <w:vMerge w:val="continue"/>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141"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现有废石场</w:t>
            </w:r>
          </w:p>
        </w:tc>
        <w:tc>
          <w:tcPr>
            <w:tcW w:w="129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295"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林地</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4200</w:t>
            </w:r>
          </w:p>
        </w:tc>
        <w:tc>
          <w:tcPr>
            <w:tcW w:w="2144" w:type="dxa"/>
            <w:vMerge w:val="continue"/>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928" w:type="dxa"/>
            <w:gridSpan w:val="2"/>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合    计</w:t>
            </w:r>
          </w:p>
        </w:tc>
        <w:tc>
          <w:tcPr>
            <w:tcW w:w="1295"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c>
          <w:tcPr>
            <w:tcW w:w="129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6660</w:t>
            </w:r>
          </w:p>
        </w:tc>
        <w:tc>
          <w:tcPr>
            <w:tcW w:w="2144"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r>
    </w:tbl>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表3.</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 xml:space="preserve">10 </w:t>
      </w:r>
      <w:r>
        <w:rPr>
          <w:rFonts w:hint="default" w:ascii="Times New Roman" w:hAnsi="Times New Roman" w:eastAsia="宋体" w:cs="Times New Roman"/>
          <w:b/>
          <w:bCs w:val="0"/>
          <w:color w:val="000000" w:themeColor="text1"/>
          <w:sz w:val="21"/>
          <w:szCs w:val="21"/>
        </w:rPr>
        <w:t xml:space="preserve"> </w:t>
      </w:r>
      <w:r>
        <w:rPr>
          <w:rFonts w:hint="eastAsia" w:ascii="Times New Roman" w:hAnsi="Times New Roman" w:eastAsia="宋体" w:cs="Times New Roman"/>
          <w:b/>
          <w:bCs w:val="0"/>
          <w:color w:val="000000" w:themeColor="text1"/>
          <w:sz w:val="21"/>
          <w:szCs w:val="21"/>
          <w:lang w:val="en-US" w:eastAsia="zh-CN"/>
        </w:rPr>
        <w:t>K2 矿体</w:t>
      </w:r>
      <w:r>
        <w:rPr>
          <w:rFonts w:hint="default" w:ascii="Times New Roman" w:hAnsi="Times New Roman" w:eastAsia="宋体" w:cs="Times New Roman"/>
          <w:b/>
          <w:bCs w:val="0"/>
          <w:color w:val="000000" w:themeColor="text1"/>
          <w:sz w:val="21"/>
          <w:szCs w:val="21"/>
        </w:rPr>
        <w:t>占地统计表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787"/>
        <w:gridCol w:w="1303"/>
        <w:gridCol w:w="1303"/>
        <w:gridCol w:w="1303"/>
        <w:gridCol w:w="20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164"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序号</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占用土地项目</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占地性质</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占地类型</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占地面积（m</w:t>
            </w:r>
            <w:r>
              <w:rPr>
                <w:rFonts w:hint="default" w:ascii="Times New Roman" w:hAnsi="Times New Roman" w:eastAsia="宋体" w:cs="Times New Roman"/>
                <w:color w:val="000000" w:themeColor="text1"/>
                <w:vertAlign w:val="superscript"/>
              </w:rPr>
              <w:t>2</w:t>
            </w:r>
            <w:r>
              <w:rPr>
                <w:rFonts w:hint="default" w:ascii="Times New Roman" w:hAnsi="Times New Roman" w:eastAsia="宋体" w:cs="Times New Roman"/>
                <w:color w:val="000000" w:themeColor="text1"/>
              </w:rPr>
              <w:t>）</w:t>
            </w:r>
          </w:p>
        </w:tc>
        <w:tc>
          <w:tcPr>
            <w:tcW w:w="209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164"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硐口及</w:t>
            </w:r>
            <w:r>
              <w:rPr>
                <w:rFonts w:hint="eastAsia" w:ascii="Times New Roman" w:hAnsi="Times New Roman" w:eastAsia="宋体" w:cs="Times New Roman"/>
                <w:color w:val="000000" w:themeColor="text1"/>
                <w:lang w:val="en-US" w:eastAsia="zh-CN"/>
              </w:rPr>
              <w:t>矿石堆场</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303"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林地</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1500</w:t>
            </w:r>
          </w:p>
        </w:tc>
        <w:tc>
          <w:tcPr>
            <w:tcW w:w="2097" w:type="dxa"/>
            <w:vMerge w:val="restart"/>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新增占地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164"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井口值班室</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303"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林地</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40</w:t>
            </w:r>
          </w:p>
        </w:tc>
        <w:tc>
          <w:tcPr>
            <w:tcW w:w="2097" w:type="dxa"/>
            <w:vMerge w:val="continue"/>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164"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w:t>
            </w:r>
          </w:p>
        </w:tc>
        <w:tc>
          <w:tcPr>
            <w:tcW w:w="178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矿山道路</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临时占地</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利用规划村道</w:t>
            </w:r>
          </w:p>
        </w:tc>
        <w:tc>
          <w:tcPr>
            <w:tcW w:w="1303"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6000</w:t>
            </w:r>
          </w:p>
        </w:tc>
        <w:tc>
          <w:tcPr>
            <w:tcW w:w="2097" w:type="dxa"/>
            <w:vMerge w:val="continue"/>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951" w:type="dxa"/>
            <w:gridSpan w:val="2"/>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合    计</w:t>
            </w:r>
          </w:p>
        </w:tc>
        <w:tc>
          <w:tcPr>
            <w:tcW w:w="1303"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303" w:type="dxa"/>
            <w:tcBorders>
              <w:tl2br w:val="nil"/>
              <w:tr2bl w:val="nil"/>
            </w:tcBorders>
            <w:shd w:val="clear" w:color="auto" w:fill="auto"/>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303"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7540</w:t>
            </w:r>
          </w:p>
        </w:tc>
        <w:tc>
          <w:tcPr>
            <w:tcW w:w="2097"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color w:val="000000" w:themeColor="text1"/>
          <w:sz w:val="24"/>
          <w:szCs w:val="24"/>
          <w:lang w:val="en-US" w:eastAsia="zh-CN"/>
        </w:rPr>
      </w:pPr>
      <w:bookmarkStart w:id="248" w:name="_Toc12037"/>
      <w:bookmarkStart w:id="249" w:name="_Toc20163_WPSOffice_Level3"/>
      <w:r>
        <w:rPr>
          <w:rFonts w:hint="eastAsia"/>
          <w:color w:val="000000" w:themeColor="text1"/>
          <w:sz w:val="24"/>
          <w:szCs w:val="24"/>
          <w:lang w:val="en-US" w:eastAsia="zh-CN"/>
        </w:rPr>
        <w:t xml:space="preserve">项目占地范围内无国家公益林，存在地方公益林和一般商品林，地方公益林为一般公益林，占地范围不涉及基本农田，建设单位应按照《中华人民共和国土地管理法》、《森林法》等法律、法规依法征得用地手续。  </w:t>
      </w:r>
    </w:p>
    <w:p>
      <w:pPr>
        <w:pStyle w:val="5"/>
        <w:rPr>
          <w:rFonts w:hint="eastAsia"/>
          <w:color w:val="000000" w:themeColor="text1"/>
          <w:lang w:val="en-US" w:eastAsia="zh-CN"/>
        </w:rPr>
      </w:pPr>
      <w:r>
        <w:rPr>
          <w:rFonts w:hint="eastAsia"/>
          <w:color w:val="000000" w:themeColor="text1"/>
          <w:lang w:val="en-US" w:eastAsia="zh-CN"/>
        </w:rPr>
        <w:t>公用工程</w:t>
      </w:r>
      <w:bookmarkEnd w:id="248"/>
      <w:bookmarkEnd w:id="249"/>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1</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供水工程</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矿区饮用水为商品桶装水，生活外其他用水为山泉水。</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矿井工业用水，通过矿区设置高位水池提供。井下供水采用集中供水方式，K1矿体在</w:t>
      </w:r>
      <w:r>
        <w:rPr>
          <w:rFonts w:hint="eastAsia" w:ascii="Times New Roman" w:hAnsi="Times New Roman" w:eastAsia="宋体" w:cs="Times New Roman"/>
          <w:b w:val="0"/>
          <w:bCs w:val="0"/>
          <w:color w:val="000000" w:themeColor="text1"/>
          <w:sz w:val="24"/>
          <w:szCs w:val="24"/>
          <w:lang w:eastAsia="zh-CN"/>
        </w:rPr>
        <w:t>PD83</w:t>
      </w:r>
      <w:r>
        <w:rPr>
          <w:rFonts w:hint="eastAsia" w:ascii="Times New Roman" w:hAnsi="Times New Roman" w:eastAsia="宋体" w:cs="Times New Roman"/>
          <w:b w:val="0"/>
          <w:bCs w:val="0"/>
          <w:color w:val="000000" w:themeColor="text1"/>
          <w:sz w:val="24"/>
          <w:szCs w:val="24"/>
          <w:lang w:val="en-US" w:eastAsia="zh-CN"/>
        </w:rPr>
        <w:t>0</w:t>
      </w:r>
      <w:r>
        <w:rPr>
          <w:rFonts w:hint="default" w:ascii="Times New Roman" w:hAnsi="Times New Roman" w:eastAsia="宋体" w:cs="Times New Roman"/>
          <w:b w:val="0"/>
          <w:bCs w:val="0"/>
          <w:color w:val="000000" w:themeColor="text1"/>
          <w:sz w:val="24"/>
          <w:szCs w:val="24"/>
        </w:rPr>
        <w:t>回风平硐口，K2矿体在PD830回风平硐口各设置一座高位水池，水源取自山泉水，设高位水池作为坑内供水及消防用水的水源。</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高位水池规格：有效容积</w:t>
      </w:r>
      <w:r>
        <w:rPr>
          <w:rFonts w:hint="default" w:ascii="Times New Roman" w:hAnsi="Times New Roman" w:eastAsia="宋体" w:cs="Times New Roman"/>
          <w:b w:val="0"/>
          <w:bCs w:val="0"/>
          <w:color w:val="000000" w:themeColor="text1"/>
          <w:sz w:val="24"/>
          <w:szCs w:val="24"/>
          <w:lang w:val="en-US"/>
        </w:rPr>
        <w:t>1</w:t>
      </w:r>
      <w:r>
        <w:rPr>
          <w:rFonts w:hint="default" w:ascii="Times New Roman" w:hAnsi="Times New Roman" w:eastAsia="宋体" w:cs="Times New Roman"/>
          <w:b w:val="0"/>
          <w:bCs w:val="0"/>
          <w:color w:val="000000" w:themeColor="text1"/>
          <w:sz w:val="24"/>
          <w:szCs w:val="24"/>
        </w:rPr>
        <w:t>00m³</w:t>
      </w:r>
      <w:r>
        <w:rPr>
          <w:rFonts w:hint="eastAsia" w:ascii="Times New Roman" w:hAnsi="Times New Roman" w:eastAsia="宋体" w:cs="Times New Roman"/>
          <w:b w:val="0"/>
          <w:bCs w:val="0"/>
          <w:color w:val="000000" w:themeColor="text1"/>
          <w:sz w:val="24"/>
          <w:szCs w:val="24"/>
          <w:lang w:val="en-US" w:eastAsia="zh-CN"/>
        </w:rPr>
        <w:t>，</w:t>
      </w:r>
      <w:r>
        <w:rPr>
          <w:rFonts w:hint="default" w:ascii="Times New Roman" w:hAnsi="Times New Roman" w:eastAsia="宋体" w:cs="Times New Roman"/>
          <w:b w:val="0"/>
          <w:bCs w:val="0"/>
          <w:color w:val="000000" w:themeColor="text1"/>
          <w:sz w:val="24"/>
          <w:szCs w:val="24"/>
        </w:rPr>
        <w:t>采用地埋式结构，钢筋混凝土结构。</w:t>
      </w:r>
    </w:p>
    <w:p>
      <w:pPr>
        <w:pStyle w:val="22"/>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kern w:val="0"/>
          <w:sz w:val="24"/>
          <w:szCs w:val="24"/>
        </w:rPr>
        <w:t>根据开发利用方案可知，各施工平硐基本无大的地下水涌水点，仅在进硐段局部有点滴状地下水从顶板渗出，矿坑涌水量很小。矿坑涌水量＜1.0L/S，地下水取样困难。根据建设单位提供</w:t>
      </w:r>
      <w:r>
        <w:rPr>
          <w:rFonts w:hint="eastAsia" w:ascii="Times New Roman" w:hAnsi="Times New Roman" w:eastAsia="宋体" w:cs="Times New Roman"/>
          <w:b w:val="0"/>
          <w:bCs w:val="0"/>
          <w:color w:val="000000" w:themeColor="text1"/>
          <w:kern w:val="0"/>
          <w:sz w:val="24"/>
          <w:szCs w:val="24"/>
          <w:lang w:val="en-US" w:eastAsia="zh-CN"/>
        </w:rPr>
        <w:t>K1矿体运行参数</w:t>
      </w:r>
      <w:r>
        <w:rPr>
          <w:rFonts w:hint="default" w:ascii="Times New Roman" w:hAnsi="Times New Roman" w:eastAsia="宋体" w:cs="Times New Roman"/>
          <w:b w:val="0"/>
          <w:bCs w:val="0"/>
          <w:color w:val="000000" w:themeColor="text1"/>
          <w:kern w:val="0"/>
          <w:sz w:val="24"/>
          <w:szCs w:val="24"/>
        </w:rPr>
        <w:t>，仅在雨季（每年 6～9 月）偶尔有涌水产生，最多时涌水量为</w:t>
      </w:r>
      <w:r>
        <w:rPr>
          <w:rFonts w:hint="eastAsia" w:ascii="Times New Roman" w:hAnsi="Times New Roman" w:eastAsia="宋体" w:cs="Times New Roman"/>
          <w:b w:val="0"/>
          <w:bCs w:val="0"/>
          <w:color w:val="000000" w:themeColor="text1"/>
          <w:kern w:val="0"/>
          <w:sz w:val="24"/>
          <w:szCs w:val="24"/>
          <w:lang w:val="en-US" w:eastAsia="zh-CN"/>
        </w:rPr>
        <w:t>1</w:t>
      </w:r>
      <w:r>
        <w:rPr>
          <w:rFonts w:hint="default" w:ascii="Times New Roman" w:hAnsi="Times New Roman" w:eastAsia="宋体" w:cs="Times New Roman"/>
          <w:b w:val="0"/>
          <w:bCs w:val="0"/>
          <w:color w:val="000000" w:themeColor="text1"/>
          <w:kern w:val="0"/>
          <w:sz w:val="24"/>
          <w:szCs w:val="24"/>
        </w:rPr>
        <w:t>t/d。生活用水量参考《陕西省行业用水定额》（DB61/T943-20</w:t>
      </w:r>
      <w:r>
        <w:rPr>
          <w:rFonts w:hint="default" w:ascii="Times New Roman" w:hAnsi="Times New Roman" w:eastAsia="宋体" w:cs="Times New Roman"/>
          <w:b w:val="0"/>
          <w:bCs w:val="0"/>
          <w:color w:val="000000" w:themeColor="text1"/>
          <w:kern w:val="0"/>
          <w:sz w:val="24"/>
          <w:szCs w:val="24"/>
          <w:lang w:val="en-US" w:eastAsia="zh-CN"/>
        </w:rPr>
        <w:t>20</w:t>
      </w:r>
      <w:r>
        <w:rPr>
          <w:rFonts w:hint="default" w:ascii="Times New Roman" w:hAnsi="Times New Roman" w:eastAsia="宋体" w:cs="Times New Roman"/>
          <w:b w:val="0"/>
          <w:bCs w:val="0"/>
          <w:color w:val="000000" w:themeColor="text1"/>
          <w:kern w:val="0"/>
          <w:sz w:val="24"/>
          <w:szCs w:val="24"/>
        </w:rPr>
        <w:t>）中及项目所在地实际用水情况，本项目工作人员</w:t>
      </w:r>
      <w:r>
        <w:rPr>
          <w:rFonts w:hint="eastAsia" w:ascii="Times New Roman" w:hAnsi="Times New Roman" w:eastAsia="宋体" w:cs="Times New Roman"/>
          <w:b w:val="0"/>
          <w:bCs w:val="0"/>
          <w:color w:val="000000" w:themeColor="text1"/>
          <w:kern w:val="0"/>
          <w:sz w:val="24"/>
          <w:szCs w:val="24"/>
          <w:lang w:val="en-US" w:eastAsia="zh-CN"/>
        </w:rPr>
        <w:t>21</w:t>
      </w:r>
      <w:r>
        <w:rPr>
          <w:rFonts w:hint="default" w:ascii="Times New Roman" w:hAnsi="Times New Roman" w:eastAsia="宋体" w:cs="Times New Roman"/>
          <w:b w:val="0"/>
          <w:bCs w:val="0"/>
          <w:color w:val="000000" w:themeColor="text1"/>
          <w:kern w:val="0"/>
          <w:sz w:val="24"/>
          <w:szCs w:val="24"/>
        </w:rPr>
        <w:t>人，生活用水按30L/（人·d）计，则项目员工生活用水量为</w:t>
      </w:r>
      <w:r>
        <w:rPr>
          <w:rFonts w:hint="eastAsia" w:ascii="Times New Roman" w:hAnsi="Times New Roman" w:eastAsia="宋体" w:cs="Times New Roman"/>
          <w:b w:val="0"/>
          <w:bCs w:val="0"/>
          <w:color w:val="000000" w:themeColor="text1"/>
          <w:kern w:val="0"/>
          <w:sz w:val="24"/>
          <w:szCs w:val="24"/>
          <w:lang w:val="en-US" w:eastAsia="zh-CN"/>
        </w:rPr>
        <w:t>0.63</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/d（</w:t>
      </w:r>
      <w:r>
        <w:rPr>
          <w:rFonts w:hint="eastAsia" w:ascii="Times New Roman" w:hAnsi="Times New Roman" w:eastAsia="宋体" w:cs="Times New Roman"/>
          <w:b w:val="0"/>
          <w:bCs w:val="0"/>
          <w:color w:val="000000" w:themeColor="text1"/>
          <w:kern w:val="0"/>
          <w:sz w:val="24"/>
          <w:szCs w:val="24"/>
          <w:lang w:val="en-US" w:eastAsia="zh-CN"/>
        </w:rPr>
        <w:t>189</w:t>
      </w:r>
      <w:r>
        <w:rPr>
          <w:rFonts w:hint="default" w:ascii="Times New Roman" w:hAnsi="Times New Roman" w:eastAsia="宋体" w:cs="Times New Roman"/>
          <w:b w:val="0"/>
          <w:bCs w:val="0"/>
          <w:color w:val="000000" w:themeColor="text1"/>
          <w:kern w:val="0"/>
          <w:sz w:val="24"/>
          <w:szCs w:val="24"/>
        </w:rPr>
        <w:t>.0m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/a，年工作300天）。生活污水产生系数按0.8计，则生活污水产生量为</w:t>
      </w:r>
      <w:r>
        <w:rPr>
          <w:rFonts w:hint="eastAsia" w:ascii="Times New Roman" w:hAnsi="Times New Roman" w:eastAsia="宋体" w:cs="Times New Roman"/>
          <w:b w:val="0"/>
          <w:bCs w:val="0"/>
          <w:color w:val="000000" w:themeColor="text1"/>
          <w:kern w:val="0"/>
          <w:sz w:val="24"/>
          <w:szCs w:val="24"/>
          <w:lang w:val="en-US" w:eastAsia="zh-CN"/>
        </w:rPr>
        <w:t>0.504</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/d（</w:t>
      </w:r>
      <w:r>
        <w:rPr>
          <w:rFonts w:hint="eastAsia" w:ascii="Times New Roman" w:hAnsi="Times New Roman" w:eastAsia="宋体" w:cs="Times New Roman"/>
          <w:b w:val="0"/>
          <w:bCs w:val="0"/>
          <w:color w:val="000000" w:themeColor="text1"/>
          <w:kern w:val="0"/>
          <w:sz w:val="24"/>
          <w:szCs w:val="24"/>
          <w:lang w:val="en-US" w:eastAsia="zh-CN"/>
        </w:rPr>
        <w:t>151.2</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/a）</w:t>
      </w:r>
      <w:r>
        <w:rPr>
          <w:rFonts w:hint="eastAsia" w:ascii="Times New Roman" w:hAnsi="Times New Roman" w:eastAsia="宋体" w:cs="Times New Roman"/>
          <w:b w:val="0"/>
          <w:bCs w:val="0"/>
          <w:color w:val="000000" w:themeColor="text1"/>
          <w:kern w:val="0"/>
          <w:sz w:val="24"/>
          <w:szCs w:val="24"/>
          <w:lang w:eastAsia="zh-CN"/>
        </w:rPr>
        <w:t>，</w:t>
      </w:r>
      <w:r>
        <w:rPr>
          <w:rFonts w:hint="default" w:ascii="Times New Roman" w:hAnsi="Times New Roman" w:eastAsia="宋体" w:cs="Times New Roman"/>
          <w:b w:val="0"/>
          <w:bCs w:val="0"/>
          <w:color w:val="000000" w:themeColor="text1"/>
          <w:kern w:val="0"/>
          <w:sz w:val="24"/>
          <w:szCs w:val="24"/>
        </w:rPr>
        <w:t>生活污水经</w:t>
      </w:r>
      <w:r>
        <w:rPr>
          <w:rFonts w:hint="eastAsia" w:ascii="Times New Roman" w:hAnsi="Times New Roman" w:eastAsia="宋体" w:cs="Times New Roman"/>
          <w:b w:val="0"/>
          <w:bCs w:val="0"/>
          <w:color w:val="000000" w:themeColor="text1"/>
          <w:kern w:val="0"/>
          <w:sz w:val="24"/>
          <w:szCs w:val="24"/>
          <w:lang w:val="en-US" w:eastAsia="zh-CN"/>
        </w:rPr>
        <w:t>化粪池处理后用于肥田</w:t>
      </w:r>
      <w:r>
        <w:rPr>
          <w:rFonts w:hint="default" w:ascii="Times New Roman" w:hAnsi="Times New Roman" w:eastAsia="宋体" w:cs="Times New Roman"/>
          <w:b w:val="0"/>
          <w:bCs w:val="0"/>
          <w:color w:val="000000" w:themeColor="text1"/>
          <w:sz w:val="24"/>
          <w:szCs w:val="24"/>
        </w:rPr>
        <w:t>。</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根据现有工程以及</w:t>
      </w:r>
      <w:r>
        <w:rPr>
          <w:rFonts w:hint="default" w:ascii="Times New Roman" w:hAnsi="Times New Roman" w:eastAsia="宋体" w:cs="Times New Roman"/>
          <w:b w:val="0"/>
          <w:bCs w:val="0"/>
          <w:color w:val="000000" w:themeColor="text1"/>
          <w:sz w:val="24"/>
          <w:szCs w:val="24"/>
        </w:rPr>
        <w:t>类比</w:t>
      </w:r>
      <w:r>
        <w:rPr>
          <w:rFonts w:hint="eastAsia" w:ascii="Times New Roman" w:hAnsi="Times New Roman" w:eastAsia="宋体" w:cs="Times New Roman"/>
          <w:b w:val="0"/>
          <w:bCs w:val="0"/>
          <w:color w:val="000000" w:themeColor="text1"/>
          <w:sz w:val="24"/>
          <w:szCs w:val="24"/>
          <w:lang w:val="en-US" w:eastAsia="zh-CN"/>
        </w:rPr>
        <w:t>本区域同类型相同规模项目可知，井下</w:t>
      </w:r>
      <w:r>
        <w:rPr>
          <w:rFonts w:hint="default" w:ascii="Times New Roman" w:hAnsi="Times New Roman" w:eastAsia="宋体" w:cs="Times New Roman"/>
          <w:b w:val="0"/>
          <w:bCs w:val="0"/>
          <w:color w:val="000000" w:themeColor="text1"/>
          <w:sz w:val="24"/>
          <w:szCs w:val="24"/>
        </w:rPr>
        <w:t>湿式凿岩</w:t>
      </w:r>
      <w:r>
        <w:rPr>
          <w:rFonts w:hint="eastAsia" w:ascii="Times New Roman" w:hAnsi="Times New Roman" w:eastAsia="宋体" w:cs="Times New Roman"/>
          <w:b w:val="0"/>
          <w:bCs w:val="0"/>
          <w:color w:val="000000" w:themeColor="text1"/>
          <w:sz w:val="24"/>
          <w:szCs w:val="24"/>
          <w:lang w:eastAsia="zh-CN"/>
        </w:rPr>
        <w:t>和工作面除尘</w:t>
      </w:r>
      <w:r>
        <w:rPr>
          <w:rFonts w:hint="default" w:ascii="Times New Roman" w:hAnsi="Times New Roman" w:eastAsia="宋体" w:cs="Times New Roman"/>
          <w:b w:val="0"/>
          <w:bCs w:val="0"/>
          <w:color w:val="000000" w:themeColor="text1"/>
          <w:sz w:val="24"/>
          <w:szCs w:val="24"/>
        </w:rPr>
        <w:t>用水量约为</w:t>
      </w:r>
      <w:r>
        <w:rPr>
          <w:rFonts w:hint="eastAsia" w:ascii="Times New Roman" w:hAnsi="Times New Roman" w:eastAsia="宋体" w:cs="Times New Roman"/>
          <w:b w:val="0"/>
          <w:bCs w:val="0"/>
          <w:color w:val="000000" w:themeColor="text1"/>
          <w:sz w:val="24"/>
          <w:szCs w:val="24"/>
          <w:lang w:val="en-US" w:eastAsia="zh-CN"/>
        </w:rPr>
        <w:t>5</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损失量为</w:t>
      </w:r>
      <w:r>
        <w:rPr>
          <w:rFonts w:hint="eastAsia"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/d，剩余废水量为</w:t>
      </w:r>
      <w:r>
        <w:rPr>
          <w:rFonts w:hint="eastAsia" w:ascii="Times New Roman" w:hAnsi="Times New Roman" w:eastAsia="宋体" w:cs="Times New Roman"/>
          <w:b w:val="0"/>
          <w:bCs w:val="0"/>
          <w:color w:val="000000" w:themeColor="text1"/>
          <w:sz w:val="24"/>
          <w:szCs w:val="24"/>
          <w:lang w:val="en-US" w:eastAsia="zh-CN"/>
        </w:rPr>
        <w:t>3</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/d，剩余废水经沉淀处理后全部回用。</w:t>
      </w:r>
      <w:r>
        <w:rPr>
          <w:rFonts w:hint="eastAsia" w:ascii="Times New Roman" w:hAnsi="Times New Roman" w:eastAsia="宋体" w:cs="Times New Roman"/>
          <w:b w:val="0"/>
          <w:bCs w:val="0"/>
          <w:color w:val="000000" w:themeColor="text1"/>
          <w:sz w:val="24"/>
          <w:szCs w:val="24"/>
          <w:lang w:eastAsia="zh-CN"/>
        </w:rPr>
        <w:t>矿石堆场</w:t>
      </w:r>
      <w:r>
        <w:rPr>
          <w:rFonts w:hint="default" w:ascii="Times New Roman" w:hAnsi="Times New Roman" w:eastAsia="宋体" w:cs="Times New Roman"/>
          <w:b w:val="0"/>
          <w:bCs w:val="0"/>
          <w:color w:val="000000" w:themeColor="text1"/>
          <w:sz w:val="24"/>
          <w:szCs w:val="24"/>
        </w:rPr>
        <w:t>除尘用水量约为</w:t>
      </w:r>
      <w:r>
        <w:rPr>
          <w:rFonts w:hint="eastAsia"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损失量为</w:t>
      </w:r>
      <w:r>
        <w:rPr>
          <w:rFonts w:hint="eastAsia"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剩余废水量为</w:t>
      </w:r>
      <w:r>
        <w:rPr>
          <w:rFonts w:hint="eastAsia"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/d，剩余废水经沉淀处理后全部回用。</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2</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排水系统</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FF0000"/>
          <w:sz w:val="24"/>
          <w:szCs w:val="24"/>
        </w:rPr>
        <w:t>本次设计两矿体均选用平硐开拓，K1毒重石矿体最低生产标高为660m，K2矿体最低生产标高为710m，均高于矿区最低侵蚀基准面</w:t>
      </w:r>
      <w:r>
        <w:rPr>
          <w:rFonts w:hint="eastAsia" w:ascii="Times New Roman" w:hAnsi="Times New Roman" w:eastAsia="宋体" w:cs="Times New Roman"/>
          <w:b w:val="0"/>
          <w:bCs w:val="0"/>
          <w:color w:val="FF0000"/>
          <w:sz w:val="24"/>
          <w:szCs w:val="24"/>
        </w:rPr>
        <w:t>（500m）</w:t>
      </w:r>
      <w:r>
        <w:rPr>
          <w:rFonts w:hint="default" w:ascii="Times New Roman" w:hAnsi="Times New Roman" w:eastAsia="宋体" w:cs="Times New Roman"/>
          <w:b w:val="0"/>
          <w:bCs w:val="0"/>
          <w:color w:val="FF0000"/>
          <w:sz w:val="24"/>
          <w:szCs w:val="24"/>
        </w:rPr>
        <w:t>，因此可采用自流排水。</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FF0000"/>
          <w:sz w:val="24"/>
          <w:szCs w:val="24"/>
        </w:rPr>
        <w:t>在中段水平巷道内设置排水沟，宽300mm，深300mm，断面积0.09m</w:t>
      </w:r>
      <w:r>
        <w:rPr>
          <w:rFonts w:hint="default" w:ascii="Times New Roman" w:hAnsi="Times New Roman" w:eastAsia="宋体" w:cs="Times New Roman"/>
          <w:b w:val="0"/>
          <w:bCs w:val="0"/>
          <w:color w:val="FF0000"/>
          <w:sz w:val="24"/>
          <w:szCs w:val="24"/>
          <w:vertAlign w:val="superscript"/>
        </w:rPr>
        <w:t>2</w:t>
      </w:r>
      <w:r>
        <w:rPr>
          <w:rFonts w:hint="default" w:ascii="Times New Roman" w:hAnsi="Times New Roman" w:eastAsia="宋体" w:cs="Times New Roman"/>
          <w:b w:val="0"/>
          <w:bCs w:val="0"/>
          <w:color w:val="FF0000"/>
          <w:sz w:val="24"/>
          <w:szCs w:val="24"/>
        </w:rPr>
        <w:t>，各阶段平硐设3‰正坡，可满足坑内涌水量排泄，涌水及生产废水沿水沟自流排出地表。环评要求对出矿坑口设置沉淀池，用于生产废水沉淀，沉淀后通过输水回用管线输送，全部回用作为井下湿式凿岩和工作面除尘用水。</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val="en-US" w:eastAsia="zh-CN"/>
        </w:rPr>
        <w:t>生活废水经化粪池处理后用于肥田</w:t>
      </w:r>
      <w:r>
        <w:rPr>
          <w:rFonts w:hint="default" w:ascii="Times New Roman" w:hAnsi="Times New Roman" w:eastAsia="宋体" w:cs="Times New Roman"/>
          <w:b w:val="0"/>
          <w:bCs w:val="0"/>
          <w:color w:val="000000" w:themeColor="text1"/>
          <w:sz w:val="24"/>
          <w:szCs w:val="24"/>
        </w:rPr>
        <w:t>。项目用排水水量平衡见表3.</w:t>
      </w:r>
      <w:r>
        <w:rPr>
          <w:rFonts w:hint="eastAsia"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rPr>
        <w:t>-</w:t>
      </w:r>
      <w:r>
        <w:rPr>
          <w:rFonts w:hint="eastAsia" w:ascii="Times New Roman" w:hAnsi="Times New Roman" w:eastAsia="宋体" w:cs="Times New Roman"/>
          <w:b w:val="0"/>
          <w:bCs w:val="0"/>
          <w:color w:val="000000" w:themeColor="text1"/>
          <w:sz w:val="24"/>
          <w:szCs w:val="24"/>
          <w:lang w:val="en-US" w:eastAsia="zh-CN"/>
        </w:rPr>
        <w:t>11</w:t>
      </w:r>
      <w:r>
        <w:rPr>
          <w:rFonts w:hint="default" w:ascii="Times New Roman" w:hAnsi="Times New Roman" w:eastAsia="宋体" w:cs="Times New Roman"/>
          <w:b w:val="0"/>
          <w:bCs w:val="0"/>
          <w:color w:val="000000" w:themeColor="text1"/>
          <w:sz w:val="24"/>
          <w:szCs w:val="24"/>
        </w:rPr>
        <w:t>。</w:t>
      </w:r>
    </w:p>
    <w:p>
      <w:pPr>
        <w:pageBreakBefore w:val="0"/>
        <w:widowControl w:val="0"/>
        <w:kinsoku/>
        <w:wordWrap/>
        <w:overflowPunct/>
        <w:topLinePunct w:val="0"/>
        <w:autoSpaceDE/>
        <w:autoSpaceDN/>
        <w:bidi w:val="0"/>
        <w:adjustRightInd w:val="0"/>
        <w:snapToGrid w:val="0"/>
        <w:spacing w:line="360" w:lineRule="auto"/>
        <w:ind w:left="0" w:firstLine="422" w:firstLineChars="20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表3.</w:t>
      </w:r>
      <w:r>
        <w:rPr>
          <w:rFonts w:hint="eastAsia" w:ascii="Times New Roman" w:hAnsi="Times New Roman" w:eastAsia="宋体"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11</w:t>
      </w:r>
      <w:r>
        <w:rPr>
          <w:rFonts w:hint="default" w:ascii="Times New Roman" w:hAnsi="Times New Roman" w:eastAsia="宋体" w:cs="Times New Roman"/>
          <w:b/>
          <w:bCs/>
          <w:color w:val="000000" w:themeColor="text1"/>
          <w:sz w:val="21"/>
          <w:szCs w:val="21"/>
        </w:rPr>
        <w:t xml:space="preserve"> 项目用排水平衡一览表  单位：m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/d</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188"/>
        <w:gridCol w:w="1275"/>
        <w:gridCol w:w="900"/>
        <w:gridCol w:w="962"/>
        <w:gridCol w:w="1338"/>
        <w:gridCol w:w="900"/>
        <w:gridCol w:w="11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名称</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新鲜水量</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用水量</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损耗量</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重复利用量</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回用量</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default" w:ascii="Times New Roman" w:hAnsi="Times New Roman" w:eastAsia="宋体" w:cs="Times New Roman"/>
                <w:b w:val="0"/>
                <w:bCs w:val="0"/>
                <w:color w:val="000000" w:themeColor="text1"/>
                <w:sz w:val="21"/>
                <w:szCs w:val="21"/>
              </w:rPr>
              <w:t>生产用水</w:t>
            </w:r>
            <w:r>
              <w:rPr>
                <w:rFonts w:hint="eastAsia" w:ascii="Times New Roman" w:hAnsi="Times New Roman" w:eastAsia="宋体" w:cs="Times New Roman"/>
                <w:b w:val="0"/>
                <w:bCs w:val="0"/>
                <w:color w:val="000000" w:themeColor="text1"/>
                <w:sz w:val="21"/>
                <w:szCs w:val="21"/>
                <w:lang w:eastAsia="zh-CN"/>
              </w:rPr>
              <w:t>（山泉水）</w:t>
            </w:r>
          </w:p>
        </w:tc>
        <w:tc>
          <w:tcPr>
            <w:tcW w:w="1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井下降尘</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2</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5</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2</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0</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3</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p>
        </w:tc>
        <w:tc>
          <w:tcPr>
            <w:tcW w:w="1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矿石堆场</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1</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2</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1</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0</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1</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default" w:ascii="Times New Roman" w:hAnsi="Times New Roman" w:eastAsia="宋体" w:cs="Times New Roman"/>
                <w:b w:val="0"/>
                <w:bCs w:val="0"/>
                <w:color w:val="000000" w:themeColor="text1"/>
                <w:sz w:val="21"/>
                <w:szCs w:val="21"/>
              </w:rPr>
              <w:t>生活用水</w:t>
            </w:r>
            <w:r>
              <w:rPr>
                <w:rFonts w:hint="eastAsia" w:ascii="Times New Roman" w:hAnsi="Times New Roman" w:eastAsia="宋体" w:cs="Times New Roman"/>
                <w:b w:val="0"/>
                <w:bCs w:val="0"/>
                <w:color w:val="000000" w:themeColor="text1"/>
                <w:sz w:val="21"/>
                <w:szCs w:val="21"/>
                <w:lang w:eastAsia="zh-CN"/>
              </w:rPr>
              <w:t>（桶装水）</w:t>
            </w:r>
          </w:p>
        </w:tc>
        <w:tc>
          <w:tcPr>
            <w:tcW w:w="1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eastAsia="zh-CN"/>
              </w:rPr>
              <w:t>职工生活</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0.63</w:t>
            </w:r>
          </w:p>
        </w:tc>
        <w:tc>
          <w:tcPr>
            <w:tcW w:w="900" w:type="dxa"/>
            <w:tcBorders>
              <w:tl2br w:val="nil"/>
              <w:tr2bl w:val="nil"/>
            </w:tcBorders>
            <w:vAlign w:val="center"/>
          </w:tcPr>
          <w:p>
            <w:pPr>
              <w:keepNext w:val="0"/>
              <w:keepLines w:val="0"/>
              <w:pageBreakBefore w:val="0"/>
              <w:widowControl w:val="0"/>
              <w:tabs>
                <w:tab w:val="left" w:pos="248"/>
                <w:tab w:val="center" w:pos="569"/>
              </w:tabs>
              <w:kinsoku/>
              <w:wordWrap/>
              <w:overflowPunct/>
              <w:topLinePunct w:val="0"/>
              <w:autoSpaceDE/>
              <w:autoSpaceDN/>
              <w:bidi w:val="0"/>
              <w:adjustRightInd w:val="0"/>
              <w:snapToGrid w:val="0"/>
              <w:spacing w:line="240" w:lineRule="auto"/>
              <w:ind w:left="0" w:firstLine="0" w:firstLineChars="0"/>
              <w:jc w:val="left"/>
              <w:textAlignment w:val="auto"/>
              <w:rPr>
                <w:rFonts w:hint="eastAsia"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rPr>
              <w:tab/>
            </w:r>
            <w:r>
              <w:rPr>
                <w:rFonts w:hint="eastAsia" w:ascii="Times New Roman" w:hAnsi="Times New Roman" w:eastAsia="宋体" w:cs="Times New Roman"/>
                <w:b w:val="0"/>
                <w:bCs w:val="0"/>
                <w:color w:val="000000" w:themeColor="text1"/>
                <w:sz w:val="21"/>
                <w:szCs w:val="21"/>
                <w:lang w:val="en-US" w:eastAsia="zh-CN"/>
              </w:rPr>
              <w:t>0.63</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0.126</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0.504</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rPr>
            </w:pPr>
            <w:r>
              <w:rPr>
                <w:rFonts w:hint="eastAsia" w:ascii="Times New Roman" w:hAnsi="Times New Roman" w:eastAsia="宋体" w:cs="Times New Roman"/>
                <w:b w:val="0"/>
                <w:bCs w:val="0"/>
                <w:color w:val="000000" w:themeColor="text1"/>
                <w:sz w:val="21"/>
                <w:szCs w:val="21"/>
                <w:lang w:val="en-US" w:eastAsia="zh-CN"/>
              </w:rPr>
              <w:t>定期清掏用于肥田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总水量</w:t>
            </w:r>
          </w:p>
        </w:tc>
        <w:tc>
          <w:tcPr>
            <w:tcW w:w="1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桶装水</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0.63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0.63</w:t>
            </w:r>
          </w:p>
        </w:tc>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3.126</w:t>
            </w:r>
          </w:p>
        </w:tc>
        <w:tc>
          <w:tcPr>
            <w:tcW w:w="133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0.504</w:t>
            </w:r>
          </w:p>
        </w:tc>
        <w:tc>
          <w:tcPr>
            <w:tcW w:w="9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4</w:t>
            </w:r>
          </w:p>
        </w:tc>
        <w:tc>
          <w:tcPr>
            <w:tcW w:w="11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p>
        </w:tc>
        <w:tc>
          <w:tcPr>
            <w:tcW w:w="1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山泉水</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3</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7</w:t>
            </w:r>
          </w:p>
        </w:tc>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p>
        </w:tc>
        <w:tc>
          <w:tcPr>
            <w:tcW w:w="1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p>
        </w:tc>
        <w:tc>
          <w:tcPr>
            <w:tcW w:w="9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p>
        </w:tc>
        <w:tc>
          <w:tcPr>
            <w:tcW w:w="11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sz w:val="21"/>
                <w:szCs w:val="21"/>
              </w:rPr>
            </w:pPr>
          </w:p>
        </w:tc>
      </w:tr>
    </w:tbl>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0" w:firstLine="480" w:firstLineChars="200"/>
        <w:jc w:val="center"/>
        <w:textAlignment w:val="auto"/>
        <w:rPr>
          <w:rFonts w:hint="default" w:ascii="Times New Roman" w:hAnsi="Times New Roman" w:eastAsia="宋体" w:cs="Times New Roman"/>
          <w:b w:val="0"/>
          <w:bCs w:val="0"/>
          <w:color w:val="000000" w:themeColor="text1"/>
          <w:sz w:val="24"/>
          <w:szCs w:val="24"/>
        </w:rPr>
      </w:pP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eastAsia="宋体" w:cs="Times New Roman"/>
          <w:b w:val="0"/>
          <w:bCs w:val="0"/>
          <w:color w:val="000000" w:themeColor="text1"/>
          <w:sz w:val="24"/>
          <w:szCs w:val="24"/>
        </w:rPr>
      </w:pPr>
      <w:r>
        <w:rPr>
          <w:color w:val="000000" w:themeColor="text1"/>
        </w:rPr>
        <w:drawing>
          <wp:inline distT="0" distB="0" distL="114300" distR="114300">
            <wp:extent cx="5333365" cy="2618740"/>
            <wp:effectExtent l="0" t="0" r="635" b="1016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2"/>
                    <a:stretch>
                      <a:fillRect/>
                    </a:stretch>
                  </pic:blipFill>
                  <pic:spPr>
                    <a:xfrm>
                      <a:off x="0" y="0"/>
                      <a:ext cx="5333365" cy="2618740"/>
                    </a:xfrm>
                    <a:prstGeom prst="rect">
                      <a:avLst/>
                    </a:prstGeom>
                    <a:noFill/>
                    <a:ln w="19050">
                      <a:noFill/>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420" w:firstLineChars="200"/>
        <w:jc w:val="center"/>
        <w:textAlignment w:val="auto"/>
        <w:rPr>
          <w:rFonts w:hint="default" w:ascii="Times New Roman" w:hAnsi="Times New Roman" w:eastAsia="宋体" w:cs="Times New Roman"/>
          <w:b w:val="0"/>
          <w:bCs w:val="0"/>
          <w:color w:val="000000" w:themeColor="text1"/>
          <w:sz w:val="24"/>
          <w:szCs w:val="24"/>
        </w:rPr>
      </w:pPr>
      <w:r>
        <w:drawing>
          <wp:inline distT="0" distB="0" distL="114300" distR="114300">
            <wp:extent cx="5387340" cy="1203960"/>
            <wp:effectExtent l="0" t="0" r="7620" b="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33"/>
                    <a:stretch>
                      <a:fillRect/>
                    </a:stretch>
                  </pic:blipFill>
                  <pic:spPr>
                    <a:xfrm>
                      <a:off x="0" y="0"/>
                      <a:ext cx="5387340" cy="12039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422" w:firstLineChars="20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图3.</w:t>
      </w:r>
      <w:r>
        <w:rPr>
          <w:rFonts w:hint="eastAsia" w:ascii="Times New Roman" w:hAnsi="Times New Roman" w:eastAsia="宋体"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 xml:space="preserve"> 水平衡图 单位：m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/d</w:t>
      </w:r>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eastAsia="zh-CN"/>
        </w:rPr>
        <w:t>由于本项目井下涌水为具有季节性，且为间断涌水，只对其进行收集处理，故未将其纳入水平衡分析。经核算，本项目山泉水年用量约为</w:t>
      </w:r>
      <w:r>
        <w:rPr>
          <w:rFonts w:hint="eastAsia" w:ascii="Times New Roman" w:hAnsi="Times New Roman" w:eastAsia="宋体" w:cs="Times New Roman"/>
          <w:b w:val="0"/>
          <w:bCs w:val="0"/>
          <w:color w:val="FF0000"/>
          <w:sz w:val="24"/>
          <w:szCs w:val="24"/>
          <w:lang w:val="en-US" w:eastAsia="zh-CN"/>
        </w:rPr>
        <w:t>1100</w:t>
      </w:r>
      <w:r>
        <w:rPr>
          <w:rFonts w:hint="default" w:ascii="Times New Roman" w:hAnsi="Times New Roman" w:eastAsia="宋体" w:cs="Times New Roman"/>
          <w:b w:val="0"/>
          <w:bCs w:val="0"/>
          <w:color w:val="FF0000"/>
          <w:sz w:val="24"/>
          <w:szCs w:val="24"/>
        </w:rPr>
        <w:t>m</w:t>
      </w:r>
      <w:r>
        <w:rPr>
          <w:rFonts w:hint="default" w:ascii="Times New Roman" w:hAnsi="Times New Roman" w:eastAsia="宋体" w:cs="Times New Roman"/>
          <w:b w:val="0"/>
          <w:bCs w:val="0"/>
          <w:color w:val="FF0000"/>
          <w:sz w:val="24"/>
          <w:szCs w:val="24"/>
          <w:vertAlign w:val="superscript"/>
        </w:rPr>
        <w:t>3</w:t>
      </w:r>
      <w:r>
        <w:rPr>
          <w:rFonts w:hint="eastAsia" w:ascii="Times New Roman" w:hAnsi="Times New Roman" w:eastAsia="宋体" w:cs="Times New Roman"/>
          <w:b w:val="0"/>
          <w:bCs w:val="0"/>
          <w:color w:val="FF0000"/>
          <w:sz w:val="24"/>
          <w:szCs w:val="24"/>
          <w:vertAlign w:val="baseline"/>
          <w:lang w:eastAsia="zh-CN"/>
        </w:rPr>
        <w:t>，取水证取水量为</w:t>
      </w:r>
      <w:r>
        <w:rPr>
          <w:rFonts w:hint="eastAsia" w:ascii="Times New Roman" w:hAnsi="Times New Roman" w:eastAsia="宋体" w:cs="Times New Roman"/>
          <w:b w:val="0"/>
          <w:bCs w:val="0"/>
          <w:color w:val="FF0000"/>
          <w:sz w:val="24"/>
          <w:szCs w:val="24"/>
          <w:vertAlign w:val="baseline"/>
          <w:lang w:val="en-US" w:eastAsia="zh-CN"/>
        </w:rPr>
        <w:t>1.072万</w:t>
      </w:r>
      <w:r>
        <w:rPr>
          <w:rFonts w:hint="default" w:ascii="Times New Roman" w:hAnsi="Times New Roman" w:eastAsia="宋体" w:cs="Times New Roman"/>
          <w:b w:val="0"/>
          <w:bCs w:val="0"/>
          <w:color w:val="FF0000"/>
          <w:sz w:val="24"/>
          <w:szCs w:val="24"/>
        </w:rPr>
        <w:t>m</w:t>
      </w:r>
      <w:r>
        <w:rPr>
          <w:rFonts w:hint="default" w:ascii="Times New Roman" w:hAnsi="Times New Roman" w:eastAsia="宋体" w:cs="Times New Roman"/>
          <w:b w:val="0"/>
          <w:bCs w:val="0"/>
          <w:color w:val="FF0000"/>
          <w:sz w:val="24"/>
          <w:szCs w:val="24"/>
          <w:vertAlign w:val="superscript"/>
        </w:rPr>
        <w:t>3</w:t>
      </w:r>
      <w:r>
        <w:rPr>
          <w:rFonts w:hint="eastAsia" w:ascii="Times New Roman" w:hAnsi="Times New Roman" w:eastAsia="宋体" w:cs="Times New Roman"/>
          <w:b w:val="0"/>
          <w:bCs w:val="0"/>
          <w:color w:val="FF0000"/>
          <w:sz w:val="24"/>
          <w:szCs w:val="24"/>
          <w:vertAlign w:val="baseline"/>
          <w:lang w:eastAsia="zh-CN"/>
        </w:rPr>
        <w:t>，水量满足本项目需求，取水证详见附件</w:t>
      </w:r>
      <w:r>
        <w:rPr>
          <w:rFonts w:hint="eastAsia" w:ascii="Times New Roman" w:hAnsi="Times New Roman" w:eastAsia="宋体" w:cs="Times New Roman"/>
          <w:b w:val="0"/>
          <w:bCs w:val="0"/>
          <w:color w:val="FF0000"/>
          <w:sz w:val="24"/>
          <w:szCs w:val="24"/>
          <w:vertAlign w:val="baseline"/>
          <w:lang w:val="en-US" w:eastAsia="zh-CN"/>
        </w:rPr>
        <w:t>16。</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3</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压气系统</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矿井气动设备主要有：每个采场设YT28凿岩机2台，1备1用，单台耗气量3.0m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/min，使用气压0.5-0.6MPa。单个采场同时工作耗气量3 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/min，矿山达产后2个回采工作面工作，回采计耗气量9 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/min。供风干管采用φ89×4无缝钢管的主风管，主要运输巷道采用φ50×3.5与主风管相接。然后用φ50无缝钢管由脉内巷道，天井送至采矿用风点。</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4</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供电</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本矿采用平硐开拓，主要用电设备包括：通风机、空压机、照明等。由于本项目分为K1矿体及K2矿体两个系统，因此两个系统分别设置供电设施，K1矿体在PD760硐口，K2矿体在PD790硐口设置各自系统的供电设施。</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10KV电路供电专线由赤岩变电所架设至矿区。矿山电源自主干线</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T</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接取得，矿山</w:t>
      </w:r>
      <w:r>
        <w:rPr>
          <w:rFonts w:hint="eastAsia" w:ascii="Times New Roman" w:hAnsi="Times New Roman" w:eastAsia="宋体" w:cs="Times New Roman"/>
          <w:b w:val="0"/>
          <w:bCs w:val="0"/>
          <w:color w:val="000000" w:themeColor="text1"/>
          <w:sz w:val="24"/>
          <w:szCs w:val="24"/>
          <w:lang w:val="en-US" w:eastAsia="zh-CN"/>
        </w:rPr>
        <w:t>硐</w:t>
      </w:r>
      <w:r>
        <w:rPr>
          <w:rFonts w:hint="default" w:ascii="Times New Roman" w:hAnsi="Times New Roman" w:eastAsia="宋体" w:cs="Times New Roman"/>
          <w:b w:val="0"/>
          <w:bCs w:val="0"/>
          <w:color w:val="000000" w:themeColor="text1"/>
          <w:sz w:val="24"/>
          <w:szCs w:val="24"/>
        </w:rPr>
        <w:t>口分布相对集中，在K1矿体PD760硐口设置一个变配电站，设置一台S11-250/10-0.4变压器负责向地面空压机、主扇风机、机修等设备供电，设置一台S11-100/10-0.4变压器供井下负荷用电。在K2矿体PD790硐口附近设置一个变配电站，设置一台S11-250/10-0.4变压器负责向地面空压机、主扇风机、机修等设备供电，设置一台S11-100/10-0.4变压器供井下负荷用电。</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同时K1、K2系统各选用SDG-50WC型柴油发电机一台</w:t>
      </w:r>
      <w:r>
        <w:rPr>
          <w:rFonts w:hint="default" w:ascii="Times New Roman" w:hAnsi="Times New Roman" w:eastAsia="宋体" w:cs="Times New Roman"/>
          <w:b w:val="0"/>
          <w:bCs w:val="0"/>
          <w:color w:val="000000" w:themeColor="text1"/>
          <w:kern w:val="28"/>
          <w:sz w:val="24"/>
          <w:szCs w:val="24"/>
        </w:rPr>
        <w:t>作为一级用电负荷应急供电备用电源</w:t>
      </w:r>
      <w:r>
        <w:rPr>
          <w:rFonts w:hint="default" w:ascii="Times New Roman" w:hAnsi="Times New Roman" w:eastAsia="宋体" w:cs="Times New Roman"/>
          <w:b w:val="0"/>
          <w:bCs w:val="0"/>
          <w:color w:val="000000" w:themeColor="text1"/>
          <w:sz w:val="24"/>
          <w:szCs w:val="24"/>
        </w:rPr>
        <w:t>备用。</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5</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通风系统</w:t>
      </w:r>
    </w:p>
    <w:p>
      <w:pPr>
        <w:keepNext/>
        <w:keepLines/>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爆破后采用贯穿风流方式进行通风，当个别采场贯穿风流方式进行通风条件不好时，采用局扇型局扇加强通风。新风由阶段平硐进入，经采场底部运输大巷-矿块通风天井-工作面-矿块另一侧通风天井--顶部回风巷，由回风井抽出。</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6</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通讯</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000000" w:themeColor="text1"/>
          <w:sz w:val="24"/>
          <w:szCs w:val="24"/>
          <w:lang w:val="en-US" w:eastAsia="zh-CN"/>
        </w:rPr>
      </w:pPr>
      <w:bookmarkStart w:id="250" w:name="_Toc3194"/>
      <w:r>
        <w:rPr>
          <w:rFonts w:hint="default" w:ascii="Times New Roman" w:hAnsi="Times New Roman" w:eastAsia="宋体" w:cs="Times New Roman"/>
          <w:b w:val="0"/>
          <w:bCs w:val="0"/>
          <w:color w:val="000000" w:themeColor="text1"/>
          <w:sz w:val="24"/>
          <w:szCs w:val="24"/>
        </w:rPr>
        <w:t>井口值班室设自动电话交接间，内设一台程控交换机，各岗位设置电话分机。由地面矿区调度办公室敷设监控线路至矿山生产各工作岗位，同时在重点环节安装监控器，对重要部位进行监视。系统通信电缆均采用HYA型市话全塑电缆。引至各区域的配线电缆由矿区调度办公室总计配线架直接配出。室外通信线路基本采用水泥电杆架空方式敷设，室外分线设备一般采用保安分线箱。井下通信线路一般均为通信电缆沿巷道侧壁吊挂敷设方式。</w:t>
      </w:r>
      <w:bookmarkEnd w:id="250"/>
    </w:p>
    <w:p>
      <w:pPr>
        <w:pStyle w:val="5"/>
        <w:rPr>
          <w:rFonts w:hint="default"/>
          <w:color w:val="000000" w:themeColor="text1"/>
          <w:lang w:val="en-US" w:eastAsia="zh-CN"/>
        </w:rPr>
      </w:pPr>
      <w:bookmarkStart w:id="251" w:name="_Toc4968_WPSOffice_Level3"/>
      <w:bookmarkStart w:id="252" w:name="_Toc18314"/>
      <w:r>
        <w:rPr>
          <w:rFonts w:hint="eastAsia"/>
          <w:color w:val="000000" w:themeColor="text1"/>
          <w:lang w:val="en-US" w:eastAsia="zh-CN"/>
        </w:rPr>
        <w:t>劳动定员及工作制度</w:t>
      </w:r>
      <w:bookmarkEnd w:id="251"/>
      <w:bookmarkEnd w:id="25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全矿职工总人数为</w:t>
      </w:r>
      <w:r>
        <w:rPr>
          <w:rFonts w:hint="eastAsia" w:ascii="Times New Roman" w:hAnsi="Times New Roman" w:eastAsia="宋体" w:cs="Times New Roman"/>
          <w:color w:val="000000" w:themeColor="text1"/>
          <w:sz w:val="24"/>
          <w:szCs w:val="24"/>
          <w:lang w:val="en-US" w:eastAsia="zh-CN"/>
        </w:rPr>
        <w:t>21</w:t>
      </w:r>
      <w:r>
        <w:rPr>
          <w:rFonts w:hint="default" w:ascii="Times New Roman" w:hAnsi="Times New Roman" w:eastAsia="宋体" w:cs="Times New Roman"/>
          <w:color w:val="000000" w:themeColor="text1"/>
          <w:sz w:val="24"/>
          <w:szCs w:val="24"/>
        </w:rPr>
        <w:t>人，生产工人</w:t>
      </w:r>
      <w:r>
        <w:rPr>
          <w:rFonts w:hint="eastAsia" w:ascii="Times New Roman" w:hAnsi="Times New Roman" w:eastAsia="宋体" w:cs="Times New Roman"/>
          <w:color w:val="000000" w:themeColor="text1"/>
          <w:sz w:val="24"/>
          <w:szCs w:val="24"/>
          <w:lang w:val="en-US" w:eastAsia="zh-CN"/>
        </w:rPr>
        <w:t>15</w:t>
      </w:r>
      <w:r>
        <w:rPr>
          <w:rFonts w:hint="default" w:ascii="Times New Roman" w:hAnsi="Times New Roman" w:eastAsia="宋体" w:cs="Times New Roman"/>
          <w:color w:val="000000" w:themeColor="text1"/>
          <w:sz w:val="24"/>
          <w:szCs w:val="24"/>
        </w:rPr>
        <w:t>人，非生产人员</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人，职工总人数比原有工程增加</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人。年工作300天，每天工作</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班，每班工作8小时。</w:t>
      </w:r>
    </w:p>
    <w:p>
      <w:pPr>
        <w:pStyle w:val="5"/>
        <w:rPr>
          <w:rFonts w:hint="eastAsia"/>
          <w:color w:val="000000" w:themeColor="text1"/>
          <w:lang w:val="en-US" w:eastAsia="zh-CN"/>
        </w:rPr>
      </w:pPr>
      <w:bookmarkStart w:id="253" w:name="_Toc23550"/>
      <w:bookmarkStart w:id="254" w:name="_Toc8923_WPSOffice_Level3"/>
      <w:r>
        <w:rPr>
          <w:rFonts w:hint="eastAsia"/>
          <w:color w:val="000000" w:themeColor="text1"/>
          <w:lang w:val="en-US" w:eastAsia="zh-CN"/>
        </w:rPr>
        <w:t>工程投资</w:t>
      </w:r>
      <w:bookmarkEnd w:id="253"/>
      <w:bookmarkEnd w:id="25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项目总投资260万元，环保投资</w:t>
      </w:r>
      <w:r>
        <w:rPr>
          <w:rFonts w:hint="eastAsia" w:ascii="Times New Roman" w:hAnsi="Times New Roman" w:eastAsia="宋体" w:cs="Times New Roman"/>
          <w:color w:val="000000" w:themeColor="text1"/>
          <w:sz w:val="24"/>
          <w:szCs w:val="24"/>
          <w:lang w:val="en-US" w:eastAsia="zh-CN"/>
        </w:rPr>
        <w:t>83</w:t>
      </w:r>
      <w:r>
        <w:rPr>
          <w:rFonts w:hint="default" w:ascii="Times New Roman" w:hAnsi="Times New Roman" w:eastAsia="宋体" w:cs="Times New Roman"/>
          <w:color w:val="000000" w:themeColor="text1"/>
          <w:sz w:val="24"/>
          <w:szCs w:val="24"/>
        </w:rPr>
        <w:t>万元，环保投资占总投资的</w:t>
      </w:r>
      <w:r>
        <w:rPr>
          <w:rFonts w:hint="eastAsia" w:ascii="Times New Roman" w:hAnsi="Times New Roman" w:eastAsia="宋体" w:cs="Times New Roman"/>
          <w:color w:val="000000" w:themeColor="text1"/>
          <w:sz w:val="24"/>
          <w:szCs w:val="24"/>
          <w:lang w:val="en-US" w:eastAsia="zh-CN"/>
        </w:rPr>
        <w:t>32</w:t>
      </w:r>
      <w:r>
        <w:rPr>
          <w:rFonts w:hint="default" w:ascii="Times New Roman" w:hAnsi="Times New Roman" w:eastAsia="宋体" w:cs="Times New Roman"/>
          <w:color w:val="000000" w:themeColor="text1"/>
          <w:sz w:val="24"/>
          <w:szCs w:val="24"/>
        </w:rPr>
        <w:t>%。</w:t>
      </w:r>
    </w:p>
    <w:p>
      <w:pPr>
        <w:pStyle w:val="5"/>
        <w:keepNext w:val="0"/>
        <w:keepLines w:val="0"/>
        <w:pageBreakBefore w:val="0"/>
        <w:widowControl w:val="0"/>
        <w:kinsoku/>
        <w:wordWrap/>
        <w:overflowPunct/>
        <w:topLinePunct w:val="0"/>
        <w:autoSpaceDE/>
        <w:autoSpaceDN/>
        <w:bidi w:val="0"/>
        <w:adjustRightInd/>
        <w:snapToGrid/>
        <w:spacing w:line="413" w:lineRule="auto"/>
        <w:ind w:left="720" w:leftChars="0" w:hanging="720" w:firstLineChars="0"/>
        <w:textAlignment w:val="auto"/>
        <w:outlineLvl w:val="2"/>
        <w:rPr>
          <w:rFonts w:hint="default"/>
          <w:color w:val="FF0000"/>
          <w:lang w:val="en-US" w:eastAsia="zh-CN"/>
        </w:rPr>
      </w:pPr>
      <w:bookmarkStart w:id="255" w:name="_Toc19948"/>
      <w:bookmarkStart w:id="256" w:name="_Toc26235_WPSOffice_Level2"/>
      <w:r>
        <w:rPr>
          <w:rFonts w:hint="eastAsia"/>
          <w:color w:val="FF0000"/>
          <w:lang w:val="en-US" w:eastAsia="zh-CN"/>
        </w:rPr>
        <w:t>搬迁安置情况</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FF0000"/>
          <w:sz w:val="24"/>
          <w:szCs w:val="24"/>
          <w:lang w:val="en-US" w:eastAsia="zh-CN"/>
        </w:rPr>
        <w:t>本项目不涉及搬迁安置</w:t>
      </w:r>
      <w:r>
        <w:rPr>
          <w:rFonts w:hint="eastAsia" w:ascii="Times New Roman" w:hAnsi="Times New Roman" w:eastAsia="宋体" w:cs="Times New Roman"/>
          <w:sz w:val="24"/>
          <w:szCs w:val="24"/>
          <w:lang w:val="en-US" w:eastAsia="zh-CN"/>
        </w:rPr>
        <w:t>。</w:t>
      </w:r>
    </w:p>
    <w:p>
      <w:pPr>
        <w:pStyle w:val="4"/>
        <w:rPr>
          <w:rFonts w:hint="default"/>
          <w:color w:val="000000" w:themeColor="text1"/>
          <w:lang w:val="en-US" w:eastAsia="zh-CN"/>
        </w:rPr>
      </w:pPr>
      <w:r>
        <w:rPr>
          <w:rFonts w:hint="default"/>
          <w:color w:val="000000" w:themeColor="text1"/>
          <w:lang w:val="en-US" w:eastAsia="zh-CN"/>
        </w:rPr>
        <w:t>工程分析</w:t>
      </w:r>
      <w:bookmarkEnd w:id="255"/>
      <w:bookmarkEnd w:id="256"/>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bCs/>
          <w:color w:val="000000" w:themeColor="text1"/>
          <w:szCs w:val="21"/>
          <w:lang w:val="en-US" w:eastAsia="zh-CN"/>
        </w:rPr>
      </w:pPr>
      <w:r>
        <w:rPr>
          <w:rFonts w:hint="default" w:ascii="Times New Roman" w:hAnsi="Times New Roman" w:eastAsia="宋体" w:cs="Times New Roman"/>
          <w:color w:val="000000" w:themeColor="text1"/>
          <w:sz w:val="24"/>
          <w:szCs w:val="24"/>
        </w:rPr>
        <w:t>本项目</w:t>
      </w:r>
      <w:r>
        <w:rPr>
          <w:rFonts w:hint="eastAsia" w:ascii="Times New Roman" w:hAnsi="Times New Roman" w:eastAsia="宋体" w:cs="Times New Roman"/>
          <w:color w:val="000000" w:themeColor="text1"/>
          <w:sz w:val="24"/>
          <w:szCs w:val="24"/>
          <w:lang w:val="en-US" w:eastAsia="zh-CN"/>
        </w:rPr>
        <w:t>现有工程</w:t>
      </w:r>
      <w:r>
        <w:rPr>
          <w:rFonts w:hint="default" w:ascii="Times New Roman" w:hAnsi="Times New Roman" w:eastAsia="宋体" w:cs="Times New Roman"/>
          <w:color w:val="000000" w:themeColor="text1"/>
          <w:sz w:val="24"/>
          <w:szCs w:val="24"/>
        </w:rPr>
        <w:t>K1矿体已经开采，K2</w:t>
      </w:r>
      <w:r>
        <w:rPr>
          <w:rFonts w:hint="eastAsia" w:ascii="Times New Roman" w:hAnsi="Times New Roman" w:eastAsia="宋体" w:cs="Times New Roman"/>
          <w:color w:val="000000" w:themeColor="text1"/>
          <w:sz w:val="24"/>
          <w:szCs w:val="24"/>
          <w:lang w:val="en-US" w:eastAsia="zh-CN"/>
        </w:rPr>
        <w:t>矿体尚未开采。</w:t>
      </w:r>
      <w:r>
        <w:rPr>
          <w:rFonts w:hint="default" w:ascii="Times New Roman" w:hAnsi="Times New Roman" w:eastAsia="宋体" w:cs="Times New Roman"/>
          <w:color w:val="000000" w:themeColor="text1"/>
          <w:sz w:val="24"/>
          <w:szCs w:val="24"/>
        </w:rPr>
        <w:t>K</w:t>
      </w:r>
      <w:r>
        <w:rPr>
          <w:rFonts w:hint="eastAsia" w:ascii="Times New Roman" w:hAnsi="Times New Roman" w:eastAsia="宋体" w:cs="Times New Roman"/>
          <w:color w:val="000000" w:themeColor="text1"/>
          <w:sz w:val="24"/>
          <w:szCs w:val="24"/>
          <w:lang w:val="en-US" w:eastAsia="zh-CN"/>
        </w:rPr>
        <w:t>1矿体目前已建成生活办公场所、工业场地、以及运输道路、炸药库等。</w:t>
      </w:r>
      <w:r>
        <w:rPr>
          <w:rFonts w:hint="default" w:ascii="Times New Roman" w:hAnsi="Times New Roman" w:eastAsia="宋体" w:cs="Times New Roman"/>
          <w:color w:val="000000" w:themeColor="text1"/>
          <w:sz w:val="24"/>
          <w:szCs w:val="24"/>
        </w:rPr>
        <w:t>K2</w:t>
      </w:r>
      <w:r>
        <w:rPr>
          <w:rFonts w:hint="eastAsia" w:ascii="Times New Roman" w:hAnsi="Times New Roman" w:eastAsia="宋体" w:cs="Times New Roman"/>
          <w:color w:val="000000" w:themeColor="text1"/>
          <w:sz w:val="24"/>
          <w:szCs w:val="24"/>
          <w:lang w:val="en-US" w:eastAsia="zh-CN"/>
        </w:rPr>
        <w:t>矿体需要新建矿石堆场、值班室等工业场地。</w:t>
      </w:r>
    </w:p>
    <w:p>
      <w:pPr>
        <w:pStyle w:val="5"/>
        <w:rPr>
          <w:rFonts w:hint="default"/>
          <w:color w:val="000000" w:themeColor="text1"/>
          <w:lang w:val="en-US" w:eastAsia="zh-CN"/>
        </w:rPr>
      </w:pPr>
      <w:bookmarkStart w:id="257" w:name="_Toc21004_WPSOffice_Level3"/>
      <w:bookmarkStart w:id="258" w:name="_Toc10678"/>
      <w:r>
        <w:rPr>
          <w:rFonts w:hint="eastAsia"/>
          <w:color w:val="000000" w:themeColor="text1"/>
          <w:lang w:val="en-US" w:eastAsia="zh-CN"/>
        </w:rPr>
        <w:t>施工期工程分析</w:t>
      </w:r>
      <w:bookmarkEnd w:id="257"/>
      <w:bookmarkEnd w:id="258"/>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bCs/>
          <w:color w:val="000000" w:themeColor="text1"/>
          <w:sz w:val="24"/>
          <w:szCs w:val="24"/>
        </w:rPr>
      </w:pPr>
      <w:r>
        <w:rPr>
          <w:rFonts w:hint="eastAsia" w:ascii="Times New Roman" w:hAnsi="Times New Roman" w:eastAsia="宋体" w:cs="Times New Roman"/>
          <w:color w:val="000000" w:themeColor="text1"/>
          <w:sz w:val="24"/>
          <w:szCs w:val="24"/>
          <w:lang w:val="en-US" w:eastAsia="zh-CN"/>
        </w:rPr>
        <w:t>本扩建项目</w:t>
      </w:r>
      <w:r>
        <w:rPr>
          <w:rFonts w:hint="default" w:ascii="Times New Roman" w:hAnsi="Times New Roman" w:eastAsia="宋体" w:cs="Times New Roman"/>
          <w:color w:val="000000" w:themeColor="text1"/>
          <w:sz w:val="24"/>
          <w:szCs w:val="24"/>
        </w:rPr>
        <w:t>需要对K1矿体</w:t>
      </w:r>
      <w:r>
        <w:rPr>
          <w:rFonts w:hint="eastAsia" w:ascii="Times New Roman" w:hAnsi="Times New Roman" w:eastAsia="宋体" w:cs="Times New Roman"/>
          <w:color w:val="000000" w:themeColor="text1"/>
          <w:sz w:val="24"/>
          <w:szCs w:val="24"/>
          <w:lang w:val="en-US" w:eastAsia="zh-CN"/>
        </w:rPr>
        <w:t>现有工程的</w:t>
      </w:r>
      <w:r>
        <w:rPr>
          <w:rFonts w:hint="default" w:ascii="Times New Roman" w:hAnsi="Times New Roman" w:eastAsia="宋体" w:cs="Times New Roman"/>
          <w:color w:val="000000" w:themeColor="text1"/>
          <w:sz w:val="24"/>
          <w:szCs w:val="24"/>
        </w:rPr>
        <w:t>环保</w:t>
      </w:r>
      <w:r>
        <w:rPr>
          <w:rFonts w:hint="eastAsia" w:ascii="Times New Roman" w:hAnsi="Times New Roman" w:eastAsia="宋体" w:cs="Times New Roman"/>
          <w:color w:val="000000" w:themeColor="text1"/>
          <w:sz w:val="24"/>
          <w:szCs w:val="24"/>
          <w:lang w:val="en-US" w:eastAsia="zh-CN"/>
        </w:rPr>
        <w:t>措施</w:t>
      </w:r>
      <w:r>
        <w:rPr>
          <w:rFonts w:hint="default" w:ascii="Times New Roman" w:hAnsi="Times New Roman" w:eastAsia="宋体" w:cs="Times New Roman"/>
          <w:color w:val="000000" w:themeColor="text1"/>
          <w:sz w:val="24"/>
          <w:szCs w:val="24"/>
        </w:rPr>
        <w:t>进行修建</w:t>
      </w:r>
      <w:r>
        <w:rPr>
          <w:rFonts w:hint="eastAsia" w:ascii="Times New Roman" w:hAnsi="Times New Roman" w:eastAsia="宋体" w:cs="Times New Roman"/>
          <w:color w:val="000000" w:themeColor="text1"/>
          <w:sz w:val="24"/>
          <w:szCs w:val="24"/>
          <w:lang w:val="en-US" w:eastAsia="zh-CN"/>
        </w:rPr>
        <w:t>和完善</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安全措施（六大系统）进行</w:t>
      </w:r>
      <w:r>
        <w:rPr>
          <w:rFonts w:hint="default" w:ascii="Times New Roman" w:hAnsi="Times New Roman" w:eastAsia="宋体" w:cs="Times New Roman"/>
          <w:color w:val="000000" w:themeColor="text1"/>
          <w:sz w:val="24"/>
          <w:szCs w:val="24"/>
        </w:rPr>
        <w:t>修建</w:t>
      </w:r>
      <w:r>
        <w:rPr>
          <w:rFonts w:hint="eastAsia" w:ascii="Times New Roman" w:hAnsi="Times New Roman" w:eastAsia="宋体" w:cs="Times New Roman"/>
          <w:color w:val="000000" w:themeColor="text1"/>
          <w:sz w:val="24"/>
          <w:szCs w:val="24"/>
          <w:lang w:val="en-US" w:eastAsia="zh-CN"/>
        </w:rPr>
        <w:t>和完善、进场道路的维修等</w:t>
      </w:r>
      <w:r>
        <w:rPr>
          <w:rFonts w:hint="default" w:ascii="Times New Roman" w:hAnsi="Times New Roman" w:eastAsia="宋体" w:cs="Times New Roman"/>
          <w:color w:val="000000" w:themeColor="text1"/>
          <w:sz w:val="24"/>
          <w:szCs w:val="24"/>
        </w:rPr>
        <w:t>，K2矿区主要建设的有</w:t>
      </w:r>
      <w:r>
        <w:rPr>
          <w:rFonts w:hint="eastAsia" w:ascii="Times New Roman" w:hAnsi="Times New Roman" w:eastAsia="宋体" w:cs="Times New Roman"/>
          <w:color w:val="000000" w:themeColor="text1"/>
          <w:sz w:val="24"/>
          <w:szCs w:val="24"/>
          <w:lang w:val="en-US" w:eastAsia="zh-CN"/>
        </w:rPr>
        <w:t>矿石堆场、值班室等工业场地</w:t>
      </w:r>
      <w:r>
        <w:rPr>
          <w:rFonts w:hint="default" w:ascii="Times New Roman" w:hAnsi="Times New Roman" w:eastAsia="宋体" w:cs="Times New Roman"/>
          <w:color w:val="000000" w:themeColor="text1"/>
          <w:sz w:val="24"/>
          <w:szCs w:val="24"/>
        </w:rPr>
        <w:t>以及</w:t>
      </w:r>
      <w:r>
        <w:rPr>
          <w:rFonts w:hint="eastAsia" w:ascii="Times New Roman" w:hAnsi="Times New Roman" w:eastAsia="宋体" w:cs="Times New Roman"/>
          <w:color w:val="FF0000"/>
          <w:sz w:val="24"/>
          <w:szCs w:val="24"/>
          <w:lang w:eastAsia="zh-CN"/>
        </w:rPr>
        <w:t>进场道路</w:t>
      </w:r>
      <w:r>
        <w:rPr>
          <w:rFonts w:hint="eastAsia" w:ascii="Times New Roman" w:hAnsi="Times New Roman" w:eastAsia="宋体" w:cs="Times New Roman"/>
          <w:color w:val="000000" w:themeColor="text1"/>
          <w:sz w:val="24"/>
          <w:szCs w:val="24"/>
          <w:lang w:eastAsia="zh-CN"/>
        </w:rPr>
        <w:t>施工和</w:t>
      </w:r>
      <w:r>
        <w:rPr>
          <w:rFonts w:hint="default" w:ascii="Times New Roman" w:hAnsi="Times New Roman" w:eastAsia="宋体" w:cs="Times New Roman"/>
          <w:color w:val="000000" w:themeColor="text1"/>
          <w:sz w:val="24"/>
          <w:szCs w:val="24"/>
        </w:rPr>
        <w:t>巷硐的开拓</w:t>
      </w:r>
      <w:r>
        <w:rPr>
          <w:rFonts w:hint="eastAsia" w:ascii="Times New Roman" w:hAnsi="Times New Roman" w:eastAsia="宋体" w:cs="Times New Roman"/>
          <w:color w:val="000000" w:themeColor="text1"/>
          <w:sz w:val="24"/>
          <w:szCs w:val="24"/>
          <w:lang w:eastAsia="zh-CN"/>
        </w:rPr>
        <w:t>，以及环保措施和安全措施</w:t>
      </w:r>
      <w:r>
        <w:rPr>
          <w:rFonts w:hint="eastAsia" w:ascii="Times New Roman" w:hAnsi="Times New Roman" w:eastAsia="宋体" w:cs="Times New Roman"/>
          <w:color w:val="000000" w:themeColor="text1"/>
          <w:sz w:val="24"/>
          <w:szCs w:val="24"/>
          <w:lang w:val="en-US" w:eastAsia="zh-CN"/>
        </w:rPr>
        <w:t>等</w:t>
      </w:r>
      <w:r>
        <w:rPr>
          <w:rFonts w:hint="default" w:ascii="Times New Roman" w:hAnsi="Times New Roman" w:eastAsia="宋体" w:cs="Times New Roman"/>
          <w:color w:val="000000" w:themeColor="text1"/>
          <w:sz w:val="24"/>
          <w:szCs w:val="24"/>
        </w:rPr>
        <w:t>，具体产污环节分析见表3.</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-1。</w:t>
      </w:r>
    </w:p>
    <w:p>
      <w:pPr>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表3.</w:t>
      </w:r>
      <w:r>
        <w:rPr>
          <w:rFonts w:hint="eastAsia" w:ascii="Times New Roman" w:hAnsi="Times New Roman" w:eastAsia="宋体" w:cs="Times New Roman"/>
          <w:b/>
          <w:color w:val="000000" w:themeColor="text1"/>
          <w:sz w:val="21"/>
          <w:szCs w:val="21"/>
          <w:lang w:val="en-US" w:eastAsia="zh-CN"/>
        </w:rPr>
        <w:t>3</w:t>
      </w:r>
      <w:r>
        <w:rPr>
          <w:rFonts w:hint="default" w:ascii="Times New Roman" w:hAnsi="Times New Roman" w:eastAsia="宋体" w:cs="Times New Roman"/>
          <w:b/>
          <w:color w:val="000000" w:themeColor="text1"/>
          <w:sz w:val="21"/>
          <w:szCs w:val="21"/>
        </w:rPr>
        <w:t xml:space="preserve">-1  </w:t>
      </w:r>
      <w:r>
        <w:rPr>
          <w:rFonts w:hint="eastAsia" w:ascii="Times New Roman" w:hAnsi="Times New Roman" w:eastAsia="宋体" w:cs="Times New Roman"/>
          <w:b/>
          <w:color w:val="000000" w:themeColor="text1"/>
          <w:sz w:val="21"/>
          <w:szCs w:val="21"/>
          <w:lang w:val="en-US" w:eastAsia="zh-CN"/>
        </w:rPr>
        <w:t>施工</w:t>
      </w:r>
      <w:r>
        <w:rPr>
          <w:rFonts w:hint="default" w:ascii="Times New Roman" w:hAnsi="Times New Roman" w:eastAsia="宋体" w:cs="Times New Roman"/>
          <w:b/>
          <w:color w:val="000000" w:themeColor="text1"/>
          <w:sz w:val="21"/>
          <w:szCs w:val="21"/>
        </w:rPr>
        <w:t>期产污环节分析表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38"/>
        <w:gridCol w:w="75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705"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类别</w:t>
            </w:r>
          </w:p>
        </w:tc>
        <w:tc>
          <w:tcPr>
            <w:tcW w:w="7514" w:type="dxa"/>
            <w:tcBorders>
              <w:tl2br w:val="nil"/>
              <w:tr2bl w:val="nil"/>
            </w:tcBorders>
          </w:tcPr>
          <w:p>
            <w:pPr>
              <w:spacing w:beforeLines="30" w:afterLines="30" w:line="240" w:lineRule="auto"/>
              <w:ind w:firstLine="2520" w:firstLineChars="120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分析内容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w:t>
            </w:r>
          </w:p>
        </w:tc>
        <w:tc>
          <w:tcPr>
            <w:tcW w:w="75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①施工过程中将产生少量的生产废水和矿坑</w:t>
            </w:r>
            <w:r>
              <w:rPr>
                <w:rFonts w:hint="eastAsia" w:ascii="Times New Roman" w:hAnsi="Times New Roman" w:eastAsia="宋体" w:cs="Times New Roman"/>
                <w:color w:val="000000" w:themeColor="text1"/>
                <w:sz w:val="21"/>
                <w:szCs w:val="21"/>
                <w:lang w:val="en-US" w:eastAsia="zh-CN"/>
              </w:rPr>
              <w:t>涌</w:t>
            </w:r>
            <w:r>
              <w:rPr>
                <w:rFonts w:hint="default" w:ascii="Times New Roman" w:hAnsi="Times New Roman" w:eastAsia="宋体" w:cs="Times New Roman"/>
                <w:color w:val="000000" w:themeColor="text1"/>
                <w:sz w:val="21"/>
                <w:szCs w:val="21"/>
              </w:rPr>
              <w:t>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②施工工人将产生少量的生活污水。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70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75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①施工场地扬尘；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②施工机械</w:t>
            </w:r>
            <w:r>
              <w:rPr>
                <w:rFonts w:hint="eastAsia" w:ascii="Times New Roman" w:hAnsi="Times New Roman" w:eastAsia="宋体" w:cs="Times New Roman"/>
                <w:color w:val="000000" w:themeColor="text1"/>
                <w:sz w:val="21"/>
                <w:szCs w:val="21"/>
                <w:lang w:val="en-US" w:eastAsia="zh-CN"/>
              </w:rPr>
              <w:t>废气</w:t>
            </w:r>
            <w:r>
              <w:rPr>
                <w:rFonts w:hint="default" w:ascii="Times New Roman" w:hAnsi="Times New Roman" w:eastAsia="宋体" w:cs="Times New Roman"/>
                <w:color w:val="000000" w:themeColor="text1"/>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3 \* GB3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rPr>
              <w:t>③</w:t>
            </w:r>
            <w:r>
              <w:rPr>
                <w:rFonts w:hint="default" w:ascii="Times New Roman" w:hAnsi="Times New Roman" w:eastAsia="宋体" w:cs="Times New Roman"/>
                <w:color w:val="000000" w:themeColor="text1"/>
                <w:sz w:val="21"/>
                <w:szCs w:val="21"/>
              </w:rPr>
              <w:fldChar w:fldCharType="end"/>
            </w:r>
            <w:r>
              <w:rPr>
                <w:rFonts w:hint="eastAsia" w:ascii="Times New Roman" w:hAnsi="Times New Roman" w:eastAsia="宋体" w:cs="Times New Roman"/>
                <w:color w:val="000000" w:themeColor="text1"/>
                <w:sz w:val="21"/>
                <w:szCs w:val="21"/>
                <w:lang w:val="en-US" w:eastAsia="zh-CN"/>
              </w:rPr>
              <w:t>餐饮油烟</w:t>
            </w: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70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噪声</w:t>
            </w:r>
          </w:p>
        </w:tc>
        <w:tc>
          <w:tcPr>
            <w:tcW w:w="7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施工机械噪声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9" w:hRule="atLeast"/>
          <w:jc w:val="center"/>
        </w:trPr>
        <w:tc>
          <w:tcPr>
            <w:tcW w:w="70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固废</w:t>
            </w:r>
          </w:p>
        </w:tc>
        <w:tc>
          <w:tcPr>
            <w:tcW w:w="75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施工期产生的固体废弃物主要是</w:t>
            </w:r>
            <w:r>
              <w:rPr>
                <w:rFonts w:hint="eastAsia" w:ascii="Times New Roman" w:hAnsi="Times New Roman" w:eastAsia="宋体" w:cs="Times New Roman"/>
                <w:color w:val="000000" w:themeColor="text1"/>
                <w:sz w:val="21"/>
                <w:szCs w:val="21"/>
                <w:lang w:val="en-US" w:eastAsia="zh-CN" w:bidi="en-US"/>
              </w:rPr>
              <w:t>掘进废石</w:t>
            </w:r>
            <w:r>
              <w:rPr>
                <w:rFonts w:hint="default" w:ascii="Times New Roman" w:hAnsi="Times New Roman" w:eastAsia="宋体" w:cs="Times New Roman"/>
                <w:color w:val="000000" w:themeColor="text1"/>
                <w:sz w:val="21"/>
                <w:szCs w:val="21"/>
                <w:lang w:bidi="en-US"/>
              </w:rPr>
              <w:t>、生活垃圾</w:t>
            </w:r>
            <w:r>
              <w:rPr>
                <w:rFonts w:hint="eastAsia" w:ascii="Times New Roman" w:hAnsi="Times New Roman" w:eastAsia="宋体" w:cs="Times New Roman"/>
                <w:color w:val="000000" w:themeColor="text1"/>
                <w:sz w:val="21"/>
                <w:szCs w:val="21"/>
                <w:lang w:eastAsia="zh-CN" w:bidi="en-US"/>
              </w:rPr>
              <w:t>、</w:t>
            </w:r>
            <w:r>
              <w:rPr>
                <w:rFonts w:hint="eastAsia" w:ascii="Times New Roman" w:hAnsi="Times New Roman" w:eastAsia="宋体" w:cs="Times New Roman"/>
                <w:color w:val="000000" w:themeColor="text1"/>
                <w:sz w:val="21"/>
                <w:szCs w:val="21"/>
                <w:lang w:val="en-US" w:eastAsia="zh-CN" w:bidi="en-US"/>
              </w:rPr>
              <w:t>建筑垃圾</w:t>
            </w:r>
            <w:r>
              <w:rPr>
                <w:rFonts w:hint="default" w:ascii="Times New Roman" w:hAnsi="Times New Roman" w:eastAsia="宋体" w:cs="Times New Roman"/>
                <w:color w:val="000000" w:themeColor="text1"/>
                <w:sz w:val="21"/>
                <w:szCs w:val="21"/>
                <w:lang w:bidi="en-US"/>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①</w:t>
            </w:r>
            <w:r>
              <w:rPr>
                <w:rFonts w:hint="eastAsia" w:ascii="Times New Roman" w:hAnsi="Times New Roman" w:eastAsia="宋体" w:cs="Times New Roman"/>
                <w:color w:val="000000" w:themeColor="text1"/>
                <w:sz w:val="21"/>
                <w:szCs w:val="21"/>
                <w:lang w:val="en-US" w:eastAsia="zh-CN" w:bidi="en-US"/>
              </w:rPr>
              <w:t>掘进</w:t>
            </w:r>
            <w:r>
              <w:rPr>
                <w:rFonts w:hint="default" w:ascii="Times New Roman" w:hAnsi="Times New Roman" w:eastAsia="宋体" w:cs="Times New Roman"/>
                <w:color w:val="000000" w:themeColor="text1"/>
                <w:sz w:val="21"/>
                <w:szCs w:val="21"/>
                <w:lang w:bidi="en-US"/>
              </w:rPr>
              <w:t>废石；</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bidi="en-US"/>
              </w:rPr>
              <w:t>②</w:t>
            </w:r>
            <w:r>
              <w:rPr>
                <w:rFonts w:hint="default" w:ascii="Times New Roman" w:hAnsi="Times New Roman" w:eastAsia="宋体" w:cs="Times New Roman"/>
                <w:color w:val="000000" w:themeColor="text1"/>
                <w:sz w:val="21"/>
                <w:szCs w:val="21"/>
              </w:rPr>
              <w:t>施工工人将产生少量的生活垃圾</w:t>
            </w:r>
            <w:r>
              <w:rPr>
                <w:rFonts w:hint="default" w:ascii="Times New Roman" w:hAnsi="Times New Roman" w:eastAsia="宋体" w:cs="Times New Roman"/>
                <w:color w:val="000000" w:themeColor="text1"/>
                <w:sz w:val="21"/>
                <w:szCs w:val="21"/>
                <w:lang w:bidi="en-US"/>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3 \* GB3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rPr>
              <w:t>③</w:t>
            </w:r>
            <w:r>
              <w:rPr>
                <w:rFonts w:hint="default" w:ascii="Times New Roman" w:hAnsi="Times New Roman" w:eastAsia="宋体" w:cs="Times New Roman"/>
                <w:color w:val="000000" w:themeColor="text1"/>
                <w:sz w:val="21"/>
                <w:szCs w:val="21"/>
              </w:rPr>
              <w:fldChar w:fldCharType="end"/>
            </w:r>
            <w:r>
              <w:rPr>
                <w:rFonts w:hint="eastAsia" w:ascii="Times New Roman" w:hAnsi="Times New Roman" w:eastAsia="宋体" w:cs="Times New Roman"/>
                <w:color w:val="000000" w:themeColor="text1"/>
                <w:sz w:val="21"/>
                <w:szCs w:val="21"/>
                <w:lang w:val="en-US" w:eastAsia="zh-CN" w:bidi="en-US"/>
              </w:rPr>
              <w:t>建筑垃圾</w:t>
            </w: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70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土壤</w:t>
            </w:r>
          </w:p>
        </w:tc>
        <w:tc>
          <w:tcPr>
            <w:tcW w:w="7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000000" w:themeColor="text1"/>
                <w:sz w:val="21"/>
                <w:szCs w:val="21"/>
                <w:lang w:bidi="en-US"/>
              </w:rPr>
            </w:pPr>
            <w:r>
              <w:rPr>
                <w:rFonts w:hint="eastAsia" w:ascii="Times New Roman" w:hAnsi="Times New Roman" w:eastAsia="宋体" w:cs="Times New Roman"/>
                <w:color w:val="000000" w:themeColor="text1"/>
                <w:sz w:val="21"/>
                <w:szCs w:val="21"/>
                <w:lang w:val="en-US" w:eastAsia="zh-CN" w:bidi="en-US"/>
              </w:rPr>
              <w:t>施工占地对土地用途的</w:t>
            </w:r>
            <w:r>
              <w:rPr>
                <w:rFonts w:hint="default" w:ascii="Times New Roman" w:hAnsi="Times New Roman" w:eastAsia="宋体" w:cs="Times New Roman"/>
                <w:color w:val="000000" w:themeColor="text1"/>
                <w:sz w:val="21"/>
                <w:szCs w:val="21"/>
                <w:lang w:bidi="en-US"/>
              </w:rPr>
              <w:t>改变，生产建设造成的土壤污染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0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738" w:type="dxa"/>
            <w:tcBorders>
              <w:tl2br w:val="nil"/>
              <w:tr2bl w:val="nil"/>
            </w:tcBorders>
            <w:vAlign w:val="center"/>
          </w:tcPr>
          <w:p>
            <w:pPr>
              <w:spacing w:beforeLines="30" w:afterLines="30"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生态</w:t>
            </w:r>
          </w:p>
        </w:tc>
        <w:tc>
          <w:tcPr>
            <w:tcW w:w="7514"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①地表植被的破坏</w:t>
            </w:r>
          </w:p>
          <w:p>
            <w:pPr>
              <w:keepNext w:val="0"/>
              <w:keepLines w:val="0"/>
              <w:pageBreakBefore w:val="0"/>
              <w:widowControl w:val="0"/>
              <w:numPr>
                <w:ilvl w:val="2"/>
                <w:numId w:val="0"/>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②土地资源的占用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3 \* GB3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③</w:t>
            </w:r>
            <w:r>
              <w:rPr>
                <w:rFonts w:hint="default" w:ascii="Times New Roman" w:hAnsi="Times New Roman" w:eastAsia="宋体" w:cs="Times New Roman"/>
                <w:color w:val="000000" w:themeColor="text1"/>
                <w:sz w:val="21"/>
                <w:szCs w:val="21"/>
              </w:rPr>
              <w:fldChar w:fldCharType="end"/>
            </w:r>
            <w:r>
              <w:rPr>
                <w:rFonts w:hint="default" w:ascii="Times New Roman" w:hAnsi="Times New Roman" w:eastAsia="宋体" w:cs="Times New Roman"/>
                <w:color w:val="000000" w:themeColor="text1"/>
                <w:sz w:val="21"/>
                <w:szCs w:val="21"/>
                <w:lang w:val="en-US" w:eastAsia="zh-CN"/>
              </w:rPr>
              <w:t>野生动物的影响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4 \* GB3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rPr>
              <w:t>④</w:t>
            </w:r>
            <w:r>
              <w:rPr>
                <w:rFonts w:hint="default" w:ascii="Times New Roman" w:hAnsi="Times New Roman" w:eastAsia="宋体" w:cs="Times New Roman"/>
                <w:color w:val="000000" w:themeColor="text1"/>
                <w:sz w:val="21"/>
                <w:szCs w:val="21"/>
              </w:rPr>
              <w:fldChar w:fldCharType="end"/>
            </w:r>
            <w:r>
              <w:rPr>
                <w:rFonts w:hint="default" w:ascii="Times New Roman" w:hAnsi="Times New Roman" w:eastAsia="宋体" w:cs="Times New Roman"/>
                <w:color w:val="000000" w:themeColor="text1"/>
                <w:sz w:val="21"/>
                <w:szCs w:val="21"/>
              </w:rPr>
              <w:t>水土流失</w:t>
            </w:r>
          </w:p>
        </w:tc>
      </w:tr>
    </w:tbl>
    <w:p>
      <w:pPr>
        <w:pStyle w:val="22"/>
        <w:ind w:left="0" w:leftChars="0" w:firstLine="0" w:firstLineChars="0"/>
        <w:jc w:val="center"/>
        <w:rPr>
          <w:color w:val="000000" w:themeColor="text1"/>
        </w:rPr>
      </w:pPr>
    </w:p>
    <w:p>
      <w:pPr>
        <w:pStyle w:val="22"/>
        <w:ind w:left="0" w:leftChars="0" w:firstLine="0" w:firstLineChars="0"/>
        <w:jc w:val="center"/>
        <w:rPr>
          <w:color w:val="000000" w:themeColor="text1"/>
        </w:rPr>
      </w:pPr>
      <w:r>
        <w:rPr>
          <w:color w:val="000000" w:themeColor="text1"/>
        </w:rPr>
        <w:drawing>
          <wp:inline distT="0" distB="0" distL="114300" distR="114300">
            <wp:extent cx="3142615" cy="3790315"/>
            <wp:effectExtent l="0" t="0" r="635" b="63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34"/>
                    <a:stretch>
                      <a:fillRect/>
                    </a:stretch>
                  </pic:blipFill>
                  <pic:spPr>
                    <a:xfrm>
                      <a:off x="0" y="0"/>
                      <a:ext cx="3142615" cy="3790315"/>
                    </a:xfrm>
                    <a:prstGeom prst="rect">
                      <a:avLst/>
                    </a:prstGeom>
                    <a:noFill/>
                    <a:ln w="9525">
                      <a:noFill/>
                    </a:ln>
                  </pic:spPr>
                </pic:pic>
              </a:graphicData>
            </a:graphic>
          </wp:inline>
        </w:drawing>
      </w:r>
    </w:p>
    <w:p>
      <w:pPr>
        <w:pStyle w:val="12"/>
        <w:ind w:firstLine="210"/>
        <w:jc w:val="center"/>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图3.</w:t>
      </w:r>
      <w:r>
        <w:rPr>
          <w:rFonts w:hint="eastAsia" w:ascii="Times New Roman" w:hAnsi="Times New Roman" w:eastAsia="宋体" w:cs="Times New Roman"/>
          <w:b/>
          <w:bCs/>
          <w:color w:val="000000" w:themeColor="text1"/>
          <w:lang w:val="en-US" w:eastAsia="zh-CN"/>
        </w:rPr>
        <w:t>3</w:t>
      </w:r>
      <w:r>
        <w:rPr>
          <w:rFonts w:hint="default" w:ascii="Times New Roman" w:hAnsi="Times New Roman" w:eastAsia="宋体" w:cs="Times New Roman"/>
          <w:b/>
          <w:bCs/>
          <w:color w:val="000000" w:themeColor="text1"/>
        </w:rPr>
        <w:t>-1 施工期生产工艺及产排污环节流程图</w:t>
      </w:r>
    </w:p>
    <w:p>
      <w:pPr>
        <w:pStyle w:val="5"/>
        <w:rPr>
          <w:rFonts w:hint="default"/>
          <w:color w:val="000000" w:themeColor="text1"/>
          <w:lang w:val="en-US" w:eastAsia="zh-CN"/>
        </w:rPr>
      </w:pPr>
      <w:bookmarkStart w:id="259" w:name="_Toc841"/>
      <w:bookmarkStart w:id="260" w:name="_Toc2762_WPSOffice_Level3"/>
      <w:r>
        <w:rPr>
          <w:rFonts w:hint="eastAsia"/>
          <w:color w:val="000000" w:themeColor="text1"/>
          <w:lang w:val="en-US" w:eastAsia="zh-CN"/>
        </w:rPr>
        <w:t>施工期污染源源强核算</w:t>
      </w:r>
      <w:bookmarkEnd w:id="259"/>
      <w:bookmarkEnd w:id="260"/>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1.</w:t>
      </w:r>
      <w:r>
        <w:rPr>
          <w:rFonts w:hint="eastAsia" w:ascii="Times New Roman" w:hAnsi="Times New Roman" w:eastAsia="宋体" w:cs="Times New Roman"/>
          <w:b/>
          <w:bCs/>
          <w:color w:val="000000" w:themeColor="text1"/>
          <w:sz w:val="24"/>
          <w:szCs w:val="24"/>
          <w:lang w:val="en-US" w:eastAsia="zh-CN"/>
        </w:rPr>
        <w:t>施工期</w:t>
      </w:r>
      <w:r>
        <w:rPr>
          <w:rFonts w:hint="default" w:ascii="Times New Roman" w:hAnsi="Times New Roman" w:eastAsia="宋体" w:cs="Times New Roman"/>
          <w:b/>
          <w:bCs/>
          <w:color w:val="000000" w:themeColor="text1"/>
          <w:sz w:val="24"/>
          <w:szCs w:val="24"/>
        </w:rPr>
        <w:t>废气</w:t>
      </w:r>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施工扬尘</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ascii="Times New Roman" w:hAnsi="Times New Roman" w:cs="Times New Roman"/>
          <w:color w:val="000000" w:themeColor="text1"/>
          <w:sz w:val="24"/>
          <w:szCs w:val="24"/>
          <w:lang w:eastAsia="zh-CN"/>
        </w:rPr>
        <w:t>施工现场的场地平整、土方开挖等现场施工会引起施工扬尘，</w:t>
      </w:r>
      <w:r>
        <w:rPr>
          <w:rFonts w:hint="default" w:ascii="Times New Roman" w:hAnsi="Times New Roman" w:eastAsia="宋体" w:cs="Times New Roman"/>
          <w:color w:val="000000" w:themeColor="text1"/>
          <w:sz w:val="24"/>
          <w:szCs w:val="24"/>
        </w:rPr>
        <w:t>施工现场</w:t>
      </w:r>
      <w:r>
        <w:rPr>
          <w:rFonts w:hint="eastAsia" w:ascii="Times New Roman" w:hAnsi="Times New Roman" w:cs="Times New Roman"/>
          <w:color w:val="000000" w:themeColor="text1"/>
          <w:sz w:val="24"/>
          <w:szCs w:val="24"/>
          <w:lang w:eastAsia="zh-CN"/>
        </w:rPr>
        <w:t>扬尘</w:t>
      </w:r>
      <w:r>
        <w:rPr>
          <w:rFonts w:hint="default" w:ascii="Times New Roman" w:hAnsi="Times New Roman" w:eastAsia="宋体" w:cs="Times New Roman"/>
          <w:color w:val="000000" w:themeColor="text1"/>
          <w:sz w:val="24"/>
          <w:szCs w:val="24"/>
        </w:rPr>
        <w:t>对周围环境污染情况引用国内施工现场扬尘的污染状况表：</w:t>
      </w:r>
    </w:p>
    <w:p>
      <w:pPr>
        <w:spacing w:line="300" w:lineRule="exact"/>
        <w:ind w:firstLine="527" w:firstLineChars="2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z w:val="21"/>
          <w:szCs w:val="21"/>
        </w:rPr>
        <w:t>表</w:t>
      </w:r>
      <w:r>
        <w:rPr>
          <w:rFonts w:hint="eastAsia" w:ascii="Times New Roman" w:hAnsi="Times New Roman" w:eastAsia="宋体" w:cs="Times New Roman"/>
          <w:b/>
          <w:bCs/>
          <w:color w:val="000000" w:themeColor="text1"/>
          <w:sz w:val="21"/>
          <w:szCs w:val="21"/>
          <w:lang w:val="en-US" w:eastAsia="zh-CN"/>
        </w:rPr>
        <w:t xml:space="preserve">3.3-2 </w:t>
      </w:r>
      <w:r>
        <w:rPr>
          <w:rFonts w:hint="default" w:ascii="Times New Roman" w:hAnsi="Times New Roman" w:eastAsia="宋体" w:cs="Times New Roman"/>
          <w:b/>
          <w:bCs/>
          <w:color w:val="000000" w:themeColor="text1"/>
          <w:sz w:val="21"/>
          <w:szCs w:val="21"/>
        </w:rPr>
        <w:t xml:space="preserve"> 施工现场扬尘(TSP)对环境的污染状况表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1272"/>
        <w:gridCol w:w="1229"/>
        <w:gridCol w:w="1271"/>
        <w:gridCol w:w="1175"/>
        <w:gridCol w:w="971"/>
        <w:gridCol w:w="1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902" w:type="dxa"/>
            <w:vMerge w:val="restart"/>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p>
        </w:tc>
        <w:tc>
          <w:tcPr>
            <w:tcW w:w="7055" w:type="dxa"/>
            <w:gridSpan w:val="6"/>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工地下风向距离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190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p>
        </w:tc>
        <w:tc>
          <w:tcPr>
            <w:tcW w:w="1272"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20m</w:t>
            </w:r>
          </w:p>
        </w:tc>
        <w:tc>
          <w:tcPr>
            <w:tcW w:w="1229"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50m</w:t>
            </w:r>
          </w:p>
        </w:tc>
        <w:tc>
          <w:tcPr>
            <w:tcW w:w="1271"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100m</w:t>
            </w:r>
          </w:p>
        </w:tc>
        <w:tc>
          <w:tcPr>
            <w:tcW w:w="1175"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150m</w:t>
            </w:r>
          </w:p>
        </w:tc>
        <w:tc>
          <w:tcPr>
            <w:tcW w:w="971"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200m</w:t>
            </w:r>
          </w:p>
        </w:tc>
        <w:tc>
          <w:tcPr>
            <w:tcW w:w="1137"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浓度（mg/m</w:t>
            </w:r>
            <w:r>
              <w:rPr>
                <w:rFonts w:hint="eastAsia" w:ascii="Times New Roman" w:hAnsi="Times New Roman" w:cs="Times New Roman"/>
                <w:color w:val="000000" w:themeColor="text1"/>
                <w:sz w:val="21"/>
                <w:szCs w:val="21"/>
                <w:vertAlign w:val="superscript"/>
                <w:lang w:val="en-US" w:eastAsia="zh-CN"/>
              </w:rPr>
              <w:t>3</w:t>
            </w:r>
            <w:r>
              <w:rPr>
                <w:rFonts w:hint="default" w:ascii="Times New Roman" w:hAnsi="Times New Roman" w:cs="Times New Roman"/>
                <w:color w:val="000000" w:themeColor="text1"/>
                <w:sz w:val="21"/>
                <w:szCs w:val="21"/>
              </w:rPr>
              <w:t>）</w:t>
            </w:r>
          </w:p>
        </w:tc>
        <w:tc>
          <w:tcPr>
            <w:tcW w:w="1272"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1.303</w:t>
            </w:r>
          </w:p>
        </w:tc>
        <w:tc>
          <w:tcPr>
            <w:tcW w:w="1229"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0.722</w:t>
            </w:r>
          </w:p>
        </w:tc>
        <w:tc>
          <w:tcPr>
            <w:tcW w:w="1271"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0.402</w:t>
            </w:r>
          </w:p>
        </w:tc>
        <w:tc>
          <w:tcPr>
            <w:tcW w:w="1175"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0.311</w:t>
            </w:r>
          </w:p>
        </w:tc>
        <w:tc>
          <w:tcPr>
            <w:tcW w:w="971"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0.270</w:t>
            </w:r>
          </w:p>
        </w:tc>
        <w:tc>
          <w:tcPr>
            <w:tcW w:w="1137"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0.210</w:t>
            </w:r>
          </w:p>
        </w:tc>
      </w:tr>
    </w:tbl>
    <w:p>
      <w:pPr>
        <w:spacing w:line="360" w:lineRule="auto"/>
        <w:ind w:firstLine="480" w:firstLineChars="200"/>
        <w:rPr>
          <w:rFonts w:hint="default" w:eastAsia="宋体"/>
          <w:color w:val="000000" w:themeColor="text1"/>
          <w:lang w:val="en-US" w:eastAsia="zh-CN"/>
        </w:rPr>
      </w:pPr>
      <w:r>
        <w:rPr>
          <w:rFonts w:hint="default" w:ascii="Times New Roman" w:hAnsi="Times New Roman" w:eastAsia="宋体" w:cs="Times New Roman"/>
          <w:color w:val="000000" w:themeColor="text1"/>
          <w:sz w:val="24"/>
          <w:szCs w:val="24"/>
        </w:rPr>
        <w:t>根据上表，在未采取措施的情况下，受施工现场扬尘影响较为严重的区域为两侧150m内，在两侧50m范围内的区域，影响更为严重。</w:t>
      </w:r>
      <w:r>
        <w:rPr>
          <w:rFonts w:hint="eastAsia" w:ascii="Times New Roman" w:hAnsi="Times New Roman" w:eastAsia="宋体" w:cs="Times New Roman"/>
          <w:color w:val="FF0000"/>
          <w:sz w:val="24"/>
          <w:szCs w:val="24"/>
          <w:lang w:val="en-US" w:eastAsia="zh-CN"/>
        </w:rPr>
        <w:t>本项目施工期道路施工，道路两侧有点状的居民分布，在50</w:t>
      </w:r>
      <w:r>
        <w:rPr>
          <w:rFonts w:hint="default" w:ascii="Times New Roman" w:hAnsi="Times New Roman" w:eastAsia="宋体" w:cs="Times New Roman"/>
          <w:color w:val="FF0000"/>
          <w:sz w:val="24"/>
          <w:szCs w:val="24"/>
        </w:rPr>
        <w:t>m</w:t>
      </w:r>
      <w:r>
        <w:rPr>
          <w:rFonts w:hint="eastAsia" w:ascii="Times New Roman" w:hAnsi="Times New Roman" w:eastAsia="宋体" w:cs="Times New Roman"/>
          <w:color w:val="FF0000"/>
          <w:sz w:val="24"/>
          <w:szCs w:val="24"/>
          <w:lang w:val="en-US" w:eastAsia="zh-CN"/>
        </w:rPr>
        <w:t>范围内，施工过程中应采取扬尘防治措施，减少对周边居民的影响。</w:t>
      </w:r>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施工机械</w:t>
      </w:r>
      <w:r>
        <w:rPr>
          <w:rFonts w:hint="default" w:ascii="Times New Roman" w:hAnsi="Times New Roman" w:eastAsia="宋体" w:cs="Times New Roman"/>
          <w:b w:val="0"/>
          <w:bCs w:val="0"/>
          <w:color w:val="000000" w:themeColor="text1"/>
          <w:sz w:val="24"/>
          <w:szCs w:val="24"/>
          <w:lang w:val="en-US" w:eastAsia="zh-CN"/>
        </w:rPr>
        <w:t>尾气</w:t>
      </w:r>
    </w:p>
    <w:p>
      <w:pPr>
        <w:pStyle w:val="12"/>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施工车辆尾气主要来自施工现场机械和汽车的燃料尾气，在施工期间，排放的尾气中的污染物主要有</w:t>
      </w:r>
      <w:r>
        <w:rPr>
          <w:rFonts w:hint="default" w:ascii="Times New Roman" w:hAnsi="Times New Roman" w:eastAsia="宋体" w:cs="Times New Roman"/>
          <w:color w:val="000000" w:themeColor="text1"/>
          <w:sz w:val="24"/>
          <w:szCs w:val="24"/>
          <w:lang w:val="en-US"/>
        </w:rPr>
        <w:t>VOC</w:t>
      </w:r>
      <w:r>
        <w:rPr>
          <w:rFonts w:hint="default" w:ascii="Times New Roman" w:hAnsi="Times New Roman" w:eastAsia="宋体" w:cs="Times New Roman"/>
          <w:color w:val="000000" w:themeColor="text1"/>
          <w:sz w:val="24"/>
          <w:szCs w:val="24"/>
          <w:vertAlign w:val="subscript"/>
          <w:lang w:val="en-US"/>
        </w:rPr>
        <w:t>S</w:t>
      </w:r>
      <w:r>
        <w:rPr>
          <w:rFonts w:hint="default" w:ascii="Times New Roman" w:hAnsi="Times New Roman" w:eastAsia="宋体" w:cs="Times New Roman"/>
          <w:color w:val="000000" w:themeColor="text1"/>
          <w:sz w:val="24"/>
          <w:szCs w:val="24"/>
        </w:rPr>
        <w:t>、NO</w:t>
      </w:r>
      <w:r>
        <w:rPr>
          <w:rFonts w:hint="default" w:ascii="Times New Roman" w:hAnsi="Times New Roman" w:eastAsia="宋体" w:cs="Times New Roman"/>
          <w:color w:val="000000" w:themeColor="text1"/>
          <w:sz w:val="24"/>
          <w:szCs w:val="24"/>
          <w:vertAlign w:val="subscript"/>
        </w:rPr>
        <w:t>X</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颗粒物</w:t>
      </w:r>
      <w:r>
        <w:rPr>
          <w:rFonts w:hint="default" w:ascii="Times New Roman" w:hAnsi="Times New Roman" w:eastAsia="宋体" w:cs="Times New Roman"/>
          <w:color w:val="000000" w:themeColor="text1"/>
          <w:sz w:val="24"/>
          <w:szCs w:val="24"/>
        </w:rPr>
        <w:t>，会对环境空气产生影响。</w:t>
      </w:r>
      <w:r>
        <w:rPr>
          <w:rFonts w:hint="eastAsia" w:ascii="Times New Roman" w:hAnsi="Times New Roman" w:eastAsia="宋体" w:cs="Times New Roman"/>
          <w:color w:val="000000" w:themeColor="text1"/>
          <w:sz w:val="24"/>
          <w:szCs w:val="24"/>
          <w:lang w:eastAsia="zh-CN"/>
        </w:rPr>
        <w:t>参考移动源产排污核算方法和系数手册</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本项目采用安康市排放系数，国</w:t>
      </w:r>
      <w:r>
        <w:rPr>
          <w:rFonts w:hint="eastAsia" w:ascii="Times New Roman" w:hAnsi="Times New Roman" w:eastAsia="宋体" w:cs="Times New Roman"/>
          <w:color w:val="000000" w:themeColor="text1"/>
          <w:sz w:val="24"/>
          <w:szCs w:val="24"/>
          <w:lang w:val="en-US" w:eastAsia="zh-CN"/>
        </w:rPr>
        <w:t>5标准，</w:t>
      </w:r>
      <w:r>
        <w:rPr>
          <w:rFonts w:hint="eastAsia" w:ascii="Times New Roman" w:hAnsi="Times New Roman" w:eastAsia="宋体" w:cs="Times New Roman"/>
          <w:color w:val="000000" w:themeColor="text1"/>
          <w:sz w:val="24"/>
          <w:szCs w:val="24"/>
          <w:lang w:eastAsia="zh-CN"/>
        </w:rPr>
        <w:t>本项目</w:t>
      </w:r>
      <w:r>
        <w:rPr>
          <w:rFonts w:hint="default" w:ascii="Times New Roman" w:hAnsi="Times New Roman" w:eastAsia="宋体" w:cs="Times New Roman"/>
          <w:color w:val="000000" w:themeColor="text1"/>
          <w:sz w:val="24"/>
          <w:szCs w:val="24"/>
        </w:rPr>
        <w:t>机动车污染物排放系数见下表：</w:t>
      </w:r>
    </w:p>
    <w:p>
      <w:pPr>
        <w:pStyle w:val="12"/>
        <w:adjustRightInd w:val="0"/>
        <w:snapToGrid w:val="0"/>
        <w:spacing w:after="0" w:line="36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w:t>
      </w:r>
      <w:r>
        <w:rPr>
          <w:rFonts w:hint="eastAsia" w:ascii="Times New Roman" w:hAnsi="Times New Roman" w:eastAsia="宋体" w:cs="Times New Roman"/>
          <w:b/>
          <w:bCs/>
          <w:color w:val="000000" w:themeColor="text1"/>
          <w:sz w:val="21"/>
          <w:szCs w:val="21"/>
          <w:lang w:val="en-US" w:eastAsia="zh-CN"/>
        </w:rPr>
        <w:t>3.3-3</w:t>
      </w:r>
      <w:r>
        <w:rPr>
          <w:rFonts w:hint="default" w:ascii="Times New Roman" w:hAnsi="Times New Roman" w:eastAsia="宋体" w:cs="Times New Roman"/>
          <w:b/>
          <w:bCs/>
          <w:color w:val="000000" w:themeColor="text1"/>
          <w:sz w:val="21"/>
          <w:szCs w:val="21"/>
        </w:rPr>
        <w:t xml:space="preserve">  机动车尾气排放污染物系数</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6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2891" w:type="dxa"/>
            <w:vMerge w:val="restart"/>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w:t>
            </w:r>
          </w:p>
        </w:tc>
        <w:tc>
          <w:tcPr>
            <w:tcW w:w="6066"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以柴油为燃料（g/</w:t>
            </w:r>
            <w:r>
              <w:rPr>
                <w:rFonts w:hint="eastAsia" w:ascii="Times New Roman" w:hAnsi="Times New Roman" w:eastAsia="宋体" w:cs="Times New Roman"/>
                <w:color w:val="000000" w:themeColor="text1"/>
                <w:sz w:val="21"/>
                <w:szCs w:val="21"/>
                <w:lang w:eastAsia="zh-CN"/>
              </w:rPr>
              <w:t>辆</w:t>
            </w:r>
            <w:r>
              <w:rPr>
                <w:rFonts w:hint="eastAsia" w:ascii="Times New Roman" w:hAnsi="Times New Roman" w:eastAsia="宋体" w:cs="Times New Roman"/>
                <w:color w:val="000000" w:themeColor="text1"/>
                <w:sz w:val="21"/>
                <w:szCs w:val="21"/>
                <w:lang w:val="en-US" w:eastAsia="zh-CN"/>
              </w:rPr>
              <w:t>.年</w:t>
            </w: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2891" w:type="dxa"/>
            <w:vMerge w:val="continue"/>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p>
        </w:tc>
        <w:tc>
          <w:tcPr>
            <w:tcW w:w="6066"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参照载货汽车中型排放标准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2891"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VOC</w:t>
            </w:r>
            <w:r>
              <w:rPr>
                <w:rFonts w:hint="default" w:ascii="Times New Roman" w:hAnsi="Times New Roman" w:eastAsia="宋体" w:cs="Times New Roman"/>
                <w:color w:val="000000" w:themeColor="text1"/>
                <w:sz w:val="21"/>
                <w:szCs w:val="21"/>
                <w:vertAlign w:val="subscript"/>
                <w:lang w:val="en-US"/>
              </w:rPr>
              <w:t>S</w:t>
            </w:r>
          </w:p>
        </w:tc>
        <w:tc>
          <w:tcPr>
            <w:tcW w:w="6066"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2891"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NO</w:t>
            </w:r>
            <w:r>
              <w:rPr>
                <w:rFonts w:hint="default" w:ascii="Times New Roman" w:hAnsi="Times New Roman" w:eastAsia="宋体" w:cs="Times New Roman"/>
                <w:color w:val="000000" w:themeColor="text1"/>
                <w:sz w:val="21"/>
                <w:szCs w:val="21"/>
                <w:vertAlign w:val="subscript"/>
              </w:rPr>
              <w:t>X</w:t>
            </w:r>
          </w:p>
        </w:tc>
        <w:tc>
          <w:tcPr>
            <w:tcW w:w="6066"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161857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891"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颗粒物</w:t>
            </w:r>
          </w:p>
        </w:tc>
        <w:tc>
          <w:tcPr>
            <w:tcW w:w="6066" w:type="dxa"/>
            <w:tcBorders>
              <w:tl2br w:val="nil"/>
              <w:tr2bl w:val="nil"/>
            </w:tcBorders>
            <w:vAlign w:val="center"/>
          </w:tcPr>
          <w:p>
            <w:pPr>
              <w:pStyle w:val="12"/>
              <w:adjustRightInd w:val="0"/>
              <w:snapToGrid w:val="0"/>
              <w:spacing w:after="0"/>
              <w:ind w:firstLine="0" w:firstLineChars="0"/>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1510</w:t>
            </w:r>
          </w:p>
        </w:tc>
      </w:tr>
    </w:tbl>
    <w:p>
      <w:pPr>
        <w:pStyle w:val="12"/>
        <w:adjustRightInd w:val="0"/>
        <w:snapToGrid w:val="0"/>
        <w:spacing w:after="0" w:line="360" w:lineRule="auto"/>
        <w:ind w:firstLine="480" w:firstLineChars="200"/>
        <w:jc w:val="left"/>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eastAsia="zh-CN"/>
        </w:rPr>
        <w:t>本项目施工期约为</w:t>
      </w:r>
      <w:r>
        <w:rPr>
          <w:rFonts w:hint="eastAsia" w:ascii="Times New Roman" w:hAnsi="Times New Roman" w:eastAsia="宋体" w:cs="Times New Roman"/>
          <w:color w:val="FF0000"/>
          <w:sz w:val="24"/>
          <w:szCs w:val="24"/>
          <w:lang w:val="en-US" w:eastAsia="zh-CN"/>
        </w:rPr>
        <w:t>15个月，施工期间的车辆按照平均5辆计算核算，本项目施工期车辆尾气中污染物的排放量为</w:t>
      </w:r>
      <w:r>
        <w:rPr>
          <w:rFonts w:hint="default" w:ascii="Times New Roman" w:hAnsi="Times New Roman" w:eastAsia="宋体" w:cs="Times New Roman"/>
          <w:color w:val="FF0000"/>
          <w:sz w:val="24"/>
          <w:szCs w:val="24"/>
          <w:lang w:val="en-US"/>
        </w:rPr>
        <w:t>VOC</w:t>
      </w:r>
      <w:r>
        <w:rPr>
          <w:rFonts w:hint="default" w:ascii="Times New Roman" w:hAnsi="Times New Roman" w:eastAsia="宋体" w:cs="Times New Roman"/>
          <w:color w:val="FF0000"/>
          <w:sz w:val="24"/>
          <w:szCs w:val="24"/>
          <w:vertAlign w:val="subscript"/>
          <w:lang w:val="en-US"/>
        </w:rPr>
        <w:t>S</w:t>
      </w:r>
      <w:r>
        <w:rPr>
          <w:rFonts w:hint="eastAsia" w:ascii="Times New Roman" w:hAnsi="Times New Roman" w:eastAsia="宋体" w:cs="Times New Roman"/>
          <w:color w:val="FF0000"/>
          <w:sz w:val="24"/>
          <w:szCs w:val="24"/>
          <w:vertAlign w:val="baseline"/>
          <w:lang w:val="en-US" w:eastAsia="zh-CN"/>
        </w:rPr>
        <w:t>118.13kg；</w:t>
      </w:r>
      <w:r>
        <w:rPr>
          <w:rFonts w:hint="default" w:ascii="Times New Roman" w:hAnsi="Times New Roman" w:eastAsia="宋体" w:cs="Times New Roman"/>
          <w:color w:val="FF0000"/>
          <w:sz w:val="24"/>
          <w:szCs w:val="24"/>
        </w:rPr>
        <w:t>NO</w:t>
      </w:r>
      <w:r>
        <w:rPr>
          <w:rFonts w:hint="default" w:ascii="Times New Roman" w:hAnsi="Times New Roman" w:eastAsia="宋体" w:cs="Times New Roman"/>
          <w:color w:val="FF0000"/>
          <w:sz w:val="24"/>
          <w:szCs w:val="24"/>
          <w:vertAlign w:val="subscript"/>
        </w:rPr>
        <w:t>X</w:t>
      </w:r>
      <w:r>
        <w:rPr>
          <w:rFonts w:hint="eastAsia" w:ascii="Times New Roman" w:hAnsi="Times New Roman" w:eastAsia="宋体" w:cs="Times New Roman"/>
          <w:color w:val="FF0000"/>
          <w:sz w:val="24"/>
          <w:szCs w:val="24"/>
          <w:vertAlign w:val="baseline"/>
          <w:lang w:val="en-US" w:eastAsia="zh-CN"/>
        </w:rPr>
        <w:t>809.29kg；颗粒物为7.55kg</w:t>
      </w:r>
      <w:r>
        <w:rPr>
          <w:rFonts w:hint="default" w:ascii="Times New Roman" w:hAnsi="Times New Roman" w:eastAsia="宋体" w:cs="Times New Roman"/>
          <w:color w:val="FF0000"/>
          <w:sz w:val="24"/>
          <w:szCs w:val="24"/>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（3）施工期餐饮油烟</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color w:val="000000" w:themeColor="text1"/>
        </w:rPr>
      </w:pPr>
      <w:r>
        <w:rPr>
          <w:rFonts w:hint="eastAsia" w:ascii="Times New Roman" w:hAnsi="Times New Roman" w:eastAsia="宋体" w:cs="Times New Roman"/>
          <w:color w:val="000000" w:themeColor="text1"/>
          <w:sz w:val="24"/>
          <w:szCs w:val="24"/>
          <w:lang w:eastAsia="zh-CN"/>
        </w:rPr>
        <w:t>矿</w:t>
      </w:r>
      <w:r>
        <w:rPr>
          <w:rFonts w:hint="default" w:ascii="Times New Roman" w:hAnsi="Times New Roman" w:eastAsia="宋体" w:cs="Times New Roman"/>
          <w:color w:val="000000" w:themeColor="text1"/>
          <w:sz w:val="24"/>
          <w:szCs w:val="24"/>
        </w:rPr>
        <w:t>区设食堂1座，就餐人数</w:t>
      </w:r>
      <w:r>
        <w:rPr>
          <w:rFonts w:hint="eastAsia" w:ascii="Times New Roman" w:hAnsi="Times New Roman" w:eastAsia="宋体" w:cs="Times New Roman"/>
          <w:color w:val="000000" w:themeColor="text1"/>
          <w:sz w:val="24"/>
          <w:szCs w:val="24"/>
          <w:lang w:val="en-US" w:eastAsia="zh-CN"/>
        </w:rPr>
        <w:t>最高30</w:t>
      </w:r>
      <w:r>
        <w:rPr>
          <w:rFonts w:hint="default" w:ascii="Times New Roman" w:hAnsi="Times New Roman" w:eastAsia="宋体" w:cs="Times New Roman"/>
          <w:color w:val="000000" w:themeColor="text1"/>
          <w:sz w:val="24"/>
          <w:szCs w:val="24"/>
        </w:rPr>
        <w:t>人，</w:t>
      </w:r>
      <w:r>
        <w:rPr>
          <w:rFonts w:hint="eastAsia" w:ascii="Times New Roman" w:hAnsi="Times New Roman" w:eastAsia="宋体" w:cs="Times New Roman"/>
          <w:color w:val="000000" w:themeColor="text1"/>
          <w:sz w:val="24"/>
          <w:szCs w:val="24"/>
          <w:lang w:eastAsia="zh-CN"/>
        </w:rPr>
        <w:t>按照《生活污染源产排污系数手册》可知，陕西地区属于三区，餐饮油烟挥发性有机物排放系数为</w:t>
      </w:r>
      <w:r>
        <w:rPr>
          <w:rFonts w:hint="eastAsia" w:ascii="Times New Roman" w:hAnsi="Times New Roman" w:eastAsia="宋体" w:cs="Times New Roman"/>
          <w:color w:val="000000" w:themeColor="text1"/>
          <w:sz w:val="24"/>
          <w:szCs w:val="24"/>
          <w:lang w:val="en-US" w:eastAsia="zh-CN"/>
        </w:rPr>
        <w:t>301克/人</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年，</w:t>
      </w:r>
      <w:r>
        <w:rPr>
          <w:rFonts w:hint="eastAsia" w:ascii="Times New Roman" w:hAnsi="Times New Roman" w:eastAsia="宋体" w:cs="Times New Roman"/>
          <w:color w:val="000000" w:themeColor="text1"/>
          <w:sz w:val="24"/>
          <w:szCs w:val="24"/>
          <w:lang w:eastAsia="zh-CN"/>
        </w:rPr>
        <w:t>本项目施工期共</w:t>
      </w:r>
      <w:r>
        <w:rPr>
          <w:rFonts w:hint="eastAsia" w:ascii="Times New Roman" w:hAnsi="Times New Roman" w:eastAsia="宋体" w:cs="Times New Roman"/>
          <w:color w:val="000000" w:themeColor="text1"/>
          <w:sz w:val="24"/>
          <w:szCs w:val="24"/>
          <w:lang w:val="en-US" w:eastAsia="zh-CN"/>
        </w:rPr>
        <w:t>15个月</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按照</w:t>
      </w:r>
      <w:r>
        <w:rPr>
          <w:rFonts w:hint="eastAsia" w:ascii="Times New Roman" w:hAnsi="Times New Roman" w:eastAsia="宋体" w:cs="Times New Roman"/>
          <w:color w:val="000000" w:themeColor="text1"/>
          <w:sz w:val="24"/>
          <w:szCs w:val="24"/>
          <w:lang w:val="en-US" w:eastAsia="zh-CN"/>
        </w:rPr>
        <w:t>450天计，则本项目共产生的</w:t>
      </w:r>
      <w:r>
        <w:rPr>
          <w:rFonts w:hint="eastAsia" w:ascii="Times New Roman" w:hAnsi="Times New Roman" w:eastAsia="宋体" w:cs="Times New Roman"/>
          <w:color w:val="000000" w:themeColor="text1"/>
          <w:sz w:val="24"/>
          <w:szCs w:val="24"/>
          <w:lang w:eastAsia="zh-CN"/>
        </w:rPr>
        <w:t>餐饮油烟挥发性有机物为</w:t>
      </w:r>
      <w:r>
        <w:rPr>
          <w:rFonts w:hint="eastAsia" w:ascii="Times New Roman" w:hAnsi="Times New Roman" w:eastAsia="宋体" w:cs="Times New Roman"/>
          <w:color w:val="000000" w:themeColor="text1"/>
          <w:sz w:val="24"/>
          <w:szCs w:val="24"/>
          <w:lang w:val="en-US" w:eastAsia="zh-CN"/>
        </w:rPr>
        <w:t>11.133kg。</w:t>
      </w:r>
      <w:r>
        <w:rPr>
          <w:rFonts w:hint="default" w:ascii="Times New Roman" w:hAnsi="Times New Roman" w:eastAsia="宋体" w:cs="Times New Roman"/>
          <w:color w:val="000000" w:themeColor="text1"/>
          <w:sz w:val="24"/>
          <w:szCs w:val="24"/>
        </w:rPr>
        <w:t>食堂每天每个灶头作业时间约为5h，每个灶头排风量为2000m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/h，因此，油烟产生浓度为</w:t>
      </w:r>
      <w:r>
        <w:rPr>
          <w:rFonts w:hint="eastAsia" w:ascii="Times New Roman" w:hAnsi="Times New Roman" w:eastAsia="宋体" w:cs="Times New Roman"/>
          <w:color w:val="000000" w:themeColor="text1"/>
          <w:sz w:val="24"/>
          <w:szCs w:val="24"/>
          <w:lang w:val="en-US" w:eastAsia="zh-CN"/>
        </w:rPr>
        <w:t>2.5</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餐饮</w:t>
      </w:r>
      <w:r>
        <w:rPr>
          <w:rFonts w:hint="default" w:ascii="Times New Roman" w:hAnsi="Times New Roman" w:eastAsia="宋体" w:cs="Times New Roman"/>
          <w:color w:val="000000" w:themeColor="text1"/>
          <w:sz w:val="24"/>
          <w:szCs w:val="24"/>
        </w:rPr>
        <w:t>油烟经过油烟净化器净化后排放，净化效率为60%，油烟排放浓度为</w:t>
      </w:r>
      <w:r>
        <w:rPr>
          <w:rFonts w:hint="eastAsia" w:ascii="Times New Roman" w:hAnsi="Times New Roman" w:eastAsia="宋体"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，符合《饮食业油烟排放标准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w:t>
      </w:r>
      <w:r>
        <w:rPr>
          <w:rFonts w:hint="eastAsia" w:ascii="Times New Roman" w:hAnsi="Times New Roman" w:eastAsia="宋体" w:cs="Times New Roman"/>
          <w:color w:val="000000" w:themeColor="text1"/>
          <w:sz w:val="24"/>
          <w:szCs w:val="24"/>
          <w:lang w:eastAsia="zh-CN"/>
        </w:rPr>
        <w:t>油烟排放浓度</w:t>
      </w:r>
      <w:r>
        <w:rPr>
          <w:rFonts w:hint="eastAsia" w:ascii="Times New Roman" w:hAnsi="Times New Roman" w:eastAsia="宋体" w:cs="Times New Roman"/>
          <w:color w:val="000000" w:themeColor="text1"/>
          <w:sz w:val="24"/>
          <w:szCs w:val="24"/>
          <w:lang w:val="en-US" w:eastAsia="zh-CN"/>
        </w:rPr>
        <w:t>2.0</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的要求。本项目食堂食用油消耗量和油烟产生情况见下表。</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表3.</w:t>
      </w:r>
      <w:r>
        <w:rPr>
          <w:rFonts w:hint="eastAsia" w:ascii="Times New Roman" w:hAnsi="Times New Roman" w:eastAsia="宋体" w:cs="Times New Roman"/>
          <w:b/>
          <w:bCs w:val="0"/>
          <w:color w:val="000000" w:themeColor="text1"/>
          <w:sz w:val="21"/>
          <w:szCs w:val="21"/>
          <w:lang w:val="en-US" w:eastAsia="zh-CN"/>
        </w:rPr>
        <w:t>3</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4</w:t>
      </w:r>
      <w:r>
        <w:rPr>
          <w:rFonts w:hint="default" w:ascii="Times New Roman" w:hAnsi="Times New Roman" w:eastAsia="宋体" w:cs="Times New Roman"/>
          <w:b/>
          <w:bCs w:val="0"/>
          <w:color w:val="000000" w:themeColor="text1"/>
          <w:sz w:val="21"/>
          <w:szCs w:val="21"/>
        </w:rPr>
        <w:t xml:space="preserve">  食堂使用油消耗和油烟废气产生情况</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568"/>
        <w:gridCol w:w="1082"/>
        <w:gridCol w:w="954"/>
        <w:gridCol w:w="1183"/>
        <w:gridCol w:w="985"/>
        <w:gridCol w:w="1093"/>
        <w:gridCol w:w="1061"/>
        <w:gridCol w:w="1015"/>
        <w:gridCol w:w="1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trHeight w:val="323" w:hRule="atLeast"/>
          <w:jc w:val="center"/>
        </w:trPr>
        <w:tc>
          <w:tcPr>
            <w:tcW w:w="56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人数</w:t>
            </w:r>
          </w:p>
        </w:tc>
        <w:tc>
          <w:tcPr>
            <w:tcW w:w="108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排放系数</w:t>
            </w:r>
          </w:p>
        </w:tc>
        <w:tc>
          <w:tcPr>
            <w:tcW w:w="95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油烟产生量(</w:t>
            </w:r>
            <w:r>
              <w:rPr>
                <w:rFonts w:hint="eastAsia" w:ascii="Times New Roman" w:hAnsi="Times New Roman" w:eastAsia="宋体" w:cs="Times New Roman"/>
                <w:color w:val="000000" w:themeColor="text1"/>
                <w:sz w:val="21"/>
                <w:szCs w:val="21"/>
                <w:lang w:val="en-US" w:eastAsia="zh-CN"/>
              </w:rPr>
              <w:t>kg</w:t>
            </w:r>
            <w:r>
              <w:rPr>
                <w:rFonts w:hint="default" w:ascii="Times New Roman" w:hAnsi="Times New Roman" w:eastAsia="宋体" w:cs="Times New Roman"/>
                <w:color w:val="000000" w:themeColor="text1"/>
                <w:sz w:val="21"/>
                <w:szCs w:val="21"/>
              </w:rPr>
              <w:t>)</w:t>
            </w:r>
          </w:p>
        </w:tc>
        <w:tc>
          <w:tcPr>
            <w:tcW w:w="118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油烟产生浓度(mg/m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98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油烟产生</w:t>
            </w:r>
            <w:r>
              <w:rPr>
                <w:rFonts w:hint="eastAsia" w:ascii="Times New Roman" w:hAnsi="Times New Roman" w:eastAsia="宋体" w:cs="Times New Roman"/>
                <w:color w:val="000000" w:themeColor="text1"/>
                <w:sz w:val="21"/>
                <w:szCs w:val="21"/>
                <w:lang w:eastAsia="zh-CN"/>
              </w:rPr>
              <w:t>速率</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val="en-US" w:eastAsia="zh-CN"/>
              </w:rPr>
              <w:t>kg/h</w:t>
            </w:r>
            <w:r>
              <w:rPr>
                <w:rFonts w:hint="default" w:ascii="Times New Roman" w:hAnsi="Times New Roman" w:eastAsia="宋体" w:cs="Times New Roman"/>
                <w:color w:val="000000" w:themeColor="text1"/>
                <w:sz w:val="21"/>
                <w:szCs w:val="21"/>
              </w:rPr>
              <w:t>)</w:t>
            </w:r>
          </w:p>
        </w:tc>
        <w:tc>
          <w:tcPr>
            <w:tcW w:w="109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治理措施</w:t>
            </w:r>
          </w:p>
        </w:tc>
        <w:tc>
          <w:tcPr>
            <w:tcW w:w="106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油烟排放浓度(mg/m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101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油烟</w:t>
            </w:r>
            <w:r>
              <w:rPr>
                <w:rFonts w:hint="default" w:ascii="Times New Roman" w:hAnsi="Times New Roman" w:eastAsia="宋体" w:cs="Times New Roman"/>
                <w:color w:val="000000" w:themeColor="text1"/>
                <w:sz w:val="21"/>
                <w:szCs w:val="21"/>
              </w:rPr>
              <w:t>排放量（</w:t>
            </w:r>
            <w:r>
              <w:rPr>
                <w:rFonts w:hint="eastAsia" w:ascii="Times New Roman" w:hAnsi="Times New Roman" w:eastAsia="宋体" w:cs="Times New Roman"/>
                <w:color w:val="000000" w:themeColor="text1"/>
                <w:sz w:val="21"/>
                <w:szCs w:val="21"/>
                <w:lang w:val="en-US" w:eastAsia="zh-CN"/>
              </w:rPr>
              <w:t>kg</w:t>
            </w:r>
            <w:r>
              <w:rPr>
                <w:rFonts w:hint="default" w:ascii="Times New Roman" w:hAnsi="Times New Roman" w:eastAsia="宋体" w:cs="Times New Roman"/>
                <w:color w:val="000000" w:themeColor="text1"/>
                <w:sz w:val="21"/>
                <w:szCs w:val="21"/>
              </w:rPr>
              <w:t>）</w:t>
            </w:r>
          </w:p>
        </w:tc>
        <w:tc>
          <w:tcPr>
            <w:tcW w:w="10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w:t>
            </w:r>
            <w:r>
              <w:rPr>
                <w:rFonts w:hint="eastAsia" w:ascii="Times New Roman" w:hAnsi="Times New Roman" w:eastAsia="宋体" w:cs="Times New Roman"/>
                <w:color w:val="000000" w:themeColor="text1"/>
                <w:sz w:val="21"/>
                <w:szCs w:val="21"/>
                <w:lang w:eastAsia="zh-CN"/>
              </w:rPr>
              <w:t>排放速率</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val="en-US" w:eastAsia="zh-CN"/>
              </w:rPr>
              <w:t>kg/h</w:t>
            </w: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trHeight w:val="641" w:hRule="atLeast"/>
          <w:jc w:val="center"/>
        </w:trPr>
        <w:tc>
          <w:tcPr>
            <w:tcW w:w="56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30</w:t>
            </w:r>
            <w:r>
              <w:rPr>
                <w:rFonts w:hint="default" w:ascii="Times New Roman" w:hAnsi="Times New Roman" w:eastAsia="宋体" w:cs="Times New Roman"/>
                <w:color w:val="000000" w:themeColor="text1"/>
                <w:sz w:val="21"/>
                <w:szCs w:val="21"/>
              </w:rPr>
              <w:t>人</w:t>
            </w:r>
          </w:p>
        </w:tc>
        <w:tc>
          <w:tcPr>
            <w:tcW w:w="108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301克/人</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年</w:t>
            </w:r>
          </w:p>
        </w:tc>
        <w:tc>
          <w:tcPr>
            <w:tcW w:w="95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11.133</w:t>
            </w:r>
          </w:p>
        </w:tc>
        <w:tc>
          <w:tcPr>
            <w:tcW w:w="118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98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0.005</w:t>
            </w:r>
          </w:p>
        </w:tc>
        <w:tc>
          <w:tcPr>
            <w:tcW w:w="109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油烟净化器，处理效率60%</w:t>
            </w:r>
          </w:p>
        </w:tc>
        <w:tc>
          <w:tcPr>
            <w:tcW w:w="106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c>
          <w:tcPr>
            <w:tcW w:w="101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w:t>
            </w:r>
          </w:p>
        </w:tc>
        <w:tc>
          <w:tcPr>
            <w:tcW w:w="10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0.002</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color w:val="000000" w:themeColor="text1"/>
          <w:sz w:val="24"/>
          <w:szCs w:val="24"/>
        </w:rPr>
        <w:t>本项目</w:t>
      </w:r>
      <w:r>
        <w:rPr>
          <w:rFonts w:hint="eastAsia" w:ascii="Times New Roman" w:hAnsi="Times New Roman" w:eastAsia="宋体" w:cs="Times New Roman"/>
          <w:color w:val="000000" w:themeColor="text1"/>
          <w:sz w:val="24"/>
          <w:szCs w:val="24"/>
          <w:lang w:eastAsia="zh-CN"/>
        </w:rPr>
        <w:t>施工期</w:t>
      </w:r>
      <w:r>
        <w:rPr>
          <w:rFonts w:hint="eastAsia" w:ascii="Times New Roman" w:hAnsi="Times New Roman" w:eastAsia="宋体" w:cs="Times New Roman"/>
          <w:color w:val="000000" w:themeColor="text1"/>
          <w:sz w:val="24"/>
          <w:szCs w:val="24"/>
          <w:lang w:val="en-US" w:eastAsia="zh-CN"/>
        </w:rPr>
        <w:t>餐饮</w:t>
      </w:r>
      <w:r>
        <w:rPr>
          <w:rFonts w:hint="default" w:ascii="Times New Roman" w:hAnsi="Times New Roman" w:eastAsia="宋体" w:cs="Times New Roman"/>
          <w:color w:val="000000" w:themeColor="text1"/>
          <w:sz w:val="24"/>
          <w:szCs w:val="24"/>
        </w:rPr>
        <w:t>油烟设置油烟净化器，除油烟效率为60%以上，经过油烟净化器后，油烟排放浓度为</w:t>
      </w:r>
      <w:r>
        <w:rPr>
          <w:rFonts w:hint="eastAsia" w:ascii="Times New Roman" w:hAnsi="Times New Roman" w:eastAsia="宋体"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，排放量为</w:t>
      </w:r>
      <w:r>
        <w:rPr>
          <w:rFonts w:hint="eastAsia" w:ascii="Times New Roman" w:hAnsi="Times New Roman" w:eastAsia="宋体" w:cs="Times New Roman"/>
          <w:bCs/>
          <w:color w:val="000000" w:themeColor="text1"/>
          <w:sz w:val="24"/>
          <w:szCs w:val="24"/>
          <w:lang w:val="en-US" w:eastAsia="zh-CN"/>
        </w:rPr>
        <w:t>0.0045</w:t>
      </w:r>
      <w:r>
        <w:rPr>
          <w:rFonts w:hint="default" w:ascii="Times New Roman" w:hAnsi="Times New Roman" w:eastAsia="宋体" w:cs="Times New Roman"/>
          <w:bCs/>
          <w:color w:val="000000" w:themeColor="text1"/>
          <w:sz w:val="24"/>
          <w:szCs w:val="24"/>
        </w:rPr>
        <w:t>t/a，</w:t>
      </w:r>
      <w:r>
        <w:rPr>
          <w:rFonts w:hint="default" w:ascii="Times New Roman" w:hAnsi="Times New Roman" w:eastAsia="宋体" w:cs="Times New Roman"/>
          <w:color w:val="000000" w:themeColor="text1"/>
          <w:sz w:val="24"/>
          <w:szCs w:val="24"/>
        </w:rPr>
        <w:t>符合《饮食业油烟排放标准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》（GB18483-2001）表2中油烟最高允许排放浓度2.0mg/m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的要求，对周围大气环境影响较小。</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2.</w:t>
      </w:r>
      <w:r>
        <w:rPr>
          <w:rFonts w:hint="eastAsia" w:ascii="Times New Roman" w:hAnsi="Times New Roman" w:eastAsia="宋体" w:cs="Times New Roman"/>
          <w:b/>
          <w:bCs/>
          <w:color w:val="000000" w:themeColor="text1"/>
          <w:sz w:val="24"/>
          <w:szCs w:val="24"/>
          <w:lang w:val="en-US" w:eastAsia="zh-CN"/>
        </w:rPr>
        <w:t>施工期</w:t>
      </w:r>
      <w:r>
        <w:rPr>
          <w:rFonts w:hint="default" w:ascii="Times New Roman" w:hAnsi="Times New Roman" w:eastAsia="宋体" w:cs="Times New Roman"/>
          <w:b/>
          <w:bCs/>
          <w:color w:val="000000" w:themeColor="text1"/>
          <w:sz w:val="24"/>
          <w:szCs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本项目施工期</w:t>
      </w:r>
      <w:r>
        <w:rPr>
          <w:rFonts w:hint="eastAsia" w:ascii="Times New Roman" w:hAnsi="Times New Roman" w:eastAsia="宋体" w:cs="Times New Roman"/>
          <w:color w:val="FF0000"/>
          <w:sz w:val="24"/>
          <w:szCs w:val="24"/>
          <w:lang w:eastAsia="zh-CN"/>
        </w:rPr>
        <w:t>主要为</w:t>
      </w:r>
      <w:r>
        <w:rPr>
          <w:rFonts w:hint="eastAsia" w:ascii="Times New Roman" w:hAnsi="Times New Roman" w:eastAsia="宋体" w:cs="Times New Roman"/>
          <w:color w:val="FF0000"/>
          <w:sz w:val="24"/>
          <w:szCs w:val="24"/>
          <w:lang w:val="en-US" w:eastAsia="zh-CN"/>
        </w:rPr>
        <w:t>K2矿区工业场地的建设、道路的修建、构筑物的建设等，K1矿区进场道路的修建，环保措施的整改等，</w:t>
      </w:r>
      <w:r>
        <w:rPr>
          <w:rFonts w:hint="default" w:ascii="Times New Roman" w:hAnsi="Times New Roman" w:eastAsia="宋体" w:cs="Times New Roman"/>
          <w:color w:val="FF0000"/>
          <w:sz w:val="24"/>
          <w:szCs w:val="24"/>
        </w:rPr>
        <w:t>产生的噪声主要为施工机械噪声和交通运输噪声，源强值为80~103dB（A），项目建设期主要噪声源及源强见表</w:t>
      </w:r>
      <w:r>
        <w:rPr>
          <w:rFonts w:hint="eastAsia" w:ascii="Times New Roman" w:hAnsi="Times New Roman" w:eastAsia="宋体" w:cs="Times New Roman"/>
          <w:color w:val="FF0000"/>
          <w:sz w:val="24"/>
          <w:szCs w:val="24"/>
          <w:lang w:val="en-US" w:eastAsia="zh-CN"/>
        </w:rPr>
        <w:t>3.3-5</w:t>
      </w:r>
      <w:r>
        <w:rPr>
          <w:rFonts w:hint="default" w:ascii="Times New Roman" w:hAnsi="Times New Roman" w:eastAsia="宋体" w:cs="Times New Roman"/>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w:t>
      </w:r>
      <w:r>
        <w:rPr>
          <w:rFonts w:hint="default" w:ascii="Times New Roman" w:hAnsi="Times New Roman" w:eastAsia="宋体" w:cs="Times New Roman"/>
          <w:b/>
          <w:bCs/>
          <w:color w:val="000000" w:themeColor="text1"/>
          <w:sz w:val="21"/>
          <w:szCs w:val="21"/>
          <w:lang w:val="en-US" w:eastAsia="zh-CN"/>
        </w:rPr>
        <w:t>3.3-5</w:t>
      </w:r>
      <w:r>
        <w:rPr>
          <w:rFonts w:hint="default" w:ascii="Times New Roman" w:hAnsi="Times New Roman" w:eastAsia="宋体" w:cs="Times New Roman"/>
          <w:b/>
          <w:bCs/>
          <w:color w:val="000000" w:themeColor="text1"/>
          <w:sz w:val="21"/>
          <w:szCs w:val="21"/>
        </w:rPr>
        <w:t xml:space="preserve">  建设期主要噪声源与噪声级</w:t>
      </w:r>
    </w:p>
    <w:p>
      <w:pPr>
        <w:pStyle w:val="2"/>
        <w:rPr>
          <w:rFonts w:hint="default"/>
        </w:rPr>
      </w:pP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5"/>
        <w:gridCol w:w="2778"/>
        <w:gridCol w:w="2686"/>
        <w:gridCol w:w="26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序号</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声源名称</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噪声级dB（A）</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eastAsia="zh-CN" w:bidi="en-US"/>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1</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推土机</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en-US"/>
              </w:rPr>
            </w:pPr>
            <w:r>
              <w:rPr>
                <w:rFonts w:hint="default" w:ascii="Times New Roman" w:hAnsi="Times New Roman" w:eastAsia="宋体" w:cs="Times New Roman"/>
                <w:color w:val="000000" w:themeColor="text1"/>
                <w:kern w:val="0"/>
                <w:sz w:val="21"/>
                <w:szCs w:val="21"/>
                <w:lang w:val="en-US" w:eastAsia="zh-CN" w:bidi="en-US"/>
              </w:rPr>
              <w:t>90</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val="en-US" w:eastAsia="zh-CN" w:bidi="en-US"/>
              </w:rPr>
              <w:t>1辆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2</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挖掘机</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en-US"/>
              </w:rPr>
            </w:pPr>
            <w:r>
              <w:rPr>
                <w:rFonts w:hint="default" w:ascii="Times New Roman" w:hAnsi="Times New Roman" w:eastAsia="宋体" w:cs="Times New Roman"/>
                <w:color w:val="000000" w:themeColor="text1"/>
                <w:kern w:val="0"/>
                <w:sz w:val="21"/>
                <w:szCs w:val="21"/>
                <w:lang w:val="en-US" w:eastAsia="zh-CN" w:bidi="en-US"/>
              </w:rPr>
              <w:t>85</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val="en-US" w:eastAsia="zh-CN" w:bidi="en-US"/>
              </w:rPr>
              <w:t>1辆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7"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bidi="en-US"/>
              </w:rPr>
            </w:pPr>
            <w:r>
              <w:rPr>
                <w:rFonts w:hint="default" w:ascii="Times New Roman" w:hAnsi="Times New Roman" w:eastAsia="宋体" w:cs="Times New Roman"/>
                <w:color w:val="000000" w:themeColor="text1"/>
                <w:kern w:val="0"/>
                <w:sz w:val="21"/>
                <w:szCs w:val="21"/>
                <w:lang w:bidi="en-US"/>
              </w:rPr>
              <w:t>3</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bidi="en-US"/>
              </w:rPr>
            </w:pPr>
            <w:r>
              <w:rPr>
                <w:rFonts w:hint="default" w:ascii="Times New Roman" w:hAnsi="Times New Roman" w:eastAsia="宋体" w:cs="Times New Roman"/>
                <w:color w:val="000000" w:themeColor="text1"/>
                <w:kern w:val="0"/>
                <w:sz w:val="21"/>
                <w:szCs w:val="21"/>
                <w:lang w:eastAsia="en-US" w:bidi="en-US"/>
              </w:rPr>
              <w:t>振捣</w:t>
            </w:r>
            <w:r>
              <w:rPr>
                <w:rFonts w:hint="default" w:ascii="Times New Roman" w:hAnsi="Times New Roman" w:eastAsia="宋体" w:cs="Times New Roman"/>
                <w:color w:val="000000" w:themeColor="text1"/>
                <w:kern w:val="0"/>
                <w:sz w:val="21"/>
                <w:szCs w:val="21"/>
                <w:lang w:bidi="en-US"/>
              </w:rPr>
              <w:t>机</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en-US"/>
              </w:rPr>
            </w:pPr>
            <w:r>
              <w:rPr>
                <w:rFonts w:hint="default" w:ascii="Times New Roman" w:hAnsi="Times New Roman" w:eastAsia="宋体" w:cs="Times New Roman"/>
                <w:color w:val="000000" w:themeColor="text1"/>
                <w:kern w:val="0"/>
                <w:sz w:val="21"/>
                <w:szCs w:val="21"/>
                <w:lang w:val="en-US" w:eastAsia="zh-CN" w:bidi="en-US"/>
              </w:rPr>
              <w:t>90</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val="en-US" w:eastAsia="zh-CN" w:bidi="en-US"/>
              </w:rPr>
              <w:t>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bidi="en-US"/>
              </w:rPr>
            </w:pPr>
            <w:r>
              <w:rPr>
                <w:rFonts w:hint="default" w:ascii="Times New Roman" w:hAnsi="Times New Roman" w:eastAsia="宋体" w:cs="Times New Roman"/>
                <w:color w:val="000000" w:themeColor="text1"/>
                <w:kern w:val="0"/>
                <w:sz w:val="21"/>
                <w:szCs w:val="21"/>
                <w:lang w:bidi="en-US"/>
              </w:rPr>
              <w:t>4</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电锯</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103</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val="en-US" w:eastAsia="zh-CN" w:bidi="en-US"/>
              </w:rPr>
              <w:t>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bidi="en-US"/>
              </w:rPr>
            </w:pPr>
            <w:r>
              <w:rPr>
                <w:rFonts w:hint="default" w:ascii="Times New Roman" w:hAnsi="Times New Roman" w:eastAsia="宋体" w:cs="Times New Roman"/>
                <w:color w:val="000000" w:themeColor="text1"/>
                <w:kern w:val="0"/>
                <w:sz w:val="21"/>
                <w:szCs w:val="21"/>
                <w:lang w:bidi="en-US"/>
              </w:rPr>
              <w:t>5</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装载机</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default" w:ascii="Times New Roman" w:hAnsi="Times New Roman" w:eastAsia="宋体" w:cs="Times New Roman"/>
                <w:color w:val="000000" w:themeColor="text1"/>
                <w:kern w:val="0"/>
                <w:sz w:val="21"/>
                <w:szCs w:val="21"/>
                <w:lang w:eastAsia="en-US" w:bidi="en-US"/>
              </w:rPr>
              <w:t>85</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val="en-US" w:eastAsia="zh-CN" w:bidi="en-US"/>
              </w:rPr>
              <w:t>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bidi="en-US"/>
              </w:rPr>
            </w:pPr>
            <w:r>
              <w:rPr>
                <w:rFonts w:hint="default" w:ascii="Times New Roman" w:hAnsi="Times New Roman" w:eastAsia="宋体" w:cs="Times New Roman"/>
                <w:color w:val="000000" w:themeColor="text1"/>
                <w:kern w:val="0"/>
                <w:sz w:val="21"/>
                <w:szCs w:val="21"/>
                <w:lang w:bidi="en-US"/>
              </w:rPr>
              <w:t>6</w:t>
            </w:r>
          </w:p>
        </w:tc>
        <w:tc>
          <w:tcPr>
            <w:tcW w:w="2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en-US" w:bidi="en-US"/>
              </w:rPr>
            </w:pPr>
            <w:r>
              <w:rPr>
                <w:rFonts w:hint="eastAsia" w:ascii="Times New Roman" w:hAnsi="Times New Roman" w:eastAsia="宋体" w:cs="Times New Roman"/>
                <w:color w:val="000000" w:themeColor="text1"/>
                <w:kern w:val="0"/>
                <w:sz w:val="21"/>
                <w:szCs w:val="21"/>
                <w:lang w:eastAsia="zh-CN" w:bidi="en-US"/>
              </w:rPr>
              <w:t>载重</w:t>
            </w:r>
            <w:r>
              <w:rPr>
                <w:rFonts w:hint="default" w:ascii="Times New Roman" w:hAnsi="Times New Roman" w:eastAsia="宋体" w:cs="Times New Roman"/>
                <w:color w:val="000000" w:themeColor="text1"/>
                <w:kern w:val="0"/>
                <w:sz w:val="21"/>
                <w:szCs w:val="21"/>
                <w:lang w:eastAsia="en-US" w:bidi="en-US"/>
              </w:rPr>
              <w:t>卡车</w:t>
            </w:r>
          </w:p>
        </w:tc>
        <w:tc>
          <w:tcPr>
            <w:tcW w:w="2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en-US"/>
              </w:rPr>
            </w:pPr>
            <w:r>
              <w:rPr>
                <w:rFonts w:hint="default" w:ascii="Times New Roman" w:hAnsi="Times New Roman" w:eastAsia="宋体" w:cs="Times New Roman"/>
                <w:color w:val="000000" w:themeColor="text1"/>
                <w:kern w:val="0"/>
                <w:sz w:val="21"/>
                <w:szCs w:val="21"/>
                <w:lang w:val="en-US" w:eastAsia="zh-CN" w:bidi="en-US"/>
              </w:rPr>
              <w:t>85</w:t>
            </w:r>
          </w:p>
        </w:tc>
        <w:tc>
          <w:tcPr>
            <w:tcW w:w="2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lang w:eastAsia="zh-CN" w:bidi="en-US"/>
              </w:rPr>
            </w:pPr>
            <w:r>
              <w:rPr>
                <w:rFonts w:hint="default" w:ascii="Times New Roman" w:hAnsi="Times New Roman" w:eastAsia="宋体" w:cs="Times New Roman"/>
                <w:color w:val="000000" w:themeColor="text1"/>
                <w:kern w:val="0"/>
                <w:sz w:val="21"/>
                <w:szCs w:val="21"/>
                <w:lang w:val="en-US" w:eastAsia="zh-CN" w:bidi="en-US"/>
              </w:rPr>
              <w:t>2辆</w:t>
            </w:r>
          </w:p>
        </w:tc>
      </w:tr>
    </w:tbl>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FF0000"/>
          <w:sz w:val="24"/>
          <w:szCs w:val="24"/>
          <w:lang w:val="en-US" w:eastAsia="zh-CN"/>
        </w:rPr>
      </w:pPr>
      <w:bookmarkStart w:id="261" w:name="_Toc26475"/>
      <w:r>
        <w:rPr>
          <w:rFonts w:hint="eastAsia" w:ascii="Times New Roman" w:hAnsi="Times New Roman" w:eastAsia="宋体" w:cs="Times New Roman"/>
          <w:b w:val="0"/>
          <w:bCs w:val="0"/>
          <w:color w:val="FF0000"/>
          <w:sz w:val="24"/>
          <w:szCs w:val="24"/>
          <w:lang w:val="en-US" w:eastAsia="zh-CN"/>
        </w:rPr>
        <w:t>根据现场调查可知，施工期K2矿体道路两侧有零星的居民分布，施工期应采取噪声防治措施，减少道路施工对周边居民的影响。</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lang w:val="en-US" w:eastAsia="zh-CN"/>
        </w:rPr>
        <w:t>3.</w:t>
      </w:r>
      <w:r>
        <w:rPr>
          <w:rFonts w:hint="default" w:ascii="Times New Roman" w:hAnsi="Times New Roman" w:eastAsia="宋体" w:cs="Times New Roman"/>
          <w:b/>
          <w:bCs/>
          <w:color w:val="000000" w:themeColor="text1"/>
          <w:sz w:val="24"/>
          <w:szCs w:val="24"/>
          <w:lang w:val="en-US" w:eastAsia="zh-CN"/>
        </w:rPr>
        <w:t>施工</w:t>
      </w:r>
      <w:r>
        <w:rPr>
          <w:rFonts w:hint="default" w:ascii="Times New Roman" w:hAnsi="Times New Roman" w:eastAsia="宋体" w:cs="Times New Roman"/>
          <w:b/>
          <w:bCs/>
          <w:color w:val="000000" w:themeColor="text1"/>
          <w:sz w:val="24"/>
          <w:szCs w:val="24"/>
        </w:rPr>
        <w:t>期废水</w:t>
      </w:r>
      <w:bookmarkEnd w:id="26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期废水包括施工本身产生的废水、施工人员的生活污水以及矿坑涌水。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项目混凝土养护水全部蒸发。</w:t>
      </w:r>
      <w:r>
        <w:rPr>
          <w:rFonts w:hint="default" w:ascii="Times New Roman" w:hAnsi="Times New Roman" w:eastAsia="宋体" w:cs="Times New Roman"/>
          <w:color w:val="000000" w:themeColor="text1"/>
          <w:sz w:val="24"/>
          <w:szCs w:val="24"/>
        </w:rPr>
        <w:t>生产废水包括砂石冲洗水、场地冲洗水、机械设备</w:t>
      </w:r>
      <w:r>
        <w:rPr>
          <w:rFonts w:hint="default" w:ascii="Times New Roman" w:hAnsi="Times New Roman" w:eastAsia="宋体" w:cs="Times New Roman"/>
          <w:color w:val="000000" w:themeColor="text1"/>
          <w:sz w:val="24"/>
          <w:szCs w:val="24"/>
          <w:lang w:eastAsia="zh-CN"/>
        </w:rPr>
        <w:t>冲洗</w:t>
      </w:r>
      <w:r>
        <w:rPr>
          <w:rFonts w:hint="default" w:ascii="Times New Roman" w:hAnsi="Times New Roman" w:eastAsia="宋体" w:cs="Times New Roman"/>
          <w:color w:val="000000" w:themeColor="text1"/>
          <w:sz w:val="24"/>
          <w:szCs w:val="24"/>
        </w:rPr>
        <w:t>水、混凝土搅拌机及输送系统冲洗废水，生产废水中的主要污染物是SS和少量石油类，在施工过程中对生产</w:t>
      </w:r>
      <w:r>
        <w:rPr>
          <w:rFonts w:hint="eastAsia" w:ascii="Times New Roman" w:hAnsi="Times New Roman" w:eastAsia="宋体" w:cs="Times New Roman"/>
          <w:color w:val="000000" w:themeColor="text1"/>
          <w:sz w:val="24"/>
          <w:szCs w:val="24"/>
          <w:lang w:val="en-US" w:eastAsia="zh-CN"/>
        </w:rPr>
        <w:t>废</w:t>
      </w:r>
      <w:r>
        <w:rPr>
          <w:rFonts w:hint="default" w:ascii="Times New Roman" w:hAnsi="Times New Roman" w:eastAsia="宋体" w:cs="Times New Roman"/>
          <w:color w:val="000000" w:themeColor="text1"/>
          <w:sz w:val="24"/>
          <w:szCs w:val="24"/>
        </w:rPr>
        <w:t>水设临时</w:t>
      </w:r>
      <w:r>
        <w:rPr>
          <w:rFonts w:hint="eastAsia" w:ascii="Times New Roman" w:hAnsi="Times New Roman" w:eastAsia="宋体" w:cs="Times New Roman"/>
          <w:color w:val="000000" w:themeColor="text1"/>
          <w:sz w:val="24"/>
          <w:szCs w:val="24"/>
          <w:lang w:val="en-US" w:eastAsia="zh-CN"/>
        </w:rPr>
        <w:t>的隔油</w:t>
      </w:r>
      <w:r>
        <w:rPr>
          <w:rFonts w:hint="default" w:ascii="Times New Roman" w:hAnsi="Times New Roman" w:eastAsia="宋体" w:cs="Times New Roman"/>
          <w:color w:val="000000" w:themeColor="text1"/>
          <w:sz w:val="24"/>
          <w:szCs w:val="24"/>
          <w:lang w:eastAsia="zh-CN"/>
        </w:rPr>
        <w:t>沉淀池</w:t>
      </w:r>
      <w:r>
        <w:rPr>
          <w:rFonts w:hint="default" w:ascii="Times New Roman" w:hAnsi="Times New Roman" w:eastAsia="宋体" w:cs="Times New Roman"/>
          <w:color w:val="000000" w:themeColor="text1"/>
          <w:sz w:val="24"/>
          <w:szCs w:val="24"/>
        </w:rPr>
        <w:t>处理回用于</w:t>
      </w:r>
      <w:r>
        <w:rPr>
          <w:rFonts w:hint="default" w:ascii="Times New Roman" w:hAnsi="Times New Roman" w:eastAsia="宋体" w:cs="Times New Roman"/>
          <w:color w:val="000000" w:themeColor="text1"/>
          <w:sz w:val="24"/>
          <w:szCs w:val="24"/>
          <w:lang w:eastAsia="zh-CN"/>
        </w:rPr>
        <w:t>机械设备冲洗</w:t>
      </w:r>
      <w:r>
        <w:rPr>
          <w:rFonts w:hint="default" w:ascii="Times New Roman" w:hAnsi="Times New Roman" w:eastAsia="宋体" w:cs="Times New Roman"/>
          <w:color w:val="000000" w:themeColor="text1"/>
          <w:sz w:val="24"/>
          <w:szCs w:val="24"/>
        </w:rPr>
        <w:t>，不外排。类比其他同类型项目，本项目生产废水的产生量约为1m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工程</w:t>
      </w: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期15个月，施工高峰期施工人员预计可达到30人，依据</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陕西省行业用水定额（2020修订稿）</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陕西省水利厅</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和结合本项目实际情况</w:t>
      </w:r>
      <w:r>
        <w:rPr>
          <w:rFonts w:hint="default" w:ascii="Times New Roman" w:hAnsi="Times New Roman" w:eastAsia="宋体" w:cs="Times New Roman"/>
          <w:color w:val="000000" w:themeColor="text1"/>
          <w:sz w:val="24"/>
          <w:szCs w:val="24"/>
        </w:rPr>
        <w:t>，按每人每天</w:t>
      </w:r>
      <w:r>
        <w:rPr>
          <w:rFonts w:hint="default" w:ascii="Times New Roman" w:hAnsi="Times New Roman" w:eastAsia="宋体" w:cs="Times New Roman"/>
          <w:color w:val="000000" w:themeColor="text1"/>
          <w:sz w:val="24"/>
          <w:szCs w:val="24"/>
          <w:lang w:eastAsia="zh-CN"/>
        </w:rPr>
        <w:t>用水量</w:t>
      </w:r>
      <w:r>
        <w:rPr>
          <w:rFonts w:hint="default" w:ascii="Times New Roman" w:hAnsi="Times New Roman" w:eastAsia="宋体" w:cs="Times New Roman"/>
          <w:color w:val="000000" w:themeColor="text1"/>
          <w:sz w:val="24"/>
          <w:szCs w:val="24"/>
        </w:rPr>
        <w:t>30L/d计，</w:t>
      </w:r>
      <w:r>
        <w:rPr>
          <w:rFonts w:hint="default" w:ascii="Times New Roman" w:hAnsi="Times New Roman" w:eastAsia="宋体" w:cs="Times New Roman"/>
          <w:color w:val="000000" w:themeColor="text1"/>
          <w:sz w:val="24"/>
          <w:szCs w:val="24"/>
          <w:lang w:eastAsia="zh-CN"/>
        </w:rPr>
        <w:t>废水量按照</w:t>
      </w:r>
      <w:r>
        <w:rPr>
          <w:rFonts w:hint="default" w:ascii="Times New Roman" w:hAnsi="Times New Roman" w:eastAsia="宋体" w:cs="Times New Roman"/>
          <w:color w:val="000000" w:themeColor="text1"/>
          <w:sz w:val="24"/>
          <w:szCs w:val="24"/>
          <w:lang w:val="en-US" w:eastAsia="zh-CN"/>
        </w:rPr>
        <w:t>80%计算，</w:t>
      </w:r>
      <w:r>
        <w:rPr>
          <w:rFonts w:hint="default" w:ascii="Times New Roman" w:hAnsi="Times New Roman" w:eastAsia="宋体" w:cs="Times New Roman"/>
          <w:color w:val="000000" w:themeColor="text1"/>
          <w:sz w:val="24"/>
          <w:szCs w:val="24"/>
        </w:rPr>
        <w:t>则生活污水产生量为0.</w:t>
      </w:r>
      <w:r>
        <w:rPr>
          <w:rFonts w:hint="default" w:ascii="Times New Roman" w:hAnsi="Times New Roman" w:eastAsia="宋体" w:cs="Times New Roman"/>
          <w:color w:val="000000" w:themeColor="text1"/>
          <w:sz w:val="24"/>
          <w:szCs w:val="24"/>
          <w:lang w:val="en-US" w:eastAsia="zh-CN"/>
        </w:rPr>
        <w:t>72</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w:t>
      </w:r>
      <w:r>
        <w:rPr>
          <w:rFonts w:hint="eastAsia" w:ascii="Times New Roman" w:hAnsi="Times New Roman" w:eastAsia="宋体" w:cs="Times New Roman"/>
          <w:color w:val="000000" w:themeColor="text1"/>
          <w:sz w:val="24"/>
          <w:szCs w:val="24"/>
          <w:lang w:eastAsia="zh-CN"/>
        </w:rPr>
        <w:t>本项目施工期主要为</w:t>
      </w:r>
      <w:r>
        <w:rPr>
          <w:rFonts w:hint="eastAsia" w:ascii="Times New Roman" w:hAnsi="Times New Roman" w:eastAsia="宋体" w:cs="Times New Roman"/>
          <w:color w:val="000000" w:themeColor="text1"/>
          <w:sz w:val="24"/>
          <w:szCs w:val="24"/>
          <w:lang w:val="en-US" w:eastAsia="zh-CN"/>
        </w:rPr>
        <w:t>K2矿体，K2矿体新建化粪池一座，施工期新建的化粪池可在运营期继续使用，化粪池定期清掏肥田。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（3）矿坑涌水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一般情况下</w:t>
      </w:r>
      <w:r>
        <w:rPr>
          <w:rFonts w:hint="default" w:ascii="Times New Roman" w:hAnsi="Times New Roman" w:eastAsia="宋体" w:cs="Times New Roman"/>
          <w:color w:val="000000" w:themeColor="text1"/>
          <w:sz w:val="24"/>
          <w:szCs w:val="24"/>
        </w:rPr>
        <w:t>巷道施工时会产生矿坑涌水。</w:t>
      </w:r>
      <w:r>
        <w:rPr>
          <w:rFonts w:hint="eastAsia" w:ascii="Times New Roman" w:hAnsi="Times New Roman" w:eastAsia="宋体" w:cs="Times New Roman"/>
          <w:color w:val="000000" w:themeColor="text1"/>
          <w:sz w:val="24"/>
          <w:szCs w:val="24"/>
          <w:lang w:val="en-US" w:eastAsia="zh-CN"/>
        </w:rPr>
        <w:t>根据本</w:t>
      </w:r>
      <w:r>
        <w:rPr>
          <w:rFonts w:hint="default" w:ascii="Times New Roman" w:hAnsi="Times New Roman" w:eastAsia="宋体" w:cs="Times New Roman"/>
          <w:color w:val="000000" w:themeColor="text1"/>
          <w:sz w:val="24"/>
          <w:szCs w:val="24"/>
        </w:rPr>
        <w:t>项目开发利用方案，本项目矿坑涌水量极少甚至无涌水</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根据现有项目K1矿体实际运行情况可知，项目开采过程中，基本无矿坑涌水产生</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4"/>
          <w:szCs w:val="24"/>
          <w:lang w:val="en-US" w:eastAsia="zh-CN"/>
        </w:rPr>
        <w:t>根据最不利因素考虑，</w:t>
      </w:r>
      <w:r>
        <w:rPr>
          <w:rFonts w:hint="default" w:ascii="Times New Roman" w:hAnsi="Times New Roman" w:eastAsia="宋体" w:cs="Times New Roman"/>
          <w:color w:val="000000" w:themeColor="text1"/>
          <w:sz w:val="24"/>
          <w:szCs w:val="24"/>
        </w:rPr>
        <w:t>评价要求</w:t>
      </w:r>
      <w:r>
        <w:rPr>
          <w:rFonts w:hint="eastAsia" w:ascii="Times New Roman" w:hAnsi="Times New Roman" w:eastAsia="宋体" w:cs="Times New Roman"/>
          <w:color w:val="000000" w:themeColor="text1"/>
          <w:sz w:val="24"/>
          <w:szCs w:val="24"/>
          <w:lang w:val="en-US" w:eastAsia="zh-CN"/>
        </w:rPr>
        <w:t>K2</w:t>
      </w:r>
      <w:r>
        <w:rPr>
          <w:rFonts w:hint="default" w:ascii="Times New Roman" w:hAnsi="Times New Roman" w:eastAsia="宋体" w:cs="Times New Roman"/>
          <w:color w:val="000000" w:themeColor="text1"/>
          <w:sz w:val="24"/>
          <w:szCs w:val="24"/>
        </w:rPr>
        <w:t>主平硐沉淀池提前建设，用于处理基建施工时的</w:t>
      </w:r>
      <w:r>
        <w:rPr>
          <w:rFonts w:hint="eastAsia" w:ascii="Times New Roman" w:hAnsi="Times New Roman" w:eastAsia="宋体" w:cs="Times New Roman"/>
          <w:color w:val="000000" w:themeColor="text1"/>
          <w:sz w:val="24"/>
          <w:szCs w:val="24"/>
          <w:lang w:val="en-US" w:eastAsia="zh-CN"/>
        </w:rPr>
        <w:t>可能产生的</w:t>
      </w:r>
      <w:r>
        <w:rPr>
          <w:rFonts w:hint="default" w:ascii="Times New Roman" w:hAnsi="Times New Roman" w:eastAsia="宋体" w:cs="Times New Roman"/>
          <w:color w:val="000000" w:themeColor="text1"/>
          <w:sz w:val="24"/>
          <w:szCs w:val="24"/>
        </w:rPr>
        <w:t>矿坑涌水</w:t>
      </w:r>
      <w:r>
        <w:rPr>
          <w:rFonts w:hint="eastAsia" w:ascii="Times New Roman" w:hAnsi="Times New Roman" w:eastAsia="宋体" w:cs="Times New Roman"/>
          <w:color w:val="000000" w:themeColor="text1"/>
          <w:sz w:val="24"/>
          <w:szCs w:val="24"/>
          <w:lang w:val="en-US" w:eastAsia="zh-CN"/>
        </w:rPr>
        <w:t>和井下施工废水</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表3.3-</w:t>
      </w:r>
      <w:r>
        <w:rPr>
          <w:rFonts w:hint="eastAsia" w:ascii="Times New Roman" w:hAnsi="Times New Roman" w:eastAsia="宋体" w:cs="Times New Roman"/>
          <w:b/>
          <w:bCs/>
          <w:color w:val="000000" w:themeColor="text1"/>
          <w:sz w:val="21"/>
          <w:szCs w:val="21"/>
          <w:lang w:val="en-US" w:eastAsia="zh-CN"/>
        </w:rPr>
        <w:t xml:space="preserve">6 </w:t>
      </w:r>
      <w:r>
        <w:rPr>
          <w:rFonts w:hint="default"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施工</w:t>
      </w:r>
      <w:r>
        <w:rPr>
          <w:rFonts w:hint="default" w:ascii="Times New Roman" w:hAnsi="Times New Roman" w:eastAsia="宋体" w:cs="Times New Roman"/>
          <w:b/>
          <w:bCs/>
          <w:color w:val="000000" w:themeColor="text1"/>
          <w:sz w:val="21"/>
          <w:szCs w:val="21"/>
        </w:rPr>
        <w:t>期废水排放一览表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
        <w:gridCol w:w="721"/>
        <w:gridCol w:w="1116"/>
        <w:gridCol w:w="1082"/>
        <w:gridCol w:w="950"/>
        <w:gridCol w:w="1086"/>
        <w:gridCol w:w="1590"/>
        <w:gridCol w:w="1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928"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废水种类</w:t>
            </w:r>
          </w:p>
        </w:tc>
        <w:tc>
          <w:tcPr>
            <w:tcW w:w="721"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排放量</w:t>
            </w:r>
          </w:p>
        </w:tc>
        <w:tc>
          <w:tcPr>
            <w:tcW w:w="111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污染物种类</w:t>
            </w:r>
          </w:p>
        </w:tc>
        <w:tc>
          <w:tcPr>
            <w:tcW w:w="108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产生浓度（mg/L）</w:t>
            </w:r>
          </w:p>
        </w:tc>
        <w:tc>
          <w:tcPr>
            <w:tcW w:w="950"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环保措施</w:t>
            </w:r>
          </w:p>
        </w:tc>
        <w:tc>
          <w:tcPr>
            <w:tcW w:w="108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排放浓度（mg/L）</w:t>
            </w:r>
          </w:p>
        </w:tc>
        <w:tc>
          <w:tcPr>
            <w:tcW w:w="1590"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利用情况</w:t>
            </w:r>
          </w:p>
        </w:tc>
        <w:tc>
          <w:tcPr>
            <w:tcW w:w="1484"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928"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w:t>
            </w:r>
          </w:p>
        </w:tc>
        <w:tc>
          <w:tcPr>
            <w:tcW w:w="721"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/d</w:t>
            </w:r>
          </w:p>
        </w:tc>
        <w:tc>
          <w:tcPr>
            <w:tcW w:w="111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SS</w:t>
            </w:r>
          </w:p>
        </w:tc>
        <w:tc>
          <w:tcPr>
            <w:tcW w:w="108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950"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隔油沉淀池</w:t>
            </w:r>
          </w:p>
        </w:tc>
        <w:tc>
          <w:tcPr>
            <w:tcW w:w="108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590"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回用</w:t>
            </w:r>
          </w:p>
        </w:tc>
        <w:tc>
          <w:tcPr>
            <w:tcW w:w="1484"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928"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721"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11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石油类</w:t>
            </w:r>
          </w:p>
        </w:tc>
        <w:tc>
          <w:tcPr>
            <w:tcW w:w="108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950"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08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590"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484"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jc w:val="center"/>
        </w:trPr>
        <w:tc>
          <w:tcPr>
            <w:tcW w:w="928"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生活污水</w:t>
            </w:r>
          </w:p>
        </w:tc>
        <w:tc>
          <w:tcPr>
            <w:tcW w:w="721"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r>
              <w:rPr>
                <w:rFonts w:hint="eastAsia" w:ascii="Times New Roman" w:hAnsi="Times New Roman" w:eastAsia="宋体" w:cs="Times New Roman"/>
                <w:color w:val="000000" w:themeColor="text1"/>
                <w:sz w:val="21"/>
                <w:szCs w:val="21"/>
                <w:lang w:val="en-US" w:eastAsia="zh-CN"/>
              </w:rPr>
              <w:t>72</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/d</w:t>
            </w:r>
          </w:p>
        </w:tc>
        <w:tc>
          <w:tcPr>
            <w:tcW w:w="111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COD、BOD</w:t>
            </w:r>
            <w:r>
              <w:rPr>
                <w:rFonts w:hint="eastAsia" w:ascii="Times New Roman" w:hAnsi="Times New Roman" w:eastAsia="宋体" w:cs="Times New Roman"/>
                <w:color w:val="000000" w:themeColor="text1"/>
                <w:sz w:val="21"/>
                <w:szCs w:val="21"/>
                <w:vertAlign w:val="subscript"/>
                <w:lang w:val="en-US" w:eastAsia="zh-CN"/>
              </w:rPr>
              <w:t>5</w:t>
            </w:r>
            <w:r>
              <w:rPr>
                <w:rFonts w:hint="eastAsia" w:ascii="Times New Roman" w:hAnsi="Times New Roman" w:eastAsia="宋体" w:cs="Times New Roman"/>
                <w:color w:val="000000" w:themeColor="text1"/>
                <w:sz w:val="21"/>
                <w:szCs w:val="21"/>
                <w:lang w:val="en-US" w:eastAsia="zh-CN"/>
              </w:rPr>
              <w:t>、氨氮、SS、石油类等</w:t>
            </w:r>
          </w:p>
        </w:tc>
        <w:tc>
          <w:tcPr>
            <w:tcW w:w="108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950"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化粪池</w:t>
            </w:r>
          </w:p>
        </w:tc>
        <w:tc>
          <w:tcPr>
            <w:tcW w:w="108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590"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定期清掏，用于肥田</w:t>
            </w:r>
          </w:p>
        </w:tc>
        <w:tc>
          <w:tcPr>
            <w:tcW w:w="1484"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81" w:hRule="atLeast"/>
          <w:jc w:val="center"/>
        </w:trPr>
        <w:tc>
          <w:tcPr>
            <w:tcW w:w="928"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K2矿体施工期</w:t>
            </w:r>
            <w:r>
              <w:rPr>
                <w:rFonts w:hint="default" w:ascii="Times New Roman" w:hAnsi="Times New Roman" w:eastAsia="宋体" w:cs="Times New Roman"/>
                <w:color w:val="000000" w:themeColor="text1"/>
                <w:sz w:val="21"/>
                <w:szCs w:val="21"/>
              </w:rPr>
              <w:t>矿坑涌水</w:t>
            </w:r>
          </w:p>
        </w:tc>
        <w:tc>
          <w:tcPr>
            <w:tcW w:w="721"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少量</w:t>
            </w:r>
          </w:p>
        </w:tc>
        <w:tc>
          <w:tcPr>
            <w:tcW w:w="111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SS</w:t>
            </w:r>
          </w:p>
        </w:tc>
        <w:tc>
          <w:tcPr>
            <w:tcW w:w="108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50</w:t>
            </w:r>
          </w:p>
        </w:tc>
        <w:tc>
          <w:tcPr>
            <w:tcW w:w="950"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沉淀池</w:t>
            </w:r>
          </w:p>
        </w:tc>
        <w:tc>
          <w:tcPr>
            <w:tcW w:w="108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590"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防尘洒水</w:t>
            </w:r>
          </w:p>
        </w:tc>
        <w:tc>
          <w:tcPr>
            <w:tcW w:w="1484"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根据本项目开发利用方案</w:t>
            </w:r>
            <w:r>
              <w:rPr>
                <w:rFonts w:hint="eastAsia" w:ascii="Times New Roman" w:hAnsi="Times New Roman" w:eastAsia="宋体" w:cs="Times New Roman"/>
                <w:color w:val="000000" w:themeColor="text1"/>
                <w:sz w:val="21"/>
                <w:szCs w:val="21"/>
                <w:lang w:val="en-US" w:eastAsia="zh-CN"/>
              </w:rPr>
              <w:t>和K1矿体实际运行可知</w:t>
            </w:r>
            <w:r>
              <w:rPr>
                <w:rFonts w:hint="default" w:ascii="Times New Roman" w:hAnsi="Times New Roman" w:eastAsia="宋体" w:cs="Times New Roman"/>
                <w:color w:val="000000" w:themeColor="text1"/>
                <w:sz w:val="21"/>
                <w:szCs w:val="21"/>
              </w:rPr>
              <w:t>，本项目矿坑涌水量极少甚至无涌水。</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lang w:val="en-US" w:eastAsia="zh-CN"/>
        </w:rPr>
        <w:t>4.</w:t>
      </w:r>
      <w:r>
        <w:rPr>
          <w:rFonts w:hint="default" w:ascii="Times New Roman" w:hAnsi="Times New Roman" w:eastAsia="宋体" w:cs="Times New Roman"/>
          <w:b/>
          <w:bCs/>
          <w:color w:val="000000" w:themeColor="text1"/>
          <w:sz w:val="24"/>
          <w:szCs w:val="24"/>
          <w:lang w:val="en-US" w:eastAsia="zh-CN"/>
        </w:rPr>
        <w:t>施工</w:t>
      </w:r>
      <w:r>
        <w:rPr>
          <w:rFonts w:hint="default" w:ascii="Times New Roman" w:hAnsi="Times New Roman" w:eastAsia="宋体" w:cs="Times New Roman"/>
          <w:b/>
          <w:bCs/>
          <w:color w:val="000000" w:themeColor="text1"/>
          <w:sz w:val="24"/>
          <w:szCs w:val="24"/>
        </w:rPr>
        <w:t>期固体废物</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（1）废石</w:t>
      </w:r>
    </w:p>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K</w:t>
      </w:r>
      <w:r>
        <w:rPr>
          <w:rFonts w:hint="eastAsia"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矿体</w:t>
      </w:r>
      <w:r>
        <w:rPr>
          <w:rFonts w:hint="eastAsia" w:ascii="Times New Roman" w:hAnsi="Times New Roman" w:eastAsia="宋体" w:cs="Times New Roman"/>
          <w:color w:val="000000" w:themeColor="text1"/>
          <w:sz w:val="24"/>
          <w:szCs w:val="24"/>
          <w:lang w:val="en-US" w:eastAsia="zh-CN"/>
        </w:rPr>
        <w:t>掘进废石和生产废石</w:t>
      </w:r>
      <w:r>
        <w:rPr>
          <w:rFonts w:hint="default" w:ascii="Times New Roman" w:hAnsi="Times New Roman" w:eastAsia="宋体" w:cs="Times New Roman"/>
          <w:color w:val="000000" w:themeColor="text1"/>
          <w:sz w:val="24"/>
          <w:szCs w:val="24"/>
        </w:rPr>
        <w:t>总量约为</w:t>
      </w:r>
      <w:r>
        <w:rPr>
          <w:rFonts w:hint="eastAsia" w:ascii="Times New Roman" w:hAnsi="Times New Roman" w:eastAsia="宋体" w:cs="Times New Roman"/>
          <w:color w:val="000000" w:themeColor="text1"/>
          <w:sz w:val="24"/>
          <w:szCs w:val="24"/>
          <w:lang w:val="en-US" w:eastAsia="zh-CN"/>
        </w:rPr>
        <w:t>0.8</w:t>
      </w:r>
      <w:r>
        <w:rPr>
          <w:rFonts w:hint="default" w:ascii="Times New Roman" w:hAnsi="Times New Roman" w:eastAsia="宋体" w:cs="Times New Roman"/>
          <w:color w:val="000000" w:themeColor="text1"/>
          <w:sz w:val="24"/>
          <w:szCs w:val="24"/>
        </w:rPr>
        <w:t>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vertAlign w:val="baseline"/>
          <w:lang w:eastAsia="zh-CN"/>
        </w:rPr>
        <w:t>，</w:t>
      </w:r>
      <w:r>
        <w:rPr>
          <w:rFonts w:hint="default" w:ascii="Times New Roman" w:hAnsi="Times New Roman" w:eastAsia="宋体" w:cs="Times New Roman"/>
          <w:color w:val="000000" w:themeColor="text1"/>
          <w:sz w:val="24"/>
          <w:szCs w:val="24"/>
        </w:rPr>
        <w:t>K2矿体</w:t>
      </w:r>
      <w:r>
        <w:rPr>
          <w:rFonts w:hint="eastAsia" w:ascii="Times New Roman" w:hAnsi="Times New Roman" w:eastAsia="宋体" w:cs="Times New Roman"/>
          <w:color w:val="000000" w:themeColor="text1"/>
          <w:sz w:val="24"/>
          <w:szCs w:val="24"/>
          <w:lang w:val="en-US" w:eastAsia="zh-CN"/>
        </w:rPr>
        <w:t>掘进废石和生产废石</w:t>
      </w:r>
      <w:r>
        <w:rPr>
          <w:rFonts w:hint="default" w:ascii="Times New Roman" w:hAnsi="Times New Roman" w:eastAsia="宋体" w:cs="Times New Roman"/>
          <w:color w:val="000000" w:themeColor="text1"/>
          <w:sz w:val="24"/>
          <w:szCs w:val="24"/>
        </w:rPr>
        <w:t>总量约为0.6万m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vertAlign w:val="baseline"/>
          <w:lang w:eastAsia="zh-CN"/>
        </w:rPr>
        <w:t>，废石总量为</w:t>
      </w:r>
      <w:r>
        <w:rPr>
          <w:rFonts w:hint="eastAsia" w:ascii="Times New Roman" w:hAnsi="Times New Roman" w:eastAsia="宋体" w:cs="Times New Roman"/>
          <w:color w:val="000000" w:themeColor="text1"/>
          <w:sz w:val="24"/>
          <w:szCs w:val="24"/>
          <w:vertAlign w:val="baseline"/>
          <w:lang w:val="en-US" w:eastAsia="zh-CN"/>
        </w:rPr>
        <w:t>1.4</w:t>
      </w:r>
      <w:r>
        <w:rPr>
          <w:rFonts w:hint="default" w:ascii="Times New Roman" w:hAnsi="Times New Roman" w:eastAsia="宋体" w:cs="Times New Roman"/>
          <w:color w:val="000000" w:themeColor="text1"/>
          <w:sz w:val="24"/>
          <w:szCs w:val="24"/>
        </w:rPr>
        <w:t>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vertAlign w:val="baseline"/>
          <w:lang w:eastAsia="zh-CN"/>
        </w:rPr>
        <w:t>，现有工程目前已开采废石</w:t>
      </w:r>
      <w:r>
        <w:rPr>
          <w:rFonts w:hint="eastAsia" w:ascii="Times New Roman" w:hAnsi="Times New Roman" w:eastAsia="宋体" w:cs="Times New Roman"/>
          <w:color w:val="000000" w:themeColor="text1"/>
          <w:sz w:val="24"/>
          <w:szCs w:val="24"/>
          <w:vertAlign w:val="baseline"/>
          <w:lang w:val="en-US" w:eastAsia="zh-CN"/>
        </w:rPr>
        <w:t>0.3</w:t>
      </w:r>
      <w:r>
        <w:rPr>
          <w:rFonts w:hint="default" w:ascii="Times New Roman" w:hAnsi="Times New Roman" w:eastAsia="宋体" w:cs="Times New Roman"/>
          <w:color w:val="000000" w:themeColor="text1"/>
          <w:sz w:val="24"/>
          <w:szCs w:val="24"/>
        </w:rPr>
        <w:t>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vertAlign w:val="baseline"/>
          <w:lang w:eastAsia="zh-CN"/>
        </w:rPr>
        <w:t>，剩余废石总量</w:t>
      </w:r>
      <w:r>
        <w:rPr>
          <w:rFonts w:hint="eastAsia" w:ascii="Times New Roman" w:hAnsi="Times New Roman" w:eastAsia="宋体" w:cs="Times New Roman"/>
          <w:color w:val="000000" w:themeColor="text1"/>
          <w:sz w:val="24"/>
          <w:szCs w:val="24"/>
          <w:vertAlign w:val="baseline"/>
          <w:lang w:val="en-US" w:eastAsia="zh-CN"/>
        </w:rPr>
        <w:t>1.1</w:t>
      </w:r>
      <w:r>
        <w:rPr>
          <w:rFonts w:hint="default" w:ascii="Times New Roman" w:hAnsi="Times New Roman" w:eastAsia="宋体" w:cs="Times New Roman"/>
          <w:color w:val="000000" w:themeColor="text1"/>
          <w:sz w:val="24"/>
          <w:szCs w:val="24"/>
        </w:rPr>
        <w:t>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vertAlign w:val="baseline"/>
          <w:lang w:eastAsia="zh-CN"/>
        </w:rPr>
        <w:t>，</w:t>
      </w:r>
      <w:r>
        <w:rPr>
          <w:rFonts w:hint="eastAsia" w:ascii="Times New Roman" w:hAnsi="Times New Roman" w:eastAsia="宋体" w:cs="Times New Roman"/>
          <w:color w:val="000000" w:themeColor="text1"/>
          <w:sz w:val="24"/>
          <w:szCs w:val="24"/>
          <w:lang w:val="en-US" w:eastAsia="zh-CN"/>
        </w:rPr>
        <w:t>施工期产生的掘进废石除修筑道路和场区基建废石外，其余废石全部用作矿井回填</w:t>
      </w:r>
      <w:r>
        <w:rPr>
          <w:rFonts w:hint="default" w:ascii="Times New Roman" w:hAnsi="Times New Roman" w:eastAsia="宋体" w:cs="Times New Roman"/>
          <w:color w:val="000000" w:themeColor="text1"/>
          <w:sz w:val="24"/>
          <w:szCs w:val="24"/>
        </w:rPr>
        <w:t>。</w:t>
      </w:r>
    </w:p>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K1矿体施工期废石产生总量约0.2</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w:t>
      </w:r>
      <w:r>
        <w:rPr>
          <w:rFonts w:hint="eastAsia" w:ascii="Times New Roman" w:hAnsi="Times New Roman" w:eastAsia="宋体" w:cs="Times New Roman"/>
          <w:color w:val="FF0000"/>
          <w:sz w:val="24"/>
          <w:szCs w:val="24"/>
          <w:vertAlign w:val="baseline"/>
          <w:lang w:val="en-US" w:eastAsia="zh-CN"/>
        </w:rPr>
        <w:t>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用于</w:t>
      </w:r>
      <w:r>
        <w:rPr>
          <w:rFonts w:hint="eastAsia" w:ascii="Times New Roman" w:hAnsi="Times New Roman" w:eastAsia="宋体" w:cs="Times New Roman"/>
          <w:color w:val="FF0000"/>
          <w:sz w:val="24"/>
          <w:szCs w:val="24"/>
          <w:vertAlign w:val="baseline"/>
          <w:lang w:val="en-US" w:eastAsia="zh-CN"/>
        </w:rPr>
        <w:t>K1矿体基建，剩余0.1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堆放在废石场。</w:t>
      </w:r>
      <w:r>
        <w:rPr>
          <w:rFonts w:hint="eastAsia" w:ascii="Times New Roman" w:hAnsi="Times New Roman" w:eastAsia="宋体" w:cs="Times New Roman"/>
          <w:color w:val="FF0000"/>
          <w:sz w:val="24"/>
          <w:szCs w:val="24"/>
          <w:vertAlign w:val="baseline"/>
          <w:lang w:val="en-US" w:eastAsia="zh-CN"/>
        </w:rPr>
        <w:t>K1矿体现有工程运营期产生的</w:t>
      </w:r>
      <w:r>
        <w:rPr>
          <w:rFonts w:hint="eastAsia" w:ascii="Times New Roman" w:hAnsi="Times New Roman" w:eastAsia="宋体" w:cs="Times New Roman"/>
          <w:color w:val="FF0000"/>
          <w:sz w:val="24"/>
          <w:szCs w:val="24"/>
          <w:lang w:val="en-US" w:eastAsia="zh-CN"/>
        </w:rPr>
        <w:t>废石产生总量约0.1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，全部堆放在废石场。</w:t>
      </w:r>
      <w:r>
        <w:rPr>
          <w:rFonts w:hint="eastAsia" w:ascii="Times New Roman" w:hAnsi="Times New Roman" w:eastAsia="宋体" w:cs="Times New Roman"/>
          <w:color w:val="FF0000"/>
          <w:sz w:val="24"/>
          <w:szCs w:val="24"/>
          <w:vertAlign w:val="baseline"/>
          <w:lang w:val="en-US" w:eastAsia="zh-CN"/>
        </w:rPr>
        <w:t>K1矿体扩建后产生的废石用于探矿平硐的填充和开采完平硐的井下填充，不再向废石场排放废石。</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rPr>
      </w:pPr>
      <w:r>
        <w:rPr>
          <w:rFonts w:hint="eastAsia" w:ascii="Times New Roman" w:hAnsi="Times New Roman" w:eastAsia="宋体" w:cs="Times New Roman"/>
          <w:color w:val="FF0000"/>
          <w:sz w:val="24"/>
          <w:szCs w:val="24"/>
          <w:lang w:val="en-US" w:eastAsia="zh-CN"/>
        </w:rPr>
        <w:t>K2矿体施工期废石产生总量约0.2</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w:t>
      </w:r>
      <w:r>
        <w:rPr>
          <w:rFonts w:hint="eastAsia" w:ascii="Times New Roman" w:hAnsi="Times New Roman" w:eastAsia="宋体" w:cs="Times New Roman"/>
          <w:color w:val="FF0000"/>
          <w:sz w:val="24"/>
          <w:szCs w:val="24"/>
          <w:vertAlign w:val="baseline"/>
          <w:lang w:val="en-US" w:eastAsia="zh-CN"/>
        </w:rPr>
        <w:t>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用于</w:t>
      </w:r>
      <w:r>
        <w:rPr>
          <w:rFonts w:hint="eastAsia" w:ascii="Times New Roman" w:hAnsi="Times New Roman" w:eastAsia="宋体" w:cs="Times New Roman"/>
          <w:color w:val="FF0000"/>
          <w:sz w:val="24"/>
          <w:szCs w:val="24"/>
          <w:vertAlign w:val="baseline"/>
          <w:lang w:val="en-US" w:eastAsia="zh-CN"/>
        </w:rPr>
        <w:t>K1矿体基建，剩余0.1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临时堆放在</w:t>
      </w:r>
      <w:r>
        <w:rPr>
          <w:rFonts w:hint="eastAsia" w:ascii="Times New Roman" w:hAnsi="Times New Roman" w:eastAsia="宋体" w:cs="Times New Roman"/>
          <w:color w:val="FF0000"/>
          <w:sz w:val="24"/>
          <w:szCs w:val="24"/>
          <w:vertAlign w:val="baseline"/>
          <w:lang w:val="en-US" w:eastAsia="zh-CN"/>
        </w:rPr>
        <w:t>工业场地的临时堆场，后期用于井下回填</w:t>
      </w:r>
      <w:r>
        <w:rPr>
          <w:rFonts w:hint="eastAsia" w:ascii="Times New Roman" w:hAnsi="Times New Roman" w:eastAsia="宋体" w:cs="Times New Roman"/>
          <w:color w:val="FF0000"/>
          <w:sz w:val="24"/>
          <w:szCs w:val="24"/>
          <w:vertAlign w:val="baseline"/>
          <w:lang w:eastAsia="zh-CN"/>
        </w:rPr>
        <w:t>。运营期产生的废石全部堆放在各硐口</w:t>
      </w:r>
      <w:r>
        <w:rPr>
          <w:rFonts w:hint="eastAsia" w:ascii="Times New Roman" w:hAnsi="Times New Roman" w:eastAsia="宋体" w:cs="Times New Roman"/>
          <w:color w:val="FF0000"/>
          <w:sz w:val="24"/>
          <w:szCs w:val="24"/>
          <w:vertAlign w:val="baseline"/>
          <w:lang w:val="en-US" w:eastAsia="zh-CN"/>
        </w:rPr>
        <w:t>工业场地的临时堆场，后期用于井下回填，K2矿体不再新建废石场。</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（2）生活垃圾</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高峰期，施工人员约为30人，平均每人生活垃圾产生量约为</w:t>
      </w:r>
      <w:r>
        <w:rPr>
          <w:rFonts w:hint="default" w:ascii="Times New Roman" w:hAnsi="Times New Roman" w:eastAsia="宋体" w:cs="Times New Roman"/>
          <w:color w:val="000000" w:themeColor="text1"/>
          <w:sz w:val="24"/>
          <w:szCs w:val="24"/>
          <w:lang w:val="en-US" w:eastAsia="zh-CN"/>
        </w:rPr>
        <w:t>0.5</w:t>
      </w:r>
      <w:r>
        <w:rPr>
          <w:rFonts w:hint="default" w:ascii="Times New Roman" w:hAnsi="Times New Roman" w:eastAsia="宋体" w:cs="Times New Roman"/>
          <w:color w:val="000000" w:themeColor="text1"/>
          <w:sz w:val="24"/>
          <w:szCs w:val="24"/>
        </w:rPr>
        <w:t>kg/d，生活垃圾产生量约</w:t>
      </w:r>
      <w:r>
        <w:rPr>
          <w:rFonts w:hint="default" w:ascii="Times New Roman" w:hAnsi="Times New Roman" w:eastAsia="宋体" w:cs="Times New Roman"/>
          <w:color w:val="000000" w:themeColor="text1"/>
          <w:sz w:val="24"/>
          <w:szCs w:val="24"/>
          <w:lang w:val="en-US" w:eastAsia="zh-CN"/>
        </w:rPr>
        <w:t>15</w:t>
      </w:r>
      <w:r>
        <w:rPr>
          <w:rFonts w:hint="default" w:ascii="Times New Roman" w:hAnsi="Times New Roman" w:eastAsia="宋体" w:cs="Times New Roman"/>
          <w:color w:val="000000" w:themeColor="text1"/>
          <w:sz w:val="24"/>
          <w:szCs w:val="24"/>
        </w:rPr>
        <w:t>kg/d。生活垃圾由施工队设置生活垃圾</w:t>
      </w:r>
      <w:r>
        <w:rPr>
          <w:rFonts w:hint="default" w:ascii="Times New Roman" w:hAnsi="Times New Roman" w:eastAsia="宋体" w:cs="Times New Roman"/>
          <w:color w:val="000000" w:themeColor="text1"/>
          <w:sz w:val="24"/>
          <w:szCs w:val="24"/>
          <w:lang w:eastAsia="zh-CN"/>
        </w:rPr>
        <w:t>桶</w:t>
      </w:r>
      <w:r>
        <w:rPr>
          <w:rFonts w:hint="default" w:ascii="Times New Roman" w:hAnsi="Times New Roman" w:eastAsia="宋体" w:cs="Times New Roman"/>
          <w:color w:val="000000" w:themeColor="text1"/>
          <w:sz w:val="24"/>
          <w:szCs w:val="24"/>
        </w:rPr>
        <w:t>，统一收集后按当地环卫部门要求定期运往指定地点合理处置。</w:t>
      </w:r>
    </w:p>
    <w:p>
      <w:pPr>
        <w:keepNext/>
        <w:keepLines/>
        <w:pageBreakBefore w:val="0"/>
        <w:widowControl w:val="0"/>
        <w:numPr>
          <w:ilvl w:val="0"/>
          <w:numId w:val="12"/>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建筑垃圾</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rPr>
      </w:pPr>
      <w:r>
        <w:rPr>
          <w:rFonts w:hint="default" w:ascii="Times New Roman" w:hAnsi="Times New Roman" w:eastAsia="宋体" w:cs="Times New Roman"/>
          <w:color w:val="000000" w:themeColor="text1"/>
          <w:sz w:val="24"/>
          <w:szCs w:val="24"/>
        </w:rPr>
        <w:t>建筑垃圾主要包括施工过程地基处理和建材损耗、装修阶段产生的少量</w:t>
      </w:r>
      <w:r>
        <w:rPr>
          <w:rFonts w:hint="default" w:ascii="Times New Roman" w:hAnsi="Times New Roman" w:eastAsia="宋体" w:cs="Times New Roman"/>
          <w:color w:val="000000" w:themeColor="text1"/>
          <w:sz w:val="24"/>
          <w:szCs w:val="24"/>
          <w:lang w:eastAsia="zh-CN"/>
        </w:rPr>
        <w:t>废</w:t>
      </w:r>
      <w:r>
        <w:rPr>
          <w:rFonts w:hint="default" w:ascii="Times New Roman" w:hAnsi="Times New Roman" w:eastAsia="宋体" w:cs="Times New Roman"/>
          <w:color w:val="000000" w:themeColor="text1"/>
          <w:sz w:val="24"/>
          <w:szCs w:val="24"/>
        </w:rPr>
        <w:t>砂土石块、水泥、碎木料屑等；建筑垃圾产生总量约为0.08万m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vertAlign w:val="baseline"/>
          <w:lang w:eastAsia="zh-CN"/>
        </w:rPr>
        <w:t>，</w:t>
      </w:r>
      <w:r>
        <w:rPr>
          <w:rFonts w:hint="eastAsia" w:ascii="Times New Roman" w:hAnsi="Times New Roman" w:eastAsia="宋体" w:cs="Times New Roman"/>
          <w:color w:val="000000" w:themeColor="text1"/>
          <w:sz w:val="24"/>
          <w:szCs w:val="24"/>
          <w:vertAlign w:val="baseline"/>
          <w:lang w:val="en-US" w:eastAsia="zh-CN"/>
        </w:rPr>
        <w:t>建筑垃圾产生量较少，全部作为填料修筑道路，不外排。</w:t>
      </w:r>
    </w:p>
    <w:p>
      <w:pPr>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土石方</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1）K1矿体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本项目K1矿体施工期需要对安全措施的六大系统进行修建，对进场道路进行维修等，工程量较少，工程土石方开挖总量约0.1万m</w:t>
      </w:r>
      <w:r>
        <w:rPr>
          <w:rFonts w:hint="eastAsia" w:ascii="Times New Roman" w:hAnsi="Times New Roman" w:eastAsia="宋体" w:cs="Times New Roman"/>
          <w:b w:val="0"/>
          <w:bCs w:val="0"/>
          <w:color w:val="FF0000"/>
          <w:sz w:val="24"/>
          <w:szCs w:val="24"/>
          <w:vertAlign w:val="superscript"/>
          <w:lang w:val="en-US" w:eastAsia="zh-CN"/>
        </w:rPr>
        <w:t>3</w:t>
      </w:r>
      <w:r>
        <w:rPr>
          <w:rFonts w:hint="eastAsia" w:ascii="Times New Roman" w:hAnsi="Times New Roman" w:eastAsia="宋体" w:cs="Times New Roman"/>
          <w:b w:val="0"/>
          <w:bCs w:val="0"/>
          <w:color w:val="FF0000"/>
          <w:sz w:val="24"/>
          <w:szCs w:val="24"/>
          <w:lang w:val="en-US" w:eastAsia="zh-CN"/>
        </w:rPr>
        <w:t>，回填总量约为0.1万m</w:t>
      </w:r>
      <w:r>
        <w:rPr>
          <w:rFonts w:hint="eastAsia" w:ascii="Times New Roman" w:hAnsi="Times New Roman" w:eastAsia="宋体" w:cs="Times New Roman"/>
          <w:b w:val="0"/>
          <w:bCs w:val="0"/>
          <w:color w:val="FF0000"/>
          <w:sz w:val="24"/>
          <w:szCs w:val="24"/>
          <w:vertAlign w:val="superscript"/>
          <w:lang w:val="en-US" w:eastAsia="zh-CN"/>
        </w:rPr>
        <w:t>3</w:t>
      </w:r>
      <w:r>
        <w:rPr>
          <w:rFonts w:hint="eastAsia" w:ascii="Times New Roman" w:hAnsi="Times New Roman" w:eastAsia="宋体" w:cs="Times New Roman"/>
          <w:b w:val="0"/>
          <w:bCs w:val="0"/>
          <w:color w:val="FF0000"/>
          <w:sz w:val="24"/>
          <w:szCs w:val="24"/>
          <w:lang w:val="en-US" w:eastAsia="zh-CN"/>
        </w:rPr>
        <w:t>，不剩余土方。</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ind w:leftChars="0"/>
        <w:jc w:val="center"/>
        <w:textAlignment w:val="auto"/>
        <w:outlineLvl w:val="1"/>
        <w:rPr>
          <w:rFonts w:hint="eastAsia"/>
          <w:b/>
          <w:bCs/>
          <w:color w:val="FF0000"/>
          <w:sz w:val="21"/>
          <w:szCs w:val="21"/>
          <w:vertAlign w:val="baseline"/>
          <w:lang w:val="en-US" w:eastAsia="zh-CN"/>
        </w:rPr>
      </w:pPr>
      <w:r>
        <w:rPr>
          <w:rFonts w:hint="eastAsia" w:cs="Times New Roman"/>
          <w:b/>
          <w:bCs/>
          <w:color w:val="FF0000"/>
          <w:sz w:val="21"/>
          <w:szCs w:val="21"/>
          <w:lang w:val="en-US" w:eastAsia="zh-CN"/>
        </w:rPr>
        <w:t>表3.2-7  K1矿体施工期土石方平衡表  单位：</w:t>
      </w:r>
      <w:r>
        <w:rPr>
          <w:rFonts w:hint="eastAsia" w:ascii="Times New Roman" w:hAnsi="Times New Roman" w:eastAsia="宋体" w:cs="Times New Roman"/>
          <w:b/>
          <w:bCs/>
          <w:color w:val="FF0000"/>
          <w:sz w:val="21"/>
          <w:szCs w:val="21"/>
          <w:lang w:val="en-US" w:eastAsia="zh-CN"/>
        </w:rPr>
        <w:t>万m</w:t>
      </w:r>
      <w:r>
        <w:rPr>
          <w:rFonts w:hint="eastAsia" w:ascii="Times New Roman" w:hAnsi="Times New Roman" w:eastAsia="宋体" w:cs="Times New Roman"/>
          <w:b/>
          <w:bCs/>
          <w:color w:val="FF0000"/>
          <w:sz w:val="21"/>
          <w:szCs w:val="21"/>
          <w:vertAlign w:val="superscript"/>
          <w:lang w:val="en-US" w:eastAsia="zh-CN"/>
        </w:rPr>
        <w:t>3</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492"/>
        <w:gridCol w:w="1493"/>
        <w:gridCol w:w="1493"/>
        <w:gridCol w:w="1492"/>
        <w:gridCol w:w="1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93"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矿体</w:t>
            </w:r>
          </w:p>
        </w:tc>
        <w:tc>
          <w:tcPr>
            <w:tcW w:w="1492"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项目</w:t>
            </w:r>
          </w:p>
        </w:tc>
        <w:tc>
          <w:tcPr>
            <w:tcW w:w="1493"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挖方</w:t>
            </w:r>
          </w:p>
        </w:tc>
        <w:tc>
          <w:tcPr>
            <w:tcW w:w="1493"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填方</w:t>
            </w:r>
          </w:p>
        </w:tc>
        <w:tc>
          <w:tcPr>
            <w:tcW w:w="1492"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余方</w:t>
            </w:r>
          </w:p>
        </w:tc>
        <w:tc>
          <w:tcPr>
            <w:tcW w:w="1494"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余方去向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3"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K1</w:t>
            </w:r>
          </w:p>
        </w:tc>
        <w:tc>
          <w:tcPr>
            <w:tcW w:w="1492"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土方</w:t>
            </w:r>
          </w:p>
        </w:tc>
        <w:tc>
          <w:tcPr>
            <w:tcW w:w="1493"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0.1</w:t>
            </w:r>
          </w:p>
        </w:tc>
        <w:tc>
          <w:tcPr>
            <w:tcW w:w="1493"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0.1</w:t>
            </w:r>
          </w:p>
        </w:tc>
        <w:tc>
          <w:tcPr>
            <w:tcW w:w="1492"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0</w:t>
            </w:r>
          </w:p>
        </w:tc>
        <w:tc>
          <w:tcPr>
            <w:tcW w:w="1494"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w:t>
            </w:r>
          </w:p>
        </w:tc>
      </w:tr>
    </w:tbl>
    <w:p>
      <w:pPr>
        <w:pageBreakBefore w:val="0"/>
        <w:widowControl w:val="0"/>
        <w:numPr>
          <w:ilvl w:val="0"/>
          <w:numId w:val="13"/>
        </w:numPr>
        <w:kinsoku/>
        <w:wordWrap/>
        <w:overflowPunct/>
        <w:topLinePunct w:val="0"/>
        <w:autoSpaceDE/>
        <w:autoSpaceDN/>
        <w:bidi w:val="0"/>
        <w:adjustRightInd w:val="0"/>
        <w:snapToGrid w:val="0"/>
        <w:spacing w:line="360" w:lineRule="auto"/>
        <w:ind w:left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K2矿体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本项目K2矿体基建期的主要活动有工业场地、进场道路、安全措施的六大系统等，工程量相对较多，工程土石方开挖总量约1万m</w:t>
      </w:r>
      <w:r>
        <w:rPr>
          <w:rFonts w:hint="eastAsia" w:ascii="Times New Roman" w:hAnsi="Times New Roman" w:eastAsia="宋体" w:cs="Times New Roman"/>
          <w:b w:val="0"/>
          <w:bCs w:val="0"/>
          <w:color w:val="FF0000"/>
          <w:sz w:val="24"/>
          <w:szCs w:val="24"/>
          <w:vertAlign w:val="superscript"/>
          <w:lang w:val="en-US" w:eastAsia="zh-CN"/>
        </w:rPr>
        <w:t>3</w:t>
      </w:r>
      <w:r>
        <w:rPr>
          <w:rFonts w:hint="eastAsia" w:ascii="Times New Roman" w:hAnsi="Times New Roman" w:eastAsia="宋体" w:cs="Times New Roman"/>
          <w:b w:val="0"/>
          <w:bCs w:val="0"/>
          <w:color w:val="FF0000"/>
          <w:sz w:val="24"/>
          <w:szCs w:val="24"/>
          <w:lang w:val="en-US" w:eastAsia="zh-CN"/>
        </w:rPr>
        <w:t>，回填总量约为0.8万m</w:t>
      </w:r>
      <w:r>
        <w:rPr>
          <w:rFonts w:hint="eastAsia" w:ascii="Times New Roman" w:hAnsi="Times New Roman" w:eastAsia="宋体" w:cs="Times New Roman"/>
          <w:b w:val="0"/>
          <w:bCs w:val="0"/>
          <w:color w:val="FF0000"/>
          <w:sz w:val="24"/>
          <w:szCs w:val="24"/>
          <w:vertAlign w:val="superscript"/>
          <w:lang w:val="en-US" w:eastAsia="zh-CN"/>
        </w:rPr>
        <w:t>3</w:t>
      </w:r>
      <w:r>
        <w:rPr>
          <w:rFonts w:hint="eastAsia" w:ascii="Times New Roman" w:hAnsi="Times New Roman" w:eastAsia="宋体" w:cs="Times New Roman"/>
          <w:b w:val="0"/>
          <w:bCs w:val="0"/>
          <w:color w:val="FF0000"/>
          <w:sz w:val="24"/>
          <w:szCs w:val="24"/>
          <w:lang w:val="en-US" w:eastAsia="zh-CN"/>
        </w:rPr>
        <w:t>，剩余0.2万m</w:t>
      </w:r>
      <w:r>
        <w:rPr>
          <w:rFonts w:hint="eastAsia" w:ascii="Times New Roman" w:hAnsi="Times New Roman" w:eastAsia="宋体" w:cs="Times New Roman"/>
          <w:b w:val="0"/>
          <w:bCs w:val="0"/>
          <w:color w:val="FF0000"/>
          <w:sz w:val="24"/>
          <w:szCs w:val="24"/>
          <w:vertAlign w:val="superscript"/>
          <w:lang w:val="en-US" w:eastAsia="zh-CN"/>
        </w:rPr>
        <w:t>3</w:t>
      </w:r>
      <w:r>
        <w:rPr>
          <w:rFonts w:hint="eastAsia" w:ascii="Times New Roman" w:hAnsi="Times New Roman" w:eastAsia="宋体" w:cs="Times New Roman"/>
          <w:b w:val="0"/>
          <w:bCs w:val="0"/>
          <w:color w:val="FF0000"/>
          <w:sz w:val="24"/>
          <w:szCs w:val="24"/>
          <w:lang w:val="en-US" w:eastAsia="zh-CN"/>
        </w:rPr>
        <w:t>，用于周边区域土地平整。</w:t>
      </w:r>
      <w:r>
        <w:rPr>
          <w:rFonts w:hint="eastAsia" w:ascii="Times New Roman" w:hAnsi="Times New Roman" w:eastAsia="宋体" w:cs="Times New Roman"/>
          <w:color w:val="FF0000"/>
          <w:sz w:val="24"/>
          <w:szCs w:val="24"/>
          <w:lang w:val="en-US" w:eastAsia="zh-CN"/>
        </w:rPr>
        <w:t>K2矿体施工期废石产生总量约0.2</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w:t>
      </w:r>
      <w:r>
        <w:rPr>
          <w:rFonts w:hint="eastAsia" w:ascii="Times New Roman" w:hAnsi="Times New Roman" w:eastAsia="宋体" w:cs="Times New Roman"/>
          <w:color w:val="FF0000"/>
          <w:sz w:val="24"/>
          <w:szCs w:val="24"/>
          <w:vertAlign w:val="baseline"/>
          <w:lang w:val="en-US" w:eastAsia="zh-CN"/>
        </w:rPr>
        <w:t>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用于</w:t>
      </w:r>
      <w:r>
        <w:rPr>
          <w:rFonts w:hint="eastAsia" w:ascii="Times New Roman" w:hAnsi="Times New Roman" w:eastAsia="宋体" w:cs="Times New Roman"/>
          <w:color w:val="FF0000"/>
          <w:sz w:val="24"/>
          <w:szCs w:val="24"/>
          <w:vertAlign w:val="baseline"/>
          <w:lang w:val="en-US" w:eastAsia="zh-CN"/>
        </w:rPr>
        <w:t>K1矿体基建，剩余0.1</w:t>
      </w:r>
      <w:r>
        <w:rPr>
          <w:rFonts w:hint="default" w:ascii="Times New Roman" w:hAnsi="Times New Roman" w:eastAsia="宋体" w:cs="Times New Roman"/>
          <w:color w:val="FF0000"/>
          <w:sz w:val="24"/>
          <w:szCs w:val="24"/>
        </w:rPr>
        <w:t>万m</w:t>
      </w:r>
      <w:r>
        <w:rPr>
          <w:rFonts w:hint="default"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eastAsia="zh-CN"/>
        </w:rPr>
        <w:t>临时堆放在</w:t>
      </w:r>
      <w:r>
        <w:rPr>
          <w:rFonts w:hint="eastAsia" w:ascii="Times New Roman" w:hAnsi="Times New Roman" w:eastAsia="宋体" w:cs="Times New Roman"/>
          <w:color w:val="FF0000"/>
          <w:sz w:val="24"/>
          <w:szCs w:val="24"/>
          <w:vertAlign w:val="baseline"/>
          <w:lang w:val="en-US" w:eastAsia="zh-CN"/>
        </w:rPr>
        <w:t>工业场地的临时堆场，后期用于井下填充</w:t>
      </w:r>
      <w:r>
        <w:rPr>
          <w:rFonts w:hint="eastAsia" w:ascii="Times New Roman" w:hAnsi="Times New Roman" w:eastAsia="宋体" w:cs="Times New Roman"/>
          <w:color w:val="FF0000"/>
          <w:sz w:val="24"/>
          <w:szCs w:val="24"/>
          <w:vertAlign w:val="baseline"/>
          <w:lang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表</w:t>
      </w:r>
      <w:r>
        <w:rPr>
          <w:rFonts w:hint="eastAsia" w:ascii="Times New Roman" w:hAnsi="Times New Roman" w:eastAsia="宋体" w:cs="Times New Roman"/>
          <w:b/>
          <w:bCs/>
          <w:color w:val="FF0000"/>
          <w:sz w:val="21"/>
          <w:szCs w:val="21"/>
          <w:lang w:val="en-US" w:eastAsia="zh-CN"/>
        </w:rPr>
        <w:t>3.2-8</w:t>
      </w:r>
      <w:r>
        <w:rPr>
          <w:rFonts w:hint="default" w:ascii="Times New Roman" w:hAnsi="Times New Roman" w:eastAsia="宋体" w:cs="Times New Roman"/>
          <w:b/>
          <w:bCs/>
          <w:color w:val="FF0000"/>
          <w:sz w:val="21"/>
          <w:szCs w:val="21"/>
          <w:lang w:val="en-US" w:eastAsia="zh-CN"/>
        </w:rPr>
        <w:t xml:space="preserve">  K2矿体施工期土石方平衡表  单位：万m</w:t>
      </w:r>
      <w:r>
        <w:rPr>
          <w:rFonts w:hint="default" w:ascii="Times New Roman" w:hAnsi="Times New Roman" w:eastAsia="宋体" w:cs="Times New Roman"/>
          <w:b/>
          <w:bCs/>
          <w:color w:val="FF0000"/>
          <w:sz w:val="21"/>
          <w:szCs w:val="21"/>
          <w:vertAlign w:val="superscript"/>
          <w:lang w:val="en-US" w:eastAsia="zh-CN"/>
        </w:rPr>
        <w:t>3</w:t>
      </w:r>
    </w:p>
    <w:tbl>
      <w:tblPr>
        <w:tblStyle w:val="40"/>
        <w:tblW w:w="89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99"/>
        <w:gridCol w:w="1190"/>
        <w:gridCol w:w="1189"/>
        <w:gridCol w:w="1287"/>
        <w:gridCol w:w="2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1045"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矿体</w:t>
            </w:r>
          </w:p>
        </w:tc>
        <w:tc>
          <w:tcPr>
            <w:tcW w:w="129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项目</w:t>
            </w:r>
          </w:p>
        </w:tc>
        <w:tc>
          <w:tcPr>
            <w:tcW w:w="119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挖方</w:t>
            </w:r>
          </w:p>
        </w:tc>
        <w:tc>
          <w:tcPr>
            <w:tcW w:w="118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填方</w:t>
            </w:r>
          </w:p>
        </w:tc>
        <w:tc>
          <w:tcPr>
            <w:tcW w:w="1287"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余方</w:t>
            </w:r>
          </w:p>
        </w:tc>
        <w:tc>
          <w:tcPr>
            <w:tcW w:w="291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余方去向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45" w:type="dxa"/>
            <w:vMerge w:val="restart"/>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K</w:t>
            </w:r>
            <w:r>
              <w:rPr>
                <w:rFonts w:hint="eastAsia" w:ascii="Times New Roman" w:hAnsi="Times New Roman" w:eastAsia="宋体" w:cs="Times New Roman"/>
                <w:color w:val="FF0000"/>
                <w:sz w:val="21"/>
                <w:szCs w:val="21"/>
                <w:vertAlign w:val="baseline"/>
                <w:lang w:val="en-US" w:eastAsia="zh-CN"/>
              </w:rPr>
              <w:t>2</w:t>
            </w:r>
          </w:p>
        </w:tc>
        <w:tc>
          <w:tcPr>
            <w:tcW w:w="129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基建土方</w:t>
            </w:r>
          </w:p>
        </w:tc>
        <w:tc>
          <w:tcPr>
            <w:tcW w:w="119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w:t>
            </w:r>
          </w:p>
        </w:tc>
        <w:tc>
          <w:tcPr>
            <w:tcW w:w="118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0.</w:t>
            </w:r>
            <w:r>
              <w:rPr>
                <w:rFonts w:hint="eastAsia" w:ascii="Times New Roman" w:hAnsi="Times New Roman" w:eastAsia="宋体" w:cs="Times New Roman"/>
                <w:color w:val="FF0000"/>
                <w:sz w:val="21"/>
                <w:szCs w:val="21"/>
                <w:vertAlign w:val="baseline"/>
                <w:lang w:val="en-US" w:eastAsia="zh-CN"/>
              </w:rPr>
              <w:t>8</w:t>
            </w:r>
          </w:p>
        </w:tc>
        <w:tc>
          <w:tcPr>
            <w:tcW w:w="1287"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0.2</w:t>
            </w:r>
          </w:p>
        </w:tc>
        <w:tc>
          <w:tcPr>
            <w:tcW w:w="291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周边土地平整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045" w:type="dxa"/>
            <w:vMerge w:val="continue"/>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p>
        </w:tc>
        <w:tc>
          <w:tcPr>
            <w:tcW w:w="129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掘进石方</w:t>
            </w:r>
          </w:p>
        </w:tc>
        <w:tc>
          <w:tcPr>
            <w:tcW w:w="119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0.2</w:t>
            </w:r>
          </w:p>
        </w:tc>
        <w:tc>
          <w:tcPr>
            <w:tcW w:w="118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1287"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0.2</w:t>
            </w:r>
          </w:p>
        </w:tc>
        <w:tc>
          <w:tcPr>
            <w:tcW w:w="291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Lines="0"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0.1用于基建；0.1临时堆存，用于后期井下填充</w:t>
            </w:r>
          </w:p>
        </w:tc>
      </w:tr>
    </w:tbl>
    <w:p>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5.</w:t>
      </w:r>
      <w:r>
        <w:rPr>
          <w:rFonts w:hint="eastAsia" w:ascii="Times New Roman" w:hAnsi="Times New Roman" w:eastAsia="宋体" w:cs="Times New Roman"/>
          <w:b/>
          <w:bCs/>
          <w:color w:val="000000" w:themeColor="text1"/>
          <w:sz w:val="24"/>
          <w:szCs w:val="24"/>
          <w:lang w:val="en-US" w:eastAsia="zh-CN"/>
        </w:rPr>
        <w:t>施工</w:t>
      </w:r>
      <w:r>
        <w:rPr>
          <w:rFonts w:hint="default" w:ascii="Times New Roman" w:hAnsi="Times New Roman" w:eastAsia="宋体" w:cs="Times New Roman"/>
          <w:b/>
          <w:bCs/>
          <w:color w:val="000000" w:themeColor="text1"/>
          <w:sz w:val="24"/>
          <w:szCs w:val="24"/>
        </w:rPr>
        <w:t>期对土壤的影响</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对土壤的影响主要体现在工业场地、</w:t>
      </w:r>
      <w:r>
        <w:rPr>
          <w:rFonts w:hint="eastAsia" w:ascii="Times New Roman" w:hAnsi="Times New Roman" w:eastAsia="宋体" w:cs="Times New Roman"/>
          <w:color w:val="000000" w:themeColor="text1"/>
          <w:sz w:val="24"/>
          <w:szCs w:val="24"/>
          <w:lang w:val="en-US" w:eastAsia="zh-CN"/>
        </w:rPr>
        <w:t>道路</w:t>
      </w:r>
      <w:r>
        <w:rPr>
          <w:rFonts w:hint="default" w:ascii="Times New Roman" w:hAnsi="Times New Roman" w:eastAsia="宋体" w:cs="Times New Roman"/>
          <w:color w:val="000000" w:themeColor="text1"/>
          <w:sz w:val="24"/>
          <w:szCs w:val="24"/>
        </w:rPr>
        <w:t>的建设占用土地</w:t>
      </w:r>
      <w:r>
        <w:rPr>
          <w:rFonts w:hint="eastAsia" w:ascii="Times New Roman" w:hAnsi="Times New Roman" w:eastAsia="宋体" w:cs="Times New Roman"/>
          <w:color w:val="000000" w:themeColor="text1"/>
          <w:sz w:val="24"/>
          <w:szCs w:val="24"/>
          <w:lang w:val="en-US" w:eastAsia="zh-CN"/>
        </w:rPr>
        <w:t>资源</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工程建设使原有土壤结构发生改变，</w:t>
      </w:r>
      <w:r>
        <w:rPr>
          <w:rFonts w:hint="default" w:ascii="Times New Roman" w:hAnsi="Times New Roman" w:eastAsia="宋体" w:cs="Times New Roman"/>
          <w:color w:val="000000" w:themeColor="text1"/>
          <w:sz w:val="24"/>
          <w:szCs w:val="24"/>
        </w:rPr>
        <w:t>以及</w:t>
      </w:r>
      <w:r>
        <w:rPr>
          <w:rFonts w:hint="eastAsia" w:ascii="Times New Roman" w:hAnsi="Times New Roman" w:eastAsia="宋体" w:cs="Times New Roman"/>
          <w:color w:val="000000" w:themeColor="text1"/>
          <w:sz w:val="24"/>
          <w:szCs w:val="24"/>
          <w:lang w:val="en-US" w:eastAsia="zh-CN"/>
        </w:rPr>
        <w:t>工程</w:t>
      </w:r>
      <w:r>
        <w:rPr>
          <w:rFonts w:hint="default" w:ascii="Times New Roman" w:hAnsi="Times New Roman" w:eastAsia="宋体" w:cs="Times New Roman"/>
          <w:color w:val="000000" w:themeColor="text1"/>
          <w:sz w:val="24"/>
          <w:szCs w:val="24"/>
        </w:rPr>
        <w:t>的</w:t>
      </w:r>
      <w:r>
        <w:rPr>
          <w:rFonts w:hint="eastAsia" w:ascii="Times New Roman" w:hAnsi="Times New Roman" w:eastAsia="宋体" w:cs="Times New Roman"/>
          <w:color w:val="000000" w:themeColor="text1"/>
          <w:sz w:val="24"/>
          <w:szCs w:val="24"/>
          <w:lang w:val="en-US" w:eastAsia="zh-CN"/>
        </w:rPr>
        <w:t>废水、废气、固废等</w:t>
      </w:r>
      <w:r>
        <w:rPr>
          <w:rFonts w:hint="default" w:ascii="Times New Roman" w:hAnsi="Times New Roman" w:eastAsia="宋体" w:cs="Times New Roman"/>
          <w:color w:val="000000" w:themeColor="text1"/>
          <w:sz w:val="24"/>
          <w:szCs w:val="24"/>
        </w:rPr>
        <w:t>对土壤环境的</w:t>
      </w:r>
      <w:r>
        <w:rPr>
          <w:rFonts w:hint="eastAsia" w:ascii="Times New Roman" w:hAnsi="Times New Roman" w:eastAsia="宋体" w:cs="Times New Roman"/>
          <w:color w:val="000000" w:themeColor="text1"/>
          <w:sz w:val="24"/>
          <w:szCs w:val="24"/>
          <w:lang w:val="en-US" w:eastAsia="zh-CN"/>
        </w:rPr>
        <w:t>污染</w:t>
      </w:r>
      <w:r>
        <w:rPr>
          <w:rFonts w:hint="default" w:ascii="Times New Roman" w:hAnsi="Times New Roman" w:eastAsia="宋体" w:cs="Times New Roman"/>
          <w:color w:val="000000" w:themeColor="text1"/>
          <w:sz w:val="24"/>
          <w:szCs w:val="24"/>
        </w:rPr>
        <w:t>。</w:t>
      </w:r>
    </w:p>
    <w:p>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6.</w:t>
      </w:r>
      <w:r>
        <w:rPr>
          <w:rFonts w:hint="eastAsia" w:ascii="Times New Roman" w:hAnsi="Times New Roman" w:eastAsia="宋体" w:cs="Times New Roman"/>
          <w:b/>
          <w:bCs/>
          <w:color w:val="000000" w:themeColor="text1"/>
          <w:sz w:val="24"/>
          <w:szCs w:val="24"/>
          <w:lang w:val="en-US" w:eastAsia="zh-CN"/>
        </w:rPr>
        <w:t>施工</w:t>
      </w:r>
      <w:r>
        <w:rPr>
          <w:rFonts w:hint="default" w:ascii="Times New Roman" w:hAnsi="Times New Roman" w:eastAsia="宋体" w:cs="Times New Roman"/>
          <w:b/>
          <w:bCs/>
          <w:color w:val="000000" w:themeColor="text1"/>
          <w:sz w:val="24"/>
          <w:szCs w:val="24"/>
        </w:rPr>
        <w:t>期</w:t>
      </w:r>
      <w:r>
        <w:rPr>
          <w:rFonts w:hint="eastAsia" w:ascii="Times New Roman" w:hAnsi="Times New Roman" w:eastAsia="宋体" w:cs="Times New Roman"/>
          <w:b/>
          <w:bCs/>
          <w:color w:val="000000" w:themeColor="text1"/>
          <w:sz w:val="24"/>
          <w:szCs w:val="24"/>
          <w:lang w:eastAsia="zh-CN"/>
        </w:rPr>
        <w:t>对</w:t>
      </w:r>
      <w:r>
        <w:rPr>
          <w:rFonts w:hint="default" w:ascii="Times New Roman" w:hAnsi="Times New Roman" w:eastAsia="宋体" w:cs="Times New Roman"/>
          <w:b/>
          <w:bCs/>
          <w:color w:val="000000" w:themeColor="text1"/>
          <w:sz w:val="24"/>
          <w:szCs w:val="24"/>
        </w:rPr>
        <w:t>生态</w:t>
      </w:r>
      <w:r>
        <w:rPr>
          <w:rFonts w:hint="eastAsia" w:ascii="Times New Roman" w:hAnsi="Times New Roman" w:eastAsia="宋体" w:cs="Times New Roman"/>
          <w:b/>
          <w:bCs/>
          <w:color w:val="000000" w:themeColor="text1"/>
          <w:sz w:val="24"/>
          <w:szCs w:val="24"/>
          <w:lang w:eastAsia="zh-CN"/>
        </w:rPr>
        <w:t>的</w:t>
      </w:r>
      <w:r>
        <w:rPr>
          <w:rFonts w:hint="default" w:ascii="Times New Roman" w:hAnsi="Times New Roman" w:eastAsia="宋体" w:cs="Times New Roman"/>
          <w:b/>
          <w:bCs/>
          <w:color w:val="000000" w:themeColor="text1"/>
          <w:sz w:val="24"/>
          <w:szCs w:val="24"/>
        </w:rPr>
        <w:t>影响</w:t>
      </w:r>
    </w:p>
    <w:p>
      <w:pPr>
        <w:pageBreakBefore w:val="0"/>
        <w:widowControl w:val="0"/>
        <w:numPr>
          <w:ilvl w:val="0"/>
          <w:numId w:val="1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工程占地</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val="en-US" w:eastAsia="zh-CN"/>
        </w:rPr>
        <w:t>本项目新增占地7540</w:t>
      </w:r>
      <w:r>
        <w:rPr>
          <w:rFonts w:hint="default" w:ascii="Times New Roman" w:hAnsi="Times New Roman" w:eastAsia="宋体" w:cs="Times New Roman"/>
          <w:bCs/>
          <w:color w:val="000000" w:themeColor="text1"/>
          <w:sz w:val="24"/>
          <w:szCs w:val="24"/>
        </w:rPr>
        <w:t>m</w:t>
      </w:r>
      <w:r>
        <w:rPr>
          <w:rFonts w:hint="default" w:ascii="Times New Roman" w:hAnsi="Times New Roman" w:eastAsia="宋体" w:cs="Times New Roman"/>
          <w:bCs/>
          <w:color w:val="000000" w:themeColor="text1"/>
          <w:sz w:val="24"/>
          <w:szCs w:val="24"/>
          <w:vertAlign w:val="superscript"/>
        </w:rPr>
        <w:t>2</w:t>
      </w:r>
      <w:r>
        <w:rPr>
          <w:rFonts w:hint="eastAsia" w:ascii="Times New Roman" w:hAnsi="Times New Roman" w:eastAsia="宋体" w:cs="Times New Roman"/>
          <w:bCs/>
          <w:color w:val="000000" w:themeColor="text1"/>
          <w:sz w:val="24"/>
          <w:szCs w:val="24"/>
          <w:vertAlign w:val="baseline"/>
          <w:lang w:eastAsia="zh-CN"/>
        </w:rPr>
        <w:t>，为临时占地，</w:t>
      </w:r>
      <w:r>
        <w:rPr>
          <w:rFonts w:hint="default" w:ascii="Times New Roman" w:hAnsi="Times New Roman" w:eastAsia="宋体" w:cs="Times New Roman"/>
          <w:color w:val="000000" w:themeColor="text1"/>
          <w:sz w:val="24"/>
          <w:szCs w:val="24"/>
        </w:rPr>
        <w:t>工程占地类型</w:t>
      </w:r>
      <w:r>
        <w:rPr>
          <w:rFonts w:hint="eastAsia" w:ascii="Times New Roman" w:hAnsi="Times New Roman" w:eastAsia="宋体" w:cs="Times New Roman"/>
          <w:color w:val="000000" w:themeColor="text1"/>
          <w:sz w:val="24"/>
          <w:szCs w:val="24"/>
          <w:lang w:eastAsia="zh-CN"/>
        </w:rPr>
        <w:t>主要</w:t>
      </w:r>
      <w:r>
        <w:rPr>
          <w:rFonts w:hint="default" w:ascii="Times New Roman" w:hAnsi="Times New Roman" w:eastAsia="宋体" w:cs="Times New Roman"/>
          <w:color w:val="000000" w:themeColor="text1"/>
          <w:sz w:val="24"/>
          <w:szCs w:val="24"/>
        </w:rPr>
        <w:t>为林地，</w:t>
      </w:r>
      <w:r>
        <w:rPr>
          <w:rFonts w:hint="eastAsia" w:ascii="Times New Roman" w:hAnsi="Times New Roman" w:eastAsia="宋体" w:cs="Times New Roman"/>
          <w:color w:val="000000" w:themeColor="text1"/>
          <w:sz w:val="24"/>
          <w:szCs w:val="24"/>
          <w:lang w:eastAsia="zh-CN"/>
        </w:rPr>
        <w:t>主要用于工业场地的建设和矿区道路等。</w:t>
      </w:r>
      <w:r>
        <w:rPr>
          <w:rFonts w:hint="default" w:ascii="Times New Roman" w:hAnsi="Times New Roman" w:eastAsia="宋体" w:cs="Times New Roman"/>
          <w:color w:val="000000" w:themeColor="text1"/>
          <w:sz w:val="24"/>
          <w:szCs w:val="24"/>
        </w:rPr>
        <w:t>矿山建设开发需修建工业场地、矿山道路及生产生活设施等地面设施占用土地和</w:t>
      </w:r>
      <w:r>
        <w:rPr>
          <w:rFonts w:hint="eastAsia" w:ascii="Times New Roman" w:hAnsi="Times New Roman" w:eastAsia="宋体" w:cs="Times New Roman"/>
          <w:color w:val="000000" w:themeColor="text1"/>
          <w:sz w:val="24"/>
          <w:szCs w:val="24"/>
          <w:lang w:val="en-US" w:eastAsia="zh-CN"/>
        </w:rPr>
        <w:t>建设</w:t>
      </w:r>
      <w:r>
        <w:rPr>
          <w:rFonts w:hint="default" w:ascii="Times New Roman" w:hAnsi="Times New Roman" w:eastAsia="宋体" w:cs="Times New Roman"/>
          <w:color w:val="000000" w:themeColor="text1"/>
          <w:sz w:val="24"/>
          <w:szCs w:val="24"/>
        </w:rPr>
        <w:t>开挖将会对原地貌造成扰动</w:t>
      </w:r>
      <w:r>
        <w:rPr>
          <w:rFonts w:hint="default" w:ascii="Times New Roman" w:hAnsi="Times New Roman" w:eastAsia="宋体" w:cs="Times New Roman"/>
          <w:color w:val="000000" w:themeColor="text1"/>
          <w:sz w:val="24"/>
          <w:szCs w:val="24"/>
          <w:lang w:eastAsia="zh-CN"/>
        </w:rPr>
        <w:t>。</w:t>
      </w:r>
    </w:p>
    <w:p>
      <w:pPr>
        <w:pageBreakBefore w:val="0"/>
        <w:widowControl w:val="0"/>
        <w:numPr>
          <w:ilvl w:val="0"/>
          <w:numId w:val="1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动植物的破坏</w:t>
      </w:r>
    </w:p>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本工程对植被的影响主要为工业场地、道路等工程施工</w:t>
      </w:r>
      <w:r>
        <w:rPr>
          <w:rFonts w:hint="eastAsia" w:ascii="Times New Roman" w:hAnsi="Times New Roman" w:eastAsia="宋体" w:cs="Times New Roman"/>
          <w:color w:val="000000" w:themeColor="text1"/>
          <w:sz w:val="24"/>
          <w:szCs w:val="24"/>
          <w:lang w:val="en-US" w:eastAsia="zh-CN"/>
        </w:rPr>
        <w:t>土建工程</w:t>
      </w:r>
      <w:r>
        <w:rPr>
          <w:rFonts w:hint="default" w:ascii="Times New Roman" w:hAnsi="Times New Roman" w:eastAsia="宋体" w:cs="Times New Roman"/>
          <w:color w:val="000000" w:themeColor="text1"/>
          <w:sz w:val="24"/>
          <w:szCs w:val="24"/>
        </w:rPr>
        <w:t>对植被的破坏。施工机械产生的噪声以及施工活动占用原有野生动物的休憩场所，迫使原有野生动物向其他区域迁移。</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）水土流失</w:t>
      </w:r>
    </w:p>
    <w:p>
      <w:pPr>
        <w:pStyle w:val="12"/>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color w:val="000000" w:themeColor="text1"/>
          <w:sz w:val="24"/>
          <w:szCs w:val="24"/>
        </w:rPr>
        <w:t>矿山施工期间，</w:t>
      </w:r>
      <w:r>
        <w:rPr>
          <w:rFonts w:hint="eastAsia" w:ascii="Times New Roman" w:hAnsi="Times New Roman" w:eastAsia="宋体" w:cs="Times New Roman"/>
          <w:color w:val="000000" w:themeColor="text1"/>
          <w:sz w:val="24"/>
          <w:szCs w:val="24"/>
          <w:lang w:val="en-US" w:eastAsia="zh-CN"/>
        </w:rPr>
        <w:t>工业场地</w:t>
      </w:r>
      <w:r>
        <w:rPr>
          <w:rFonts w:hint="default" w:ascii="Times New Roman" w:hAnsi="Times New Roman" w:eastAsia="宋体" w:cs="Times New Roman"/>
          <w:color w:val="000000" w:themeColor="text1"/>
          <w:sz w:val="24"/>
          <w:szCs w:val="24"/>
        </w:rPr>
        <w:t>、矿山道路等施工对占地范围内原地貌的扰动、地表植被的破坏</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土体构型结构的影响</w:t>
      </w:r>
      <w:r>
        <w:rPr>
          <w:rFonts w:hint="default" w:ascii="Times New Roman" w:hAnsi="Times New Roman" w:eastAsia="宋体" w:cs="Times New Roman"/>
          <w:color w:val="000000" w:themeColor="text1"/>
          <w:sz w:val="24"/>
          <w:szCs w:val="24"/>
        </w:rPr>
        <w:t>及造成岩土层的裸露</w:t>
      </w:r>
      <w:r>
        <w:rPr>
          <w:rFonts w:hint="eastAsia" w:ascii="Times New Roman" w:hAnsi="Times New Roman" w:eastAsia="宋体" w:cs="Times New Roman"/>
          <w:color w:val="000000" w:themeColor="text1"/>
          <w:sz w:val="24"/>
          <w:szCs w:val="24"/>
          <w:lang w:val="en-US" w:eastAsia="zh-CN"/>
        </w:rPr>
        <w:t>等</w:t>
      </w:r>
      <w:r>
        <w:rPr>
          <w:rFonts w:hint="default" w:ascii="Times New Roman" w:hAnsi="Times New Roman" w:eastAsia="宋体" w:cs="Times New Roman"/>
          <w:color w:val="000000" w:themeColor="text1"/>
          <w:sz w:val="24"/>
          <w:szCs w:val="24"/>
        </w:rPr>
        <w:t>，均构成水土流失源；同时，施工过程中</w:t>
      </w:r>
      <w:r>
        <w:rPr>
          <w:rFonts w:hint="eastAsia" w:ascii="Times New Roman" w:hAnsi="Times New Roman" w:eastAsia="宋体" w:cs="Times New Roman"/>
          <w:color w:val="000000" w:themeColor="text1"/>
          <w:sz w:val="24"/>
          <w:szCs w:val="24"/>
          <w:lang w:val="en-US" w:eastAsia="zh-CN"/>
        </w:rPr>
        <w:t>施工物料、建筑垃圾、土石方等临时</w:t>
      </w:r>
      <w:r>
        <w:rPr>
          <w:rFonts w:hint="default" w:ascii="Times New Roman" w:hAnsi="Times New Roman" w:eastAsia="宋体" w:cs="Times New Roman"/>
          <w:color w:val="000000" w:themeColor="text1"/>
          <w:sz w:val="24"/>
          <w:szCs w:val="24"/>
        </w:rPr>
        <w:t>堆放，也易受雨水冲刷形成水土流失。</w:t>
      </w:r>
    </w:p>
    <w:p>
      <w:pPr>
        <w:pStyle w:val="5"/>
        <w:rPr>
          <w:rFonts w:hint="eastAsia"/>
          <w:color w:val="000000" w:themeColor="text1"/>
          <w:lang w:val="en-US" w:eastAsia="zh-CN"/>
        </w:rPr>
      </w:pPr>
      <w:bookmarkStart w:id="262" w:name="_Toc12498_WPSOffice_Level3"/>
      <w:bookmarkStart w:id="263" w:name="_Toc27377"/>
      <w:r>
        <w:rPr>
          <w:rFonts w:hint="eastAsia"/>
          <w:color w:val="000000" w:themeColor="text1"/>
          <w:lang w:val="en-US" w:eastAsia="zh-CN"/>
        </w:rPr>
        <w:t>运营期工程分析</w:t>
      </w:r>
      <w:bookmarkEnd w:id="262"/>
      <w:bookmarkEnd w:id="263"/>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val="en-US" w:eastAsia="zh-CN"/>
        </w:rPr>
        <w:t xml:space="preserve"> 运营期</w:t>
      </w:r>
      <w:r>
        <w:rPr>
          <w:rFonts w:hint="default" w:ascii="Times New Roman" w:hAnsi="Times New Roman" w:eastAsia="宋体" w:cs="Times New Roman"/>
          <w:color w:val="000000" w:themeColor="text1"/>
          <w:sz w:val="24"/>
          <w:szCs w:val="24"/>
        </w:rPr>
        <w:t>工艺流程</w:t>
      </w:r>
      <w:r>
        <w:rPr>
          <w:rFonts w:hint="eastAsia" w:ascii="Times New Roman" w:hAnsi="Times New Roman" w:eastAsia="宋体" w:cs="Times New Roman"/>
          <w:color w:val="000000" w:themeColor="text1"/>
          <w:sz w:val="24"/>
          <w:szCs w:val="24"/>
          <w:lang w:eastAsia="zh-CN"/>
        </w:rPr>
        <w:t>主要有凿岩打眼、装药放炮、通风、放矿等主要环节。</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凿岩打眼</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每个采场配备1台YT28型凿岩机穿凿上向孔。</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装药放炮</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爆破材料选用炸药、微差导爆管雷管起爆，炮眼沿倾向平行布置，起爆顺序从自由面开始一次性爆破，装药系数为0.6～0.7，各炮孔通过导爆管连接，一次凿岩爆破长度为10m左右。</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风扇通风</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爆破后采用贯穿风流方式进行通风，当个别采场贯穿风流方式进行通风条件不好时，采用JK56-1No.4局扇型局扇加强通风。新风由阶段平硐进入，经采场底部运输大巷-矿块通风天井-工作面-矿块另一侧通风天井--顶部回风巷，由回风井抽出。每次爆破后用局扇加强采场通风。</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装载车辆运输</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因矿山生产规模不大，根据矿体赋存状态，并综合考虑矿山建设单位意见后，设计沿矿块走向每隔6.0m施工劈漏并作为拉底空间回采矿石，采用底部漏斗出矿，矿车接漏斗直接装矿，矿石经沿脉运输平硐运至地表。</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5</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放矿石</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放矿分两步骤，即局部放矿和大量放矿。局部放矿每次放出崩落矿石的30%左右，矿房内暂留矿石，使回采工作面保持1.8～2.0m的作业空间，局部放矿后即检查顶板和上、下盘，同时处理浮石，平整场地。当矿房回采至顶柱时，进行大量放矿，大量放矿要均匀。</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6</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运输</w:t>
      </w:r>
    </w:p>
    <w:p>
      <w:pPr>
        <w:pStyle w:val="60"/>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矿石外运采用汽车运输。</w:t>
      </w:r>
    </w:p>
    <w:p>
      <w:pPr>
        <w:pStyle w:val="5"/>
        <w:numPr>
          <w:ilvl w:val="2"/>
          <w:numId w:val="0"/>
        </w:numPr>
        <w:ind w:leftChars="0"/>
        <w:jc w:val="center"/>
        <w:rPr>
          <w:color w:val="000000" w:themeColor="text1"/>
        </w:rPr>
      </w:pPr>
      <w:bookmarkStart w:id="264" w:name="_Toc31662"/>
      <w:r>
        <w:rPr>
          <w:color w:val="000000" w:themeColor="text1"/>
        </w:rPr>
        <w:drawing>
          <wp:inline distT="0" distB="0" distL="114300" distR="114300">
            <wp:extent cx="3018155" cy="5010150"/>
            <wp:effectExtent l="0" t="0" r="1079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5"/>
                    <a:stretch>
                      <a:fillRect/>
                    </a:stretch>
                  </pic:blipFill>
                  <pic:spPr>
                    <a:xfrm>
                      <a:off x="0" y="0"/>
                      <a:ext cx="3018155" cy="5010150"/>
                    </a:xfrm>
                    <a:prstGeom prst="rect">
                      <a:avLst/>
                    </a:prstGeom>
                    <a:noFill/>
                    <a:ln>
                      <a:noFill/>
                    </a:ln>
                  </pic:spPr>
                </pic:pic>
              </a:graphicData>
            </a:graphic>
          </wp:inline>
        </w:drawing>
      </w:r>
      <w:bookmarkEnd w:id="264"/>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
          <w:bCs w:val="0"/>
          <w:color w:val="000000" w:themeColor="text1"/>
          <w:sz w:val="21"/>
          <w:szCs w:val="21"/>
        </w:rPr>
        <w:t>图3.</w:t>
      </w:r>
      <w:r>
        <w:rPr>
          <w:rFonts w:hint="eastAsia" w:ascii="Times New Roman" w:hAnsi="Times New Roman" w:eastAsia="宋体" w:cs="Times New Roman"/>
          <w:b/>
          <w:bCs w:val="0"/>
          <w:color w:val="000000" w:themeColor="text1"/>
          <w:sz w:val="21"/>
          <w:szCs w:val="21"/>
          <w:lang w:val="en-US" w:eastAsia="zh-CN"/>
        </w:rPr>
        <w:t>3</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2</w:t>
      </w:r>
      <w:r>
        <w:rPr>
          <w:rFonts w:hint="default" w:ascii="Times New Roman" w:hAnsi="Times New Roman" w:eastAsia="宋体" w:cs="Times New Roman"/>
          <w:b/>
          <w:bCs w:val="0"/>
          <w:color w:val="000000" w:themeColor="text1"/>
          <w:sz w:val="21"/>
          <w:szCs w:val="21"/>
        </w:rPr>
        <w:t xml:space="preserve"> 采矿生产工艺流程及产污环节图</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表3.</w:t>
      </w:r>
      <w:r>
        <w:rPr>
          <w:rFonts w:hint="default" w:ascii="Times New Roman" w:hAnsi="Times New Roman" w:eastAsia="宋体" w:cs="Times New Roman"/>
          <w:b/>
          <w:bCs w:val="0"/>
          <w:color w:val="000000" w:themeColor="text1"/>
          <w:sz w:val="21"/>
          <w:szCs w:val="21"/>
          <w:lang w:val="en-US" w:eastAsia="zh-CN"/>
        </w:rPr>
        <w:t>3</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9</w:t>
      </w:r>
      <w:r>
        <w:rPr>
          <w:rFonts w:hint="default" w:ascii="Times New Roman" w:hAnsi="Times New Roman" w:eastAsia="宋体" w:cs="Times New Roman"/>
          <w:b/>
          <w:bCs w:val="0"/>
          <w:color w:val="000000" w:themeColor="text1"/>
          <w:sz w:val="21"/>
          <w:szCs w:val="21"/>
        </w:rPr>
        <w:t xml:space="preserve">  采矿产污环节分析</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74"/>
        <w:gridCol w:w="6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序号</w:t>
            </w:r>
          </w:p>
        </w:tc>
        <w:tc>
          <w:tcPr>
            <w:tcW w:w="127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产污环节</w:t>
            </w:r>
          </w:p>
        </w:tc>
        <w:tc>
          <w:tcPr>
            <w:tcW w:w="6838"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分析内容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127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6838" w:type="dxa"/>
            <w:tcBorders>
              <w:tl2br w:val="nil"/>
              <w:tr2bl w:val="nil"/>
            </w:tcBorders>
            <w:vAlign w:val="center"/>
          </w:tcPr>
          <w:p>
            <w:pPr>
              <w:pStyle w:val="42"/>
              <w:jc w:val="both"/>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①矿坑涌水，凿岩、工作面除尘产生的废水，主要污染物为SS；</w:t>
            </w:r>
          </w:p>
          <w:p>
            <w:pPr>
              <w:pStyle w:val="42"/>
              <w:jc w:val="both"/>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②工作人员的生活污水，主要污染物为BOD、COD、SS、NH</w:t>
            </w:r>
            <w:r>
              <w:rPr>
                <w:rFonts w:hint="default" w:ascii="Times New Roman" w:hAnsi="Times New Roman" w:eastAsia="宋体" w:cs="Times New Roman"/>
                <w:color w:val="000000" w:themeColor="text1"/>
                <w:vertAlign w:val="subscript"/>
              </w:rPr>
              <w:t>3</w:t>
            </w:r>
            <w:r>
              <w:rPr>
                <w:rFonts w:hint="default" w:ascii="Times New Roman" w:hAnsi="Times New Roman" w:eastAsia="宋体" w:cs="Times New Roman"/>
                <w:color w:val="000000" w:themeColor="text1"/>
              </w:rPr>
              <w:t>-N等。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127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w:t>
            </w:r>
          </w:p>
        </w:tc>
        <w:tc>
          <w:tcPr>
            <w:tcW w:w="6838" w:type="dxa"/>
            <w:tcBorders>
              <w:tl2br w:val="nil"/>
              <w:tr2bl w:val="nil"/>
            </w:tcBorders>
            <w:vAlign w:val="center"/>
          </w:tcPr>
          <w:p>
            <w:pPr>
              <w:pStyle w:val="42"/>
              <w:jc w:val="both"/>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①开采</w:t>
            </w:r>
            <w:r>
              <w:rPr>
                <w:rFonts w:hint="default" w:ascii="Times New Roman" w:hAnsi="Times New Roman" w:eastAsia="宋体" w:cs="Times New Roman"/>
                <w:color w:val="000000" w:themeColor="text1"/>
                <w:lang w:val="en-US" w:eastAsia="zh-CN"/>
              </w:rPr>
              <w:t>过程</w:t>
            </w:r>
            <w:r>
              <w:rPr>
                <w:rFonts w:hint="default" w:ascii="Times New Roman" w:hAnsi="Times New Roman" w:eastAsia="宋体" w:cs="Times New Roman"/>
                <w:color w:val="000000" w:themeColor="text1"/>
              </w:rPr>
              <w:t>产生的废矿石；</w:t>
            </w:r>
          </w:p>
          <w:p>
            <w:pPr>
              <w:pStyle w:val="42"/>
              <w:jc w:val="both"/>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②工作人员的生活垃圾；</w:t>
            </w:r>
          </w:p>
          <w:p>
            <w:pPr>
              <w:pStyle w:val="42"/>
              <w:jc w:val="both"/>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③运营期机械设备产生的废机油。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w:t>
            </w:r>
          </w:p>
        </w:tc>
        <w:tc>
          <w:tcPr>
            <w:tcW w:w="127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w:t>
            </w:r>
          </w:p>
        </w:tc>
        <w:tc>
          <w:tcPr>
            <w:tcW w:w="6838" w:type="dxa"/>
            <w:tcBorders>
              <w:tl2br w:val="nil"/>
              <w:tr2bl w:val="nil"/>
            </w:tcBorders>
            <w:vAlign w:val="center"/>
          </w:tcPr>
          <w:p>
            <w:pPr>
              <w:pStyle w:val="42"/>
              <w:jc w:val="both"/>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①井下噪声源主要是井下</w:t>
            </w:r>
            <w:r>
              <w:rPr>
                <w:rFonts w:hint="eastAsia" w:ascii="Times New Roman" w:hAnsi="Times New Roman" w:eastAsia="宋体" w:cs="Times New Roman"/>
                <w:color w:val="000000" w:themeColor="text1"/>
                <w:lang w:val="en-US" w:eastAsia="zh-CN"/>
              </w:rPr>
              <w:t>采矿</w:t>
            </w:r>
            <w:r>
              <w:rPr>
                <w:rFonts w:hint="default" w:ascii="Times New Roman" w:hAnsi="Times New Roman" w:eastAsia="宋体" w:cs="Times New Roman"/>
                <w:color w:val="000000" w:themeColor="text1"/>
              </w:rPr>
              <w:t>过程中各种机械噪声和爆破噪声；</w:t>
            </w:r>
          </w:p>
          <w:p>
            <w:pPr>
              <w:pStyle w:val="42"/>
              <w:jc w:val="both"/>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②地表主要是硐口空压机和风井口通风机产生噪声影响，运矿石的车辆的运输噪声。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4</w:t>
            </w:r>
          </w:p>
        </w:tc>
        <w:tc>
          <w:tcPr>
            <w:tcW w:w="127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p>
            <w:pPr>
              <w:pStyle w:val="42"/>
              <w:rPr>
                <w:rFonts w:hint="default" w:ascii="Times New Roman" w:hAnsi="Times New Roman" w:eastAsia="宋体" w:cs="Times New Roman"/>
                <w:color w:val="000000" w:themeColor="text1"/>
                <w:sz w:val="21"/>
                <w:szCs w:val="21"/>
              </w:rPr>
            </w:pPr>
          </w:p>
        </w:tc>
        <w:tc>
          <w:tcPr>
            <w:tcW w:w="6838" w:type="dxa"/>
            <w:tcBorders>
              <w:tl2br w:val="nil"/>
              <w:tr2bl w:val="nil"/>
            </w:tcBorders>
            <w:vAlign w:val="center"/>
          </w:tcPr>
          <w:p>
            <w:pPr>
              <w:pStyle w:val="42"/>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①采矿通风井污风，主要为凿岩、爆破</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装车</w:t>
            </w:r>
            <w:r>
              <w:rPr>
                <w:rFonts w:hint="default" w:ascii="Times New Roman" w:hAnsi="Times New Roman" w:eastAsia="宋体" w:cs="Times New Roman"/>
                <w:color w:val="000000" w:themeColor="text1"/>
                <w:sz w:val="21"/>
                <w:szCs w:val="21"/>
              </w:rPr>
              <w:t>等环节产生；</w:t>
            </w:r>
          </w:p>
          <w:p>
            <w:pPr>
              <w:pStyle w:val="42"/>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②矿石堆放转运扬尘；</w:t>
            </w:r>
          </w:p>
          <w:p>
            <w:pPr>
              <w:pStyle w:val="42"/>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③</w:t>
            </w:r>
            <w:r>
              <w:rPr>
                <w:rFonts w:hint="eastAsia" w:ascii="Times New Roman" w:hAnsi="Times New Roman" w:eastAsia="宋体" w:cs="Times New Roman"/>
                <w:color w:val="000000" w:themeColor="text1"/>
                <w:sz w:val="21"/>
                <w:szCs w:val="21"/>
                <w:lang w:val="en-US" w:eastAsia="zh-CN"/>
              </w:rPr>
              <w:t>矿石运输道路扬尘</w:t>
            </w:r>
          </w:p>
          <w:p>
            <w:pPr>
              <w:pStyle w:val="42"/>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4 \* GB3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④</w:t>
            </w:r>
            <w:r>
              <w:rPr>
                <w:rFonts w:hint="default" w:ascii="Times New Roman" w:hAnsi="Times New Roman" w:eastAsia="宋体" w:cs="Times New Roman"/>
                <w:color w:val="000000" w:themeColor="text1"/>
                <w:sz w:val="21"/>
                <w:szCs w:val="21"/>
              </w:rPr>
              <w:fldChar w:fldCharType="end"/>
            </w:r>
            <w:r>
              <w:rPr>
                <w:rFonts w:hint="eastAsia" w:ascii="Times New Roman" w:hAnsi="Times New Roman" w:eastAsia="宋体" w:cs="Times New Roman"/>
                <w:color w:val="000000" w:themeColor="text1"/>
                <w:sz w:val="21"/>
                <w:szCs w:val="21"/>
                <w:lang w:val="en-US" w:eastAsia="zh-CN"/>
              </w:rPr>
              <w:t>非道路移动机械和运输车辆尾气</w:t>
            </w:r>
          </w:p>
          <w:p>
            <w:pPr>
              <w:pStyle w:val="42"/>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fldChar w:fldCharType="begin"/>
            </w:r>
            <w:r>
              <w:rPr>
                <w:rFonts w:hint="default" w:ascii="Times New Roman" w:hAnsi="Times New Roman" w:eastAsia="宋体" w:cs="Times New Roman"/>
                <w:color w:val="000000" w:themeColor="text1"/>
                <w:sz w:val="21"/>
                <w:szCs w:val="21"/>
              </w:rPr>
              <w:instrText xml:space="preserve"> = 5 \* GB3 \* MERGEFORMAT </w:instrText>
            </w:r>
            <w:r>
              <w:rPr>
                <w:rFonts w:hint="default" w:ascii="Times New Roman" w:hAnsi="Times New Roman" w:eastAsia="宋体" w:cs="Times New Roman"/>
                <w:color w:val="000000" w:themeColor="text1"/>
                <w:sz w:val="21"/>
                <w:szCs w:val="21"/>
              </w:rPr>
              <w:fldChar w:fldCharType="separate"/>
            </w:r>
            <w:r>
              <w:rPr>
                <w:rFonts w:hint="default" w:ascii="Times New Roman" w:hAnsi="Times New Roman" w:eastAsia="宋体" w:cs="Times New Roman"/>
                <w:color w:val="000000" w:themeColor="text1"/>
                <w:sz w:val="21"/>
                <w:szCs w:val="21"/>
              </w:rPr>
              <w:t>⑤</w:t>
            </w:r>
            <w:r>
              <w:rPr>
                <w:rFonts w:hint="default" w:ascii="Times New Roman" w:hAnsi="Times New Roman" w:eastAsia="宋体" w:cs="Times New Roman"/>
                <w:color w:val="000000" w:themeColor="text1"/>
                <w:sz w:val="21"/>
                <w:szCs w:val="21"/>
              </w:rPr>
              <w:fldChar w:fldCharType="end"/>
            </w:r>
            <w:r>
              <w:rPr>
                <w:rFonts w:hint="eastAsia" w:ascii="Times New Roman" w:hAnsi="Times New Roman" w:eastAsia="宋体" w:cs="Times New Roman"/>
                <w:color w:val="000000" w:themeColor="text1"/>
                <w:sz w:val="21"/>
                <w:szCs w:val="21"/>
                <w:lang w:val="en-US" w:eastAsia="zh-CN"/>
              </w:rPr>
              <w:t>餐饮</w:t>
            </w:r>
            <w:r>
              <w:rPr>
                <w:rFonts w:hint="default" w:ascii="Times New Roman" w:hAnsi="Times New Roman" w:eastAsia="宋体" w:cs="Times New Roman"/>
                <w:color w:val="000000" w:themeColor="text1"/>
                <w:sz w:val="21"/>
                <w:szCs w:val="21"/>
              </w:rPr>
              <w:t>油烟来自本项目的食堂。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w:t>
            </w:r>
          </w:p>
        </w:tc>
        <w:tc>
          <w:tcPr>
            <w:tcW w:w="127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生态</w:t>
            </w:r>
          </w:p>
        </w:tc>
        <w:tc>
          <w:tcPr>
            <w:tcW w:w="6838" w:type="dxa"/>
            <w:tcBorders>
              <w:tl2br w:val="nil"/>
              <w:tr2bl w:val="nil"/>
            </w:tcBorders>
            <w:vAlign w:val="center"/>
          </w:tcPr>
          <w:p>
            <w:pPr>
              <w:pStyle w:val="100"/>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ottom"/>
              <w:outlineLvl w:val="9"/>
              <w:rPr>
                <w:rFonts w:hint="default" w:ascii="Times New Roman" w:hAnsi="Times New Roman" w:eastAsia="宋体" w:cs="Times New Roman"/>
                <w:color w:val="000000" w:themeColor="text1"/>
                <w:kern w:val="2"/>
                <w:sz w:val="21"/>
                <w:szCs w:val="22"/>
              </w:rPr>
            </w:pPr>
            <w:r>
              <w:rPr>
                <w:rFonts w:hint="default" w:ascii="Times New Roman" w:hAnsi="Times New Roman" w:eastAsia="宋体" w:cs="Times New Roman"/>
                <w:color w:val="000000" w:themeColor="text1"/>
                <w:kern w:val="2"/>
                <w:sz w:val="21"/>
                <w:szCs w:val="22"/>
              </w:rPr>
              <w:t>①</w:t>
            </w:r>
            <w:r>
              <w:rPr>
                <w:rFonts w:hint="default" w:ascii="Times New Roman" w:hAnsi="Times New Roman" w:eastAsia="宋体" w:cs="Times New Roman"/>
                <w:color w:val="000000" w:themeColor="text1"/>
                <w:kern w:val="2"/>
                <w:sz w:val="21"/>
                <w:szCs w:val="22"/>
                <w:lang w:val="en-US" w:eastAsia="zh-CN"/>
              </w:rPr>
              <w:t>地下矿石开采</w:t>
            </w:r>
            <w:r>
              <w:rPr>
                <w:rFonts w:hint="default" w:ascii="Times New Roman" w:hAnsi="Times New Roman" w:eastAsia="宋体" w:cs="Times New Roman"/>
                <w:color w:val="000000" w:themeColor="text1"/>
                <w:kern w:val="2"/>
                <w:sz w:val="21"/>
                <w:szCs w:val="22"/>
              </w:rPr>
              <w:t>对地下水水位的影响；</w:t>
            </w:r>
          </w:p>
          <w:p>
            <w:pPr>
              <w:pStyle w:val="100"/>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ottom"/>
              <w:outlineLvl w:val="9"/>
              <w:rPr>
                <w:rFonts w:hint="default" w:ascii="Times New Roman" w:hAnsi="Times New Roman" w:eastAsia="宋体" w:cs="Times New Roman"/>
                <w:color w:val="000000" w:themeColor="text1"/>
                <w:kern w:val="2"/>
                <w:sz w:val="21"/>
                <w:szCs w:val="22"/>
              </w:rPr>
            </w:pPr>
            <w:r>
              <w:rPr>
                <w:rFonts w:hint="default" w:ascii="Times New Roman" w:hAnsi="Times New Roman" w:eastAsia="宋体" w:cs="Times New Roman"/>
                <w:color w:val="000000" w:themeColor="text1"/>
                <w:kern w:val="2"/>
                <w:sz w:val="21"/>
                <w:szCs w:val="22"/>
              </w:rPr>
              <w:t>②</w:t>
            </w:r>
            <w:r>
              <w:rPr>
                <w:rFonts w:hint="default" w:ascii="Times New Roman" w:hAnsi="Times New Roman" w:eastAsia="宋体" w:cs="Times New Roman"/>
                <w:color w:val="000000" w:themeColor="text1"/>
                <w:kern w:val="2"/>
                <w:sz w:val="21"/>
                <w:szCs w:val="22"/>
                <w:lang w:val="en-US" w:eastAsia="zh-CN"/>
              </w:rPr>
              <w:t>地面各场地建设、人员和机械车辆活动</w:t>
            </w:r>
            <w:r>
              <w:rPr>
                <w:rFonts w:hint="default" w:ascii="Times New Roman" w:hAnsi="Times New Roman" w:eastAsia="宋体" w:cs="Times New Roman"/>
                <w:color w:val="000000" w:themeColor="text1"/>
                <w:kern w:val="2"/>
                <w:sz w:val="21"/>
                <w:szCs w:val="22"/>
              </w:rPr>
              <w:t>对动植物以及景观的影响；</w:t>
            </w:r>
          </w:p>
          <w:p>
            <w:pPr>
              <w:pStyle w:val="100"/>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ottom"/>
              <w:outlineLvl w:val="9"/>
              <w:rPr>
                <w:rFonts w:hint="default" w:ascii="Times New Roman" w:hAnsi="Times New Roman" w:eastAsia="宋体" w:cs="Times New Roman"/>
                <w:color w:val="000000" w:themeColor="text1"/>
                <w:kern w:val="2"/>
                <w:sz w:val="21"/>
                <w:szCs w:val="22"/>
              </w:rPr>
            </w:pPr>
            <w:r>
              <w:rPr>
                <w:rFonts w:hint="default" w:ascii="Times New Roman" w:hAnsi="Times New Roman" w:eastAsia="宋体" w:cs="Times New Roman"/>
                <w:color w:val="000000" w:themeColor="text1"/>
                <w:kern w:val="2"/>
                <w:sz w:val="21"/>
                <w:szCs w:val="22"/>
              </w:rPr>
              <w:t>③采空区造成的岩移影响；</w:t>
            </w:r>
          </w:p>
          <w:p>
            <w:pPr>
              <w:pStyle w:val="100"/>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ottom"/>
              <w:outlineLvl w:val="9"/>
              <w:rPr>
                <w:rFonts w:hint="default" w:ascii="Times New Roman" w:hAnsi="Times New Roman" w:eastAsia="宋体" w:cs="Times New Roman"/>
                <w:color w:val="000000" w:themeColor="text1"/>
                <w:kern w:val="2"/>
                <w:sz w:val="21"/>
                <w:szCs w:val="22"/>
              </w:rPr>
            </w:pPr>
            <w:r>
              <w:rPr>
                <w:rFonts w:hint="default" w:ascii="Times New Roman" w:hAnsi="Times New Roman" w:eastAsia="宋体" w:cs="Times New Roman"/>
                <w:color w:val="000000" w:themeColor="text1"/>
                <w:kern w:val="2"/>
                <w:sz w:val="21"/>
                <w:szCs w:val="22"/>
              </w:rPr>
              <w:fldChar w:fldCharType="begin"/>
            </w:r>
            <w:r>
              <w:rPr>
                <w:rFonts w:hint="default" w:ascii="Times New Roman" w:hAnsi="Times New Roman" w:eastAsia="宋体" w:cs="Times New Roman"/>
                <w:color w:val="000000" w:themeColor="text1"/>
                <w:kern w:val="2"/>
                <w:sz w:val="21"/>
                <w:szCs w:val="22"/>
              </w:rPr>
              <w:instrText xml:space="preserve"> = 4 \* GB3 \* MERGEFORMAT </w:instrText>
            </w:r>
            <w:r>
              <w:rPr>
                <w:rFonts w:hint="default" w:ascii="Times New Roman" w:hAnsi="Times New Roman" w:eastAsia="宋体" w:cs="Times New Roman"/>
                <w:color w:val="000000" w:themeColor="text1"/>
                <w:kern w:val="2"/>
                <w:sz w:val="21"/>
                <w:szCs w:val="22"/>
              </w:rPr>
              <w:fldChar w:fldCharType="separate"/>
            </w:r>
            <w:r>
              <w:rPr>
                <w:rFonts w:hint="default" w:ascii="Times New Roman" w:hAnsi="Times New Roman" w:eastAsia="宋体" w:cs="Times New Roman"/>
                <w:color w:val="000000" w:themeColor="text1"/>
                <w:kern w:val="2"/>
                <w:sz w:val="21"/>
                <w:szCs w:val="22"/>
              </w:rPr>
              <w:t>④</w:t>
            </w:r>
            <w:r>
              <w:rPr>
                <w:rFonts w:hint="default" w:ascii="Times New Roman" w:hAnsi="Times New Roman" w:eastAsia="宋体" w:cs="Times New Roman"/>
                <w:color w:val="000000" w:themeColor="text1"/>
                <w:kern w:val="2"/>
                <w:sz w:val="21"/>
                <w:szCs w:val="22"/>
              </w:rPr>
              <w:fldChar w:fldCharType="end"/>
            </w:r>
            <w:r>
              <w:rPr>
                <w:rFonts w:hint="default" w:ascii="Times New Roman" w:hAnsi="Times New Roman" w:eastAsia="宋体" w:cs="Times New Roman"/>
                <w:color w:val="000000" w:themeColor="text1"/>
                <w:kern w:val="2"/>
                <w:sz w:val="21"/>
                <w:szCs w:val="22"/>
              </w:rPr>
              <w:t>地面活动造成的局部区域的水土流失</w:t>
            </w:r>
            <w:r>
              <w:rPr>
                <w:rFonts w:hint="default" w:ascii="Times New Roman" w:hAnsi="Times New Roman" w:eastAsia="宋体" w:cs="Times New Roman"/>
                <w:color w:val="000000" w:themeColor="text1"/>
                <w:kern w:val="2"/>
                <w:sz w:val="21"/>
                <w:szCs w:val="22"/>
                <w:lang w:val="en-US" w:eastAsia="zh-CN"/>
              </w:rPr>
              <w:t>等</w:t>
            </w:r>
            <w:r>
              <w:rPr>
                <w:rFonts w:hint="default" w:ascii="Times New Roman" w:hAnsi="Times New Roman" w:eastAsia="宋体" w:cs="Times New Roman"/>
                <w:color w:val="000000" w:themeColor="text1"/>
                <w:kern w:val="2"/>
                <w:sz w:val="21"/>
                <w:szCs w:val="22"/>
              </w:rPr>
              <w:t>。</w:t>
            </w:r>
          </w:p>
        </w:tc>
      </w:tr>
    </w:tbl>
    <w:p>
      <w:pPr>
        <w:rPr>
          <w:rFonts w:hint="default"/>
          <w:color w:val="000000" w:themeColor="text1"/>
        </w:rPr>
      </w:pPr>
    </w:p>
    <w:p>
      <w:pPr>
        <w:pStyle w:val="5"/>
        <w:rPr>
          <w:rFonts w:hint="default"/>
          <w:color w:val="000000" w:themeColor="text1"/>
          <w:lang w:val="en-US" w:eastAsia="zh-CN"/>
        </w:rPr>
      </w:pPr>
      <w:bookmarkStart w:id="265" w:name="_Toc7542"/>
      <w:bookmarkStart w:id="266" w:name="_Toc9312_WPSOffice_Level3"/>
      <w:r>
        <w:rPr>
          <w:rFonts w:hint="eastAsia"/>
          <w:color w:val="000000" w:themeColor="text1"/>
          <w:lang w:val="en-US" w:eastAsia="zh-CN"/>
        </w:rPr>
        <w:t>运营期</w:t>
      </w:r>
      <w:r>
        <w:rPr>
          <w:rFonts w:hint="default"/>
          <w:color w:val="000000" w:themeColor="text1"/>
          <w:lang w:val="en-US" w:eastAsia="zh-CN"/>
        </w:rPr>
        <w:t>污染源源强核算</w:t>
      </w:r>
      <w:bookmarkEnd w:id="265"/>
      <w:bookmarkEnd w:id="266"/>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lang w:val="en-US" w:eastAsia="zh-CN"/>
        </w:rPr>
        <w:t>1.运营期</w:t>
      </w:r>
      <w:r>
        <w:rPr>
          <w:rFonts w:hint="default" w:ascii="Times New Roman" w:hAnsi="Times New Roman" w:eastAsia="宋体" w:cs="Times New Roman"/>
          <w:b/>
          <w:bCs/>
          <w:color w:val="000000" w:themeColor="text1"/>
          <w:sz w:val="24"/>
          <w:szCs w:val="24"/>
        </w:rPr>
        <w:t>废气</w:t>
      </w:r>
    </w:p>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矿山</w:t>
      </w:r>
      <w:r>
        <w:rPr>
          <w:rFonts w:hint="eastAsia"/>
          <w:color w:val="000000" w:themeColor="text1"/>
          <w:sz w:val="24"/>
          <w:szCs w:val="24"/>
          <w:lang w:val="en-US" w:eastAsia="zh-CN"/>
        </w:rPr>
        <w:t>采掘项目废气</w:t>
      </w:r>
      <w:r>
        <w:rPr>
          <w:rFonts w:hint="eastAsia"/>
          <w:color w:val="000000" w:themeColor="text1"/>
          <w:sz w:val="24"/>
          <w:szCs w:val="24"/>
        </w:rPr>
        <w:t>污染源包括：采矿通风井污风、矿石</w:t>
      </w:r>
      <w:r>
        <w:rPr>
          <w:rFonts w:hint="eastAsia"/>
          <w:color w:val="000000" w:themeColor="text1"/>
          <w:sz w:val="24"/>
          <w:szCs w:val="24"/>
          <w:lang w:eastAsia="zh-CN"/>
        </w:rPr>
        <w:t>堆场</w:t>
      </w:r>
      <w:r>
        <w:rPr>
          <w:rFonts w:hint="eastAsia"/>
          <w:color w:val="000000" w:themeColor="text1"/>
          <w:sz w:val="24"/>
          <w:szCs w:val="24"/>
        </w:rPr>
        <w:t>扬尘以及</w:t>
      </w:r>
      <w:r>
        <w:rPr>
          <w:rFonts w:hint="eastAsia"/>
          <w:color w:val="000000" w:themeColor="text1"/>
          <w:sz w:val="24"/>
          <w:szCs w:val="24"/>
          <w:lang w:val="en-US" w:eastAsia="zh-CN"/>
        </w:rPr>
        <w:t>餐饮</w:t>
      </w:r>
      <w:r>
        <w:rPr>
          <w:rFonts w:hint="eastAsia"/>
          <w:color w:val="000000" w:themeColor="text1"/>
          <w:sz w:val="24"/>
          <w:szCs w:val="24"/>
        </w:rPr>
        <w:t>油烟产生的废气等。</w:t>
      </w:r>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1</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风井污风</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cs="Times New Roman"/>
          <w:color w:val="000000" w:themeColor="text1"/>
          <w:sz w:val="24"/>
          <w:szCs w:val="24"/>
          <w:lang w:bidi="en-US"/>
        </w:rPr>
        <w:t>在凿岩、爆破、掘进等过程中会有粉尘产生。</w:t>
      </w:r>
      <w:r>
        <w:rPr>
          <w:rFonts w:hint="default" w:ascii="Times New Roman" w:hAnsi="Times New Roman" w:eastAsia="宋体" w:cs="Times New Roman"/>
          <w:color w:val="000000" w:themeColor="text1"/>
          <w:sz w:val="24"/>
          <w:szCs w:val="24"/>
        </w:rPr>
        <w:t>根据《井下凿岩机产尘强度的测定和计算》（冶金部安全环保研究院  杨娟、沈汉年）可知：</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eastAsia="zh-CN"/>
        </w:rPr>
        <w:t>表</w:t>
      </w:r>
      <w:r>
        <w:rPr>
          <w:rFonts w:hint="eastAsia" w:ascii="Times New Roman" w:hAnsi="Times New Roman" w:eastAsia="宋体" w:cs="Times New Roman"/>
          <w:b/>
          <w:bCs/>
          <w:color w:val="000000" w:themeColor="text1"/>
          <w:sz w:val="21"/>
          <w:szCs w:val="21"/>
          <w:lang w:val="en-US" w:eastAsia="zh-CN"/>
        </w:rPr>
        <w:t xml:space="preserve">3.3-10  </w:t>
      </w:r>
      <w:r>
        <w:rPr>
          <w:rFonts w:hint="default" w:ascii="Times New Roman" w:hAnsi="Times New Roman" w:eastAsia="宋体" w:cs="Times New Roman"/>
          <w:b/>
          <w:bCs/>
          <w:color w:val="000000" w:themeColor="text1"/>
          <w:sz w:val="21"/>
          <w:szCs w:val="21"/>
        </w:rPr>
        <w:t>《井下凿岩机产尘强度的测定和计算》</w:t>
      </w:r>
      <w:r>
        <w:rPr>
          <w:rFonts w:hint="eastAsia" w:ascii="Times New Roman" w:hAnsi="Times New Roman" w:eastAsia="宋体" w:cs="Times New Roman"/>
          <w:b/>
          <w:bCs/>
          <w:color w:val="000000" w:themeColor="text1"/>
          <w:sz w:val="21"/>
          <w:szCs w:val="21"/>
          <w:lang w:eastAsia="zh-CN"/>
        </w:rPr>
        <w:t>一览表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Cs w:val="24"/>
          <w:lang w:val="en-US" w:eastAsia="zh-CN"/>
        </w:rPr>
      </w:pPr>
      <w:r>
        <w:rPr>
          <w:rFonts w:hint="eastAsia" w:asciiTheme="minorEastAsia" w:hAnsiTheme="minorEastAsia" w:eastAsiaTheme="minorEastAsia" w:cstheme="minorEastAsia"/>
          <w:color w:val="000000" w:themeColor="text1"/>
          <w:szCs w:val="24"/>
        </w:rPr>
        <w:drawing>
          <wp:inline distT="0" distB="0" distL="114300" distR="114300">
            <wp:extent cx="5713730" cy="1722120"/>
            <wp:effectExtent l="19050" t="19050" r="20320" b="3048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36" cstate="print"/>
                    <a:stretch>
                      <a:fillRect/>
                    </a:stretch>
                  </pic:blipFill>
                  <pic:spPr>
                    <a:xfrm>
                      <a:off x="0" y="0"/>
                      <a:ext cx="5713730" cy="1722120"/>
                    </a:xfrm>
                    <a:prstGeom prst="rect">
                      <a:avLst/>
                    </a:prstGeom>
                    <a:noFill/>
                    <a:ln w="19050">
                      <a:solidFill>
                        <a:schemeClr val="tx1"/>
                      </a:solidFill>
                    </a:ln>
                  </pic:spPr>
                </pic:pic>
              </a:graphicData>
            </a:graphic>
          </wp:inline>
        </w:drawing>
      </w:r>
      <w:r>
        <w:rPr>
          <w:rFonts w:hint="eastAsia" w:asciiTheme="minorEastAsia" w:hAnsiTheme="minorEastAsia" w:cstheme="minorEastAsia"/>
          <w:color w:val="000000" w:themeColor="text1"/>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本项目类比</w:t>
      </w:r>
      <w:r>
        <w:rPr>
          <w:rFonts w:hint="eastAsia" w:ascii="Times New Roman" w:hAnsi="Times New Roman" w:eastAsia="宋体" w:cs="Times New Roman"/>
          <w:color w:val="000000" w:themeColor="text1"/>
          <w:sz w:val="24"/>
          <w:szCs w:val="24"/>
          <w:lang w:eastAsia="zh-CN"/>
        </w:rPr>
        <w:t>上表中</w:t>
      </w:r>
      <w:r>
        <w:rPr>
          <w:rFonts w:hint="default" w:ascii="Times New Roman" w:hAnsi="Times New Roman" w:eastAsia="宋体" w:cs="Times New Roman"/>
          <w:color w:val="000000" w:themeColor="text1"/>
          <w:sz w:val="24"/>
          <w:szCs w:val="24"/>
        </w:rPr>
        <w:t>大理石的</w:t>
      </w:r>
      <w:r>
        <w:rPr>
          <w:rFonts w:hint="eastAsia" w:ascii="Times New Roman" w:hAnsi="Times New Roman" w:eastAsia="宋体" w:cs="Times New Roman"/>
          <w:color w:val="000000" w:themeColor="text1"/>
          <w:sz w:val="24"/>
          <w:szCs w:val="24"/>
          <w:lang w:val="en-US" w:eastAsia="zh-CN"/>
        </w:rPr>
        <w:t>实测</w:t>
      </w:r>
      <w:r>
        <w:rPr>
          <w:rFonts w:hint="default" w:ascii="Times New Roman" w:hAnsi="Times New Roman" w:eastAsia="宋体" w:cs="Times New Roman"/>
          <w:color w:val="000000" w:themeColor="text1"/>
          <w:sz w:val="24"/>
          <w:szCs w:val="24"/>
        </w:rPr>
        <w:t>产尘强度12.1</w:t>
      </w:r>
      <w:r>
        <w:rPr>
          <w:rFonts w:hint="eastAsia" w:ascii="Times New Roman" w:hAnsi="Times New Roman" w:eastAsia="宋体" w:cs="Times New Roman"/>
          <w:color w:val="000000" w:themeColor="text1"/>
          <w:sz w:val="24"/>
          <w:szCs w:val="24"/>
          <w:lang w:val="en-US" w:eastAsia="zh-CN"/>
        </w:rPr>
        <w:t>7</w:t>
      </w:r>
      <w:r>
        <w:rPr>
          <w:rFonts w:hint="default" w:ascii="Times New Roman" w:hAnsi="Times New Roman" w:eastAsia="宋体" w:cs="Times New Roman"/>
          <w:color w:val="000000" w:themeColor="text1"/>
          <w:sz w:val="24"/>
          <w:szCs w:val="24"/>
        </w:rPr>
        <w:t>mg/s</w:t>
      </w:r>
      <w:r>
        <w:rPr>
          <w:rFonts w:hint="eastAsia" w:ascii="Times New Roman" w:hAnsi="Times New Roman" w:eastAsia="宋体" w:cs="Times New Roman"/>
          <w:color w:val="000000" w:themeColor="text1"/>
          <w:sz w:val="24"/>
          <w:szCs w:val="24"/>
          <w:lang w:eastAsia="zh-CN"/>
        </w:rPr>
        <w:t>，即</w:t>
      </w:r>
      <w:r>
        <w:rPr>
          <w:rFonts w:hint="eastAsia" w:ascii="Times New Roman" w:hAnsi="Times New Roman" w:eastAsia="宋体" w:cs="Times New Roman"/>
          <w:color w:val="000000" w:themeColor="text1"/>
          <w:sz w:val="24"/>
          <w:szCs w:val="24"/>
          <w:lang w:val="en-US" w:eastAsia="zh-CN"/>
        </w:rPr>
        <w:t>4.38</w:t>
      </w:r>
      <w:r>
        <w:rPr>
          <w:rFonts w:hint="default" w:ascii="Arial" w:hAnsi="Arial" w:eastAsia="宋体" w:cs="Arial"/>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10</w:t>
      </w:r>
      <w:r>
        <w:rPr>
          <w:rFonts w:hint="eastAsia" w:ascii="Times New Roman" w:hAnsi="Times New Roman" w:eastAsia="宋体" w:cs="Times New Roman"/>
          <w:color w:val="000000" w:themeColor="text1"/>
          <w:sz w:val="24"/>
          <w:szCs w:val="24"/>
          <w:vertAlign w:val="superscript"/>
          <w:lang w:val="en-US" w:eastAsia="zh-CN"/>
        </w:rPr>
        <w:t>-2</w:t>
      </w:r>
      <w:r>
        <w:rPr>
          <w:rFonts w:hint="eastAsia" w:ascii="Times New Roman" w:hAnsi="Times New Roman" w:eastAsia="宋体" w:cs="Times New Roman"/>
          <w:color w:val="000000" w:themeColor="text1"/>
          <w:sz w:val="24"/>
          <w:szCs w:val="24"/>
          <w:vertAlign w:val="baseline"/>
          <w:lang w:val="en-US" w:eastAsia="zh-CN"/>
        </w:rPr>
        <w:t>kg/h，</w:t>
      </w:r>
      <w:r>
        <w:rPr>
          <w:rFonts w:hint="default" w:ascii="Times New Roman" w:hAnsi="Times New Roman" w:eastAsia="宋体" w:cs="Times New Roman"/>
          <w:color w:val="000000" w:themeColor="text1"/>
          <w:sz w:val="24"/>
          <w:szCs w:val="24"/>
        </w:rPr>
        <w:t>本项目年生产7200h</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理论产尘量约为0.315t/a</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本项目毒重石原石为大块状，本项目矿石长期埋在地下，相对较为潮湿，开采过程中产生量相对较小，粉尘产生后在矿洞内自然沉降较快，</w:t>
      </w:r>
      <w:r>
        <w:rPr>
          <w:rFonts w:hint="default" w:ascii="Times New Roman" w:hAnsi="Times New Roman" w:eastAsia="宋体" w:cs="Times New Roman"/>
          <w:color w:val="000000" w:themeColor="text1"/>
          <w:sz w:val="24"/>
          <w:szCs w:val="24"/>
        </w:rPr>
        <w:t>本项目拟通过湿式凿岩、工作面及装卸矿点喷雾洒水除尘的湿式作业和机械与自然通风输送新鲜风的稀释方式，降低井下粉尘和废气浓度，减轻对井下工人的危害。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本项目经过采用湿式凿岩和采用输送新鲜风的方式降低粉尘产生量，有效减低坑内粉尘浓度，</w:t>
      </w:r>
      <w:r>
        <w:rPr>
          <w:rFonts w:hint="eastAsia" w:ascii="Times New Roman" w:hAnsi="Times New Roman" w:eastAsia="宋体" w:cs="Times New Roman"/>
          <w:color w:val="000000" w:themeColor="text1"/>
          <w:sz w:val="24"/>
          <w:szCs w:val="24"/>
          <w:lang w:val="en-US" w:eastAsia="zh-CN"/>
        </w:rPr>
        <w:t>综合考虑，总体</w:t>
      </w:r>
      <w:r>
        <w:rPr>
          <w:rFonts w:hint="default" w:ascii="Times New Roman" w:hAnsi="Times New Roman" w:eastAsia="宋体" w:cs="Times New Roman"/>
          <w:color w:val="000000" w:themeColor="text1"/>
          <w:sz w:val="24"/>
          <w:szCs w:val="24"/>
        </w:rPr>
        <w:t>抑尘率</w:t>
      </w:r>
      <w:r>
        <w:rPr>
          <w:rFonts w:hint="eastAsia" w:ascii="Times New Roman" w:hAnsi="Times New Roman" w:eastAsia="宋体" w:cs="Times New Roman"/>
          <w:color w:val="000000" w:themeColor="text1"/>
          <w:sz w:val="24"/>
          <w:szCs w:val="24"/>
          <w:lang w:val="en-US" w:eastAsia="zh-CN"/>
        </w:rPr>
        <w:t>约</w:t>
      </w:r>
      <w:r>
        <w:rPr>
          <w:rFonts w:hint="default" w:ascii="Times New Roman" w:hAnsi="Times New Roman" w:eastAsia="宋体" w:cs="Times New Roman"/>
          <w:color w:val="000000" w:themeColor="text1"/>
          <w:sz w:val="24"/>
          <w:szCs w:val="24"/>
        </w:rPr>
        <w:t>为</w:t>
      </w:r>
      <w:r>
        <w:rPr>
          <w:rFonts w:hint="eastAsia" w:ascii="Times New Roman" w:hAnsi="Times New Roman" w:eastAsia="宋体" w:cs="Times New Roman"/>
          <w:color w:val="000000" w:themeColor="text1"/>
          <w:sz w:val="24"/>
          <w:szCs w:val="24"/>
          <w:lang w:val="en-US" w:eastAsia="zh-CN"/>
        </w:rPr>
        <w:t>95</w:t>
      </w:r>
      <w:r>
        <w:rPr>
          <w:rFonts w:hint="default" w:ascii="Times New Roman" w:hAnsi="Times New Roman" w:eastAsia="宋体" w:cs="Times New Roman"/>
          <w:color w:val="000000" w:themeColor="text1"/>
          <w:sz w:val="24"/>
          <w:szCs w:val="24"/>
        </w:rPr>
        <w:t>%，则粉尘排放速率为</w:t>
      </w:r>
      <w:r>
        <w:rPr>
          <w:rFonts w:hint="eastAsia" w:ascii="Times New Roman" w:hAnsi="Times New Roman" w:eastAsia="宋体" w:cs="Times New Roman"/>
          <w:color w:val="000000" w:themeColor="text1"/>
          <w:sz w:val="24"/>
          <w:szCs w:val="24"/>
          <w:lang w:val="en-US" w:eastAsia="zh-CN"/>
        </w:rPr>
        <w:t>0.6085</w:t>
      </w:r>
      <w:r>
        <w:rPr>
          <w:rFonts w:hint="default" w:ascii="Times New Roman" w:hAnsi="Times New Roman" w:eastAsia="宋体" w:cs="Times New Roman"/>
          <w:color w:val="000000" w:themeColor="text1"/>
          <w:sz w:val="24"/>
          <w:szCs w:val="24"/>
        </w:rPr>
        <w:t>mg/s</w:t>
      </w:r>
      <w:r>
        <w:rPr>
          <w:rFonts w:hint="eastAsia" w:ascii="Times New Roman" w:hAnsi="Times New Roman" w:eastAsia="宋体" w:cs="Times New Roman"/>
          <w:color w:val="000000" w:themeColor="text1"/>
          <w:sz w:val="24"/>
          <w:szCs w:val="24"/>
          <w:lang w:eastAsia="zh-CN"/>
        </w:rPr>
        <w:t>，即</w:t>
      </w:r>
      <w:r>
        <w:rPr>
          <w:rFonts w:hint="eastAsia" w:ascii="Times New Roman" w:hAnsi="Times New Roman" w:eastAsia="宋体" w:cs="Times New Roman"/>
          <w:color w:val="000000" w:themeColor="text1"/>
          <w:sz w:val="24"/>
          <w:szCs w:val="24"/>
          <w:lang w:val="en-US" w:eastAsia="zh-CN"/>
        </w:rPr>
        <w:t>0.0022</w:t>
      </w:r>
      <w:r>
        <w:rPr>
          <w:rFonts w:hint="default" w:ascii="Times New Roman" w:hAnsi="Times New Roman" w:eastAsia="宋体" w:cs="Times New Roman"/>
          <w:color w:val="000000" w:themeColor="text1"/>
          <w:sz w:val="21"/>
          <w:szCs w:val="21"/>
        </w:rPr>
        <w:t>kg/h</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4"/>
          <w:szCs w:val="24"/>
          <w:lang w:eastAsia="zh-CN"/>
        </w:rPr>
        <w:t>排放量为</w:t>
      </w:r>
      <w:r>
        <w:rPr>
          <w:rFonts w:hint="default" w:ascii="Times New Roman" w:hAnsi="Times New Roman" w:eastAsia="宋体" w:cs="Times New Roman"/>
          <w:color w:val="000000" w:themeColor="text1"/>
          <w:sz w:val="24"/>
          <w:szCs w:val="24"/>
        </w:rPr>
        <w:t>0.0</w:t>
      </w:r>
      <w:r>
        <w:rPr>
          <w:rFonts w:hint="eastAsia" w:ascii="Times New Roman" w:hAnsi="Times New Roman" w:eastAsia="宋体" w:cs="Times New Roman"/>
          <w:color w:val="000000" w:themeColor="text1"/>
          <w:sz w:val="24"/>
          <w:szCs w:val="24"/>
          <w:lang w:val="en-US" w:eastAsia="zh-CN"/>
        </w:rPr>
        <w:t>158</w:t>
      </w:r>
      <w:r>
        <w:rPr>
          <w:rFonts w:hint="default"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lang w:eastAsia="zh-CN"/>
        </w:rPr>
        <w:t>。</w:t>
      </w:r>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2</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矿石</w:t>
      </w:r>
      <w:r>
        <w:rPr>
          <w:rFonts w:hint="eastAsia" w:ascii="Times New Roman" w:hAnsi="Times New Roman" w:eastAsia="宋体" w:cs="Times New Roman"/>
          <w:b w:val="0"/>
          <w:bCs w:val="0"/>
          <w:color w:val="000000" w:themeColor="text1"/>
          <w:sz w:val="24"/>
          <w:szCs w:val="24"/>
          <w:lang w:val="en-US" w:eastAsia="zh-CN"/>
        </w:rPr>
        <w:t>堆场</w:t>
      </w:r>
      <w:r>
        <w:rPr>
          <w:rFonts w:hint="default" w:ascii="Times New Roman" w:hAnsi="Times New Roman" w:eastAsia="宋体" w:cs="Times New Roman"/>
          <w:b w:val="0"/>
          <w:bCs w:val="0"/>
          <w:color w:val="000000" w:themeColor="text1"/>
          <w:sz w:val="24"/>
          <w:szCs w:val="24"/>
        </w:rPr>
        <w:t>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矿山开采出的矿山由矿车运出后，先在出矿硐口堆放，然后由卡车运出矿区。</w:t>
      </w:r>
      <w:r>
        <w:rPr>
          <w:rFonts w:hint="eastAsia" w:ascii="Times New Roman" w:hAnsi="Times New Roman" w:eastAsia="宋体" w:cs="Times New Roman"/>
          <w:color w:val="FF0000"/>
          <w:sz w:val="24"/>
          <w:szCs w:val="24"/>
          <w:lang w:val="en-US" w:eastAsia="zh-CN"/>
        </w:rPr>
        <w:t>K1矿体运营期产生的废石一部分用于PD710的填充，剩余在各硐口的堆棚中临时堆存，用于后期填充采空区。K2矿体出基建用的废石外，其余废石临时堆放于个硐口的临时堆棚，后期全部填充采空区。</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eastAsia="zh-CN"/>
        </w:rPr>
        <w:t>根据《逸散性工业粉尘控制技术》第一章第四节的碎石装货作业粉尘排放系数，起沉物质的起沉量为</w:t>
      </w:r>
      <w:r>
        <w:rPr>
          <w:rFonts w:hint="eastAsia" w:ascii="Times New Roman" w:hAnsi="Times New Roman" w:eastAsia="宋体" w:cs="Times New Roman"/>
          <w:color w:val="FF0000"/>
          <w:sz w:val="24"/>
          <w:szCs w:val="24"/>
          <w:lang w:val="en-US" w:eastAsia="zh-CN"/>
        </w:rPr>
        <w:t>0.025kg/t，本项目年产量为5万吨；废石年产生量约为0.2万m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val="en-US" w:eastAsia="zh-CN"/>
        </w:rPr>
        <w:t>/a，约为0.84万吨，矿石和废石总产生量约为5.84万吨/a。则年产生的粉尘量为1.460t/a。本项目为地下开采，矿石本身比较潮湿，而且本项目采取湿式开采，矿石粒径较大，矿石具有一定的含水率，对粉尘的控制效率按照90%考虑，实际粉尘产生量为0.146t/a，矿石年转运时间约为2400h，产生速率</w:t>
      </w:r>
      <w:r>
        <w:rPr>
          <w:rFonts w:hint="default" w:ascii="Times New Roman" w:hAnsi="Times New Roman" w:eastAsia="宋体" w:cs="Times New Roman"/>
          <w:color w:val="FF0000"/>
          <w:sz w:val="24"/>
          <w:szCs w:val="24"/>
          <w:lang w:val="en-US" w:eastAsia="zh-CN"/>
        </w:rPr>
        <w:t>为</w:t>
      </w:r>
      <w:r>
        <w:rPr>
          <w:rFonts w:hint="eastAsia" w:ascii="Times New Roman" w:hAnsi="Times New Roman" w:eastAsia="宋体" w:cs="Times New Roman"/>
          <w:color w:val="FF0000"/>
          <w:sz w:val="24"/>
          <w:szCs w:val="24"/>
          <w:lang w:val="en-US" w:eastAsia="zh-CN"/>
        </w:rPr>
        <w:t>0.0608</w:t>
      </w:r>
      <w:r>
        <w:rPr>
          <w:rFonts w:hint="default" w:ascii="Times New Roman" w:hAnsi="Times New Roman" w:eastAsia="宋体" w:cs="Times New Roman"/>
          <w:color w:val="FF0000"/>
          <w:sz w:val="24"/>
          <w:szCs w:val="24"/>
          <w:lang w:val="en-US" w:eastAsia="zh-CN"/>
        </w:rPr>
        <w:t>kg/h</w:t>
      </w:r>
      <w:r>
        <w:rPr>
          <w:rFonts w:hint="eastAsia" w:ascii="Times New Roman" w:hAnsi="Times New Roman" w:eastAsia="宋体" w:cs="Times New Roman"/>
          <w:color w:val="FF0000"/>
          <w:sz w:val="24"/>
          <w:szCs w:val="24"/>
          <w:lang w:val="en-US" w:eastAsia="zh-CN"/>
        </w:rPr>
        <w:t>。</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根据</w:t>
      </w:r>
      <w:r>
        <w:rPr>
          <w:rFonts w:hint="default" w:ascii="Times New Roman" w:hAnsi="Times New Roman" w:eastAsia="宋体" w:cs="Times New Roman"/>
          <w:color w:val="FF0000"/>
          <w:sz w:val="24"/>
          <w:szCs w:val="24"/>
        </w:rPr>
        <w:t>《陕西省矿产资源开发</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保生态治污染</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行动方案（2016-2020年）》</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kern w:val="2"/>
          <w:sz w:val="24"/>
          <w:szCs w:val="24"/>
          <w:lang w:val="en-US" w:eastAsia="zh-CN" w:bidi="ar-SA"/>
        </w:rPr>
        <w:t>针对矿山开采、破碎、生产、堆放及装卸等过程中产生的粉尘污染，严格落实扬尘污染治理措施。对扬尘点安装喷淋装置，对成品堆放区实行封闭管理并采取抑尘措施，设置不低于堆放物高度的密闭围栏，并按规范建设防风抑尘网，安装喷淋抑尘设施，完善物料堆场抑尘措施。根据</w:t>
      </w:r>
      <w:r>
        <w:rPr>
          <w:rFonts w:hint="default" w:ascii="Times New Roman" w:hAnsi="Times New Roman" w:eastAsia="宋体" w:cs="Times New Roman"/>
          <w:color w:val="FF0000"/>
          <w:sz w:val="24"/>
          <w:szCs w:val="24"/>
        </w:rPr>
        <w:t>《陕西省人民政府办公厅关于印发蓝天碧水净土保卫战2022年工作方案的通知》</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i w:val="0"/>
          <w:caps w:val="0"/>
          <w:color w:val="FF0000"/>
          <w:spacing w:val="0"/>
          <w:sz w:val="24"/>
          <w:szCs w:val="24"/>
          <w:shd w:val="clear" w:fill="FFFFFF"/>
        </w:rPr>
        <w:t>严禁露天装卸作业和物料干法作业。</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为进一步减少粉尘排放量，环评要求矿石堆场建设矿石堆棚，并且安装喷淋装置。</w:t>
      </w:r>
      <w:r>
        <w:rPr>
          <w:rFonts w:hint="eastAsia" w:ascii="Times New Roman" w:hAnsi="Times New Roman" w:eastAsia="宋体" w:cs="Times New Roman"/>
          <w:color w:val="FF0000"/>
          <w:sz w:val="24"/>
          <w:szCs w:val="24"/>
          <w:lang w:val="en-US" w:eastAsia="zh-CN"/>
        </w:rPr>
        <w:t>半敞开式堆棚</w:t>
      </w:r>
      <w:r>
        <w:rPr>
          <w:rFonts w:hint="eastAsia" w:ascii="Times New Roman" w:hAnsi="Times New Roman" w:eastAsia="宋体" w:cs="Times New Roman"/>
          <w:color w:val="FF0000"/>
          <w:sz w:val="24"/>
          <w:szCs w:val="24"/>
          <w:lang w:eastAsia="zh-CN"/>
        </w:rPr>
        <w:t>的</w:t>
      </w:r>
      <w:r>
        <w:rPr>
          <w:rFonts w:hint="eastAsia" w:ascii="Times New Roman" w:hAnsi="Times New Roman" w:eastAsia="宋体" w:cs="Times New Roman"/>
          <w:color w:val="FF0000"/>
          <w:sz w:val="24"/>
          <w:szCs w:val="24"/>
        </w:rPr>
        <w:t>控制效率为</w:t>
      </w:r>
      <w:r>
        <w:rPr>
          <w:rFonts w:hint="eastAsia" w:ascii="Times New Roman" w:hAnsi="Times New Roman" w:eastAsia="宋体" w:cs="Times New Roman"/>
          <w:color w:val="FF0000"/>
          <w:sz w:val="24"/>
          <w:szCs w:val="24"/>
          <w:lang w:val="en-US" w:eastAsia="zh-CN"/>
        </w:rPr>
        <w:t>60</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洒水喷淋的</w:t>
      </w:r>
      <w:r>
        <w:rPr>
          <w:rFonts w:hint="eastAsia" w:ascii="Times New Roman" w:hAnsi="Times New Roman" w:eastAsia="宋体" w:cs="Times New Roman"/>
          <w:color w:val="FF0000"/>
          <w:sz w:val="24"/>
          <w:szCs w:val="24"/>
        </w:rPr>
        <w:t>控制效率</w:t>
      </w:r>
      <w:r>
        <w:rPr>
          <w:rFonts w:hint="eastAsia" w:ascii="Times New Roman" w:hAnsi="Times New Roman" w:eastAsia="宋体" w:cs="Times New Roman"/>
          <w:color w:val="FF0000"/>
          <w:sz w:val="24"/>
          <w:szCs w:val="24"/>
          <w:lang w:eastAsia="zh-CN"/>
        </w:rPr>
        <w:t>为</w:t>
      </w:r>
      <w:r>
        <w:rPr>
          <w:rFonts w:hint="eastAsia" w:ascii="Times New Roman" w:hAnsi="Times New Roman" w:eastAsia="宋体" w:cs="Times New Roman"/>
          <w:color w:val="FF0000"/>
          <w:sz w:val="24"/>
          <w:szCs w:val="24"/>
          <w:lang w:val="en-US" w:eastAsia="zh-CN"/>
        </w:rPr>
        <w:t>74</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，经过治理后的粉尘排放量为</w:t>
      </w:r>
      <w:r>
        <w:rPr>
          <w:rFonts w:hint="eastAsia" w:ascii="Times New Roman" w:hAnsi="Times New Roman" w:eastAsia="宋体" w:cs="Times New Roman"/>
          <w:color w:val="FF0000"/>
          <w:sz w:val="24"/>
          <w:szCs w:val="24"/>
          <w:lang w:val="en-US" w:eastAsia="zh-CN"/>
        </w:rPr>
        <w:t>0.015t/a。本项目矿石年转运时间约为2400</w:t>
      </w:r>
      <w:r>
        <w:rPr>
          <w:rFonts w:hint="default" w:ascii="Times New Roman" w:hAnsi="Times New Roman" w:eastAsia="宋体" w:cs="Times New Roman"/>
          <w:color w:val="FF0000"/>
          <w:sz w:val="24"/>
          <w:szCs w:val="24"/>
          <w:lang w:val="en-US" w:eastAsia="zh-CN"/>
        </w:rPr>
        <w:t>h</w:t>
      </w:r>
      <w:r>
        <w:rPr>
          <w:rFonts w:hint="eastAsia" w:ascii="Times New Roman" w:hAnsi="Times New Roman" w:eastAsia="宋体" w:cs="Times New Roman"/>
          <w:color w:val="FF0000"/>
          <w:sz w:val="24"/>
          <w:szCs w:val="24"/>
          <w:lang w:val="en-US" w:eastAsia="zh-CN"/>
        </w:rPr>
        <w:t>，则</w:t>
      </w:r>
      <w:r>
        <w:rPr>
          <w:rFonts w:hint="default" w:ascii="Times New Roman" w:hAnsi="Times New Roman" w:eastAsia="宋体" w:cs="Times New Roman"/>
          <w:color w:val="FF0000"/>
          <w:sz w:val="24"/>
          <w:szCs w:val="24"/>
          <w:lang w:val="en-US" w:eastAsia="zh-CN"/>
        </w:rPr>
        <w:t>排放速率为</w:t>
      </w:r>
      <w:r>
        <w:rPr>
          <w:rFonts w:hint="eastAsia" w:ascii="Times New Roman" w:hAnsi="Times New Roman" w:eastAsia="宋体" w:cs="Times New Roman"/>
          <w:color w:val="FF0000"/>
          <w:sz w:val="24"/>
          <w:szCs w:val="24"/>
          <w:lang w:val="en-US" w:eastAsia="zh-CN"/>
        </w:rPr>
        <w:t>0.00625</w:t>
      </w:r>
      <w:r>
        <w:rPr>
          <w:rFonts w:hint="default" w:ascii="Times New Roman" w:hAnsi="Times New Roman" w:eastAsia="宋体" w:cs="Times New Roman"/>
          <w:color w:val="FF0000"/>
          <w:sz w:val="24"/>
          <w:szCs w:val="24"/>
          <w:lang w:val="en-US" w:eastAsia="zh-CN"/>
        </w:rPr>
        <w:t>kg/h</w:t>
      </w:r>
      <w:r>
        <w:rPr>
          <w:rFonts w:hint="eastAsia" w:ascii="Times New Roman" w:hAnsi="Times New Roman" w:eastAsia="宋体" w:cs="Times New Roman"/>
          <w:color w:val="FF0000"/>
          <w:sz w:val="24"/>
          <w:szCs w:val="24"/>
          <w:lang w:val="en-US" w:eastAsia="zh-CN"/>
        </w:rPr>
        <w:t>。</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（3）矿石运输道路扬尘</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本项目采取汽车对矿石进行外运</w:t>
      </w:r>
      <w:r>
        <w:rPr>
          <w:rFonts w:hint="eastAsia" w:ascii="Times New Roman" w:hAnsi="Times New Roman" w:eastAsia="宋体" w:cs="Times New Roman"/>
          <w:b w:val="0"/>
          <w:bCs w:val="0"/>
          <w:color w:val="000000" w:themeColor="text1"/>
          <w:sz w:val="24"/>
          <w:szCs w:val="24"/>
          <w:lang w:val="en-US" w:eastAsia="zh-CN"/>
        </w:rPr>
        <w:t>。运输道路扬尘的产生量与汽车载重量、汽车行驶速度、路面清洁程度、当地的干燥度等因素有关，往往难以定量分析。运输扬尘会对道路两侧的植被、土壤等环境敏感目标产生较大影响。为减少运输道路扬尘污染，环评要求运输车辆减速慢行；车辆全覆盖，防治物料泄漏；定期对道路进行清扫，保持路面清洁等。</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（4）非道路移动机械和运输车辆尾气</w:t>
      </w:r>
    </w:p>
    <w:p>
      <w:pPr>
        <w:pStyle w:val="12"/>
        <w:adjustRightInd w:val="0"/>
        <w:snapToGrid w:val="0"/>
        <w:spacing w:after="0" w:line="360" w:lineRule="auto"/>
        <w:ind w:firstLine="480" w:firstLineChars="200"/>
        <w:jc w:val="left"/>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本项目采用汽车和矿车进行矿石的转运，使用的燃料主要为柴油，</w:t>
      </w:r>
      <w:r>
        <w:rPr>
          <w:rFonts w:hint="default" w:ascii="Times New Roman" w:hAnsi="Times New Roman" w:eastAsia="宋体" w:cs="Times New Roman"/>
          <w:b w:val="0"/>
          <w:bCs w:val="0"/>
          <w:color w:val="000000" w:themeColor="text1"/>
          <w:sz w:val="24"/>
          <w:szCs w:val="24"/>
        </w:rPr>
        <w:t>排放的尾气中的污染物主要有</w:t>
      </w:r>
      <w:r>
        <w:rPr>
          <w:rFonts w:hint="default" w:ascii="Times New Roman" w:hAnsi="Times New Roman" w:eastAsia="宋体" w:cs="Times New Roman"/>
          <w:b w:val="0"/>
          <w:bCs w:val="0"/>
          <w:color w:val="000000" w:themeColor="text1"/>
          <w:sz w:val="24"/>
          <w:szCs w:val="24"/>
          <w:lang w:val="en-US"/>
        </w:rPr>
        <w:t>VOC</w:t>
      </w:r>
      <w:r>
        <w:rPr>
          <w:rFonts w:hint="default" w:ascii="Times New Roman" w:hAnsi="Times New Roman" w:eastAsia="宋体" w:cs="Times New Roman"/>
          <w:b w:val="0"/>
          <w:bCs w:val="0"/>
          <w:color w:val="000000" w:themeColor="text1"/>
          <w:sz w:val="24"/>
          <w:szCs w:val="24"/>
          <w:vertAlign w:val="subscript"/>
          <w:lang w:val="en-US"/>
        </w:rPr>
        <w:t>S</w:t>
      </w:r>
      <w:r>
        <w:rPr>
          <w:rFonts w:hint="default" w:ascii="Times New Roman" w:hAnsi="Times New Roman" w:eastAsia="宋体" w:cs="Times New Roman"/>
          <w:b w:val="0"/>
          <w:bCs w:val="0"/>
          <w:color w:val="000000" w:themeColor="text1"/>
          <w:sz w:val="24"/>
          <w:szCs w:val="24"/>
        </w:rPr>
        <w:t>、NO</w:t>
      </w:r>
      <w:r>
        <w:rPr>
          <w:rFonts w:hint="default" w:ascii="Times New Roman" w:hAnsi="Times New Roman" w:eastAsia="宋体" w:cs="Times New Roman"/>
          <w:b w:val="0"/>
          <w:bCs w:val="0"/>
          <w:color w:val="000000" w:themeColor="text1"/>
          <w:sz w:val="24"/>
          <w:szCs w:val="24"/>
          <w:vertAlign w:val="subscript"/>
        </w:rPr>
        <w:t>X</w:t>
      </w:r>
      <w:r>
        <w:rPr>
          <w:rFonts w:hint="default" w:ascii="Times New Roman" w:hAnsi="Times New Roman" w:eastAsia="宋体" w:cs="Times New Roman"/>
          <w:b w:val="0"/>
          <w:bCs w:val="0"/>
          <w:color w:val="000000" w:themeColor="text1"/>
          <w:sz w:val="24"/>
          <w:szCs w:val="24"/>
        </w:rPr>
        <w:t>、</w:t>
      </w:r>
      <w:r>
        <w:rPr>
          <w:rFonts w:hint="eastAsia" w:ascii="Times New Roman" w:hAnsi="Times New Roman" w:eastAsia="宋体" w:cs="Times New Roman"/>
          <w:b w:val="0"/>
          <w:bCs w:val="0"/>
          <w:color w:val="000000" w:themeColor="text1"/>
          <w:sz w:val="24"/>
          <w:szCs w:val="24"/>
          <w:lang w:eastAsia="zh-CN"/>
        </w:rPr>
        <w:t>颗粒物</w:t>
      </w:r>
      <w:r>
        <w:rPr>
          <w:rFonts w:hint="default" w:ascii="Times New Roman" w:hAnsi="Times New Roman" w:eastAsia="宋体" w:cs="Times New Roman"/>
          <w:b w:val="0"/>
          <w:bCs w:val="0"/>
          <w:color w:val="000000" w:themeColor="text1"/>
          <w:sz w:val="24"/>
          <w:szCs w:val="24"/>
        </w:rPr>
        <w:t>，会对环境空气产生影响。</w:t>
      </w:r>
      <w:r>
        <w:rPr>
          <w:rFonts w:hint="eastAsia" w:ascii="Times New Roman" w:hAnsi="Times New Roman" w:eastAsia="宋体" w:cs="Times New Roman"/>
          <w:b w:val="0"/>
          <w:bCs w:val="0"/>
          <w:color w:val="000000" w:themeColor="text1"/>
          <w:sz w:val="24"/>
          <w:szCs w:val="24"/>
          <w:lang w:eastAsia="zh-CN"/>
        </w:rPr>
        <w:t>参考移动源产排污核算方法和系数手册</w:t>
      </w:r>
      <w:r>
        <w:rPr>
          <w:rFonts w:hint="default" w:ascii="Times New Roman" w:hAnsi="Times New Roman" w:eastAsia="宋体" w:cs="Times New Roman"/>
          <w:b w:val="0"/>
          <w:bCs w:val="0"/>
          <w:color w:val="000000" w:themeColor="text1"/>
          <w:sz w:val="24"/>
          <w:szCs w:val="24"/>
        </w:rPr>
        <w:t>，</w:t>
      </w:r>
      <w:r>
        <w:rPr>
          <w:rFonts w:hint="eastAsia" w:ascii="Times New Roman" w:hAnsi="Times New Roman" w:eastAsia="宋体" w:cs="Times New Roman"/>
          <w:b w:val="0"/>
          <w:bCs w:val="0"/>
          <w:color w:val="000000" w:themeColor="text1"/>
          <w:sz w:val="24"/>
          <w:szCs w:val="24"/>
          <w:lang w:eastAsia="zh-CN"/>
        </w:rPr>
        <w:t>本项目采用安康市排放系数，国</w:t>
      </w:r>
      <w:r>
        <w:rPr>
          <w:rFonts w:hint="eastAsia" w:ascii="Times New Roman" w:hAnsi="Times New Roman" w:eastAsia="宋体" w:cs="Times New Roman"/>
          <w:b w:val="0"/>
          <w:bCs w:val="0"/>
          <w:color w:val="000000" w:themeColor="text1"/>
          <w:sz w:val="24"/>
          <w:szCs w:val="24"/>
          <w:lang w:val="en-US" w:eastAsia="zh-CN"/>
        </w:rPr>
        <w:t>5标准，</w:t>
      </w:r>
      <w:r>
        <w:rPr>
          <w:rFonts w:hint="eastAsia" w:ascii="Times New Roman" w:hAnsi="Times New Roman" w:eastAsia="宋体" w:cs="Times New Roman"/>
          <w:b w:val="0"/>
          <w:bCs w:val="0"/>
          <w:color w:val="000000" w:themeColor="text1"/>
          <w:sz w:val="24"/>
          <w:szCs w:val="24"/>
          <w:lang w:eastAsia="zh-CN"/>
        </w:rPr>
        <w:t>本项目</w:t>
      </w:r>
      <w:r>
        <w:rPr>
          <w:rFonts w:hint="default" w:ascii="Times New Roman" w:hAnsi="Times New Roman" w:eastAsia="宋体" w:cs="Times New Roman"/>
          <w:b w:val="0"/>
          <w:bCs w:val="0"/>
          <w:color w:val="000000" w:themeColor="text1"/>
          <w:sz w:val="24"/>
          <w:szCs w:val="24"/>
        </w:rPr>
        <w:t>机动车污染物排放系数</w:t>
      </w:r>
      <w:r>
        <w:rPr>
          <w:rFonts w:hint="eastAsia" w:ascii="Times New Roman" w:hAnsi="Times New Roman" w:eastAsia="宋体" w:cs="Times New Roman"/>
          <w:b w:val="0"/>
          <w:bCs w:val="0"/>
          <w:color w:val="000000" w:themeColor="text1"/>
          <w:sz w:val="24"/>
          <w:szCs w:val="24"/>
          <w:lang w:val="en-US" w:eastAsia="zh-CN"/>
        </w:rPr>
        <w:t>详见表3.3-3。</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eastAsia="zh-CN"/>
        </w:rPr>
        <w:t>本项目矿石外运车辆共</w:t>
      </w:r>
      <w:r>
        <w:rPr>
          <w:rFonts w:hint="eastAsia" w:ascii="Times New Roman" w:hAnsi="Times New Roman" w:eastAsia="宋体" w:cs="Times New Roman"/>
          <w:color w:val="FF0000"/>
          <w:sz w:val="24"/>
          <w:szCs w:val="24"/>
          <w:lang w:val="en-US" w:eastAsia="zh-CN"/>
        </w:rPr>
        <w:t>2台，柴油三轮车共2台，装载机1台，按照平均5辆车计算核算，本项目运营期车辆尾气中污染物的排放量为</w:t>
      </w:r>
      <w:r>
        <w:rPr>
          <w:rFonts w:hint="default" w:ascii="Times New Roman" w:hAnsi="Times New Roman" w:eastAsia="宋体" w:cs="Times New Roman"/>
          <w:color w:val="FF0000"/>
          <w:sz w:val="24"/>
          <w:szCs w:val="24"/>
          <w:lang w:val="en-US"/>
        </w:rPr>
        <w:t>VOC</w:t>
      </w:r>
      <w:r>
        <w:rPr>
          <w:rFonts w:hint="default" w:ascii="Times New Roman" w:hAnsi="Times New Roman" w:eastAsia="宋体" w:cs="Times New Roman"/>
          <w:color w:val="FF0000"/>
          <w:sz w:val="24"/>
          <w:szCs w:val="24"/>
          <w:vertAlign w:val="subscript"/>
          <w:lang w:val="en-US"/>
        </w:rPr>
        <w:t>S</w:t>
      </w:r>
      <w:r>
        <w:rPr>
          <w:rFonts w:hint="eastAsia" w:ascii="Times New Roman" w:hAnsi="Times New Roman" w:eastAsia="宋体" w:cs="Times New Roman"/>
          <w:color w:val="FF0000"/>
          <w:sz w:val="24"/>
          <w:szCs w:val="24"/>
          <w:vertAlign w:val="baseline"/>
          <w:lang w:val="en-US" w:eastAsia="zh-CN"/>
        </w:rPr>
        <w:t>118.13kg；</w:t>
      </w:r>
      <w:r>
        <w:rPr>
          <w:rFonts w:hint="default" w:ascii="Times New Roman" w:hAnsi="Times New Roman" w:eastAsia="宋体" w:cs="Times New Roman"/>
          <w:color w:val="FF0000"/>
          <w:sz w:val="24"/>
          <w:szCs w:val="24"/>
        </w:rPr>
        <w:t>NO</w:t>
      </w:r>
      <w:r>
        <w:rPr>
          <w:rFonts w:hint="default" w:ascii="Times New Roman" w:hAnsi="Times New Roman" w:eastAsia="宋体" w:cs="Times New Roman"/>
          <w:color w:val="FF0000"/>
          <w:sz w:val="24"/>
          <w:szCs w:val="24"/>
          <w:vertAlign w:val="subscript"/>
        </w:rPr>
        <w:t>X</w:t>
      </w:r>
      <w:r>
        <w:rPr>
          <w:rFonts w:hint="eastAsia" w:ascii="Times New Roman" w:hAnsi="Times New Roman" w:eastAsia="宋体" w:cs="Times New Roman"/>
          <w:color w:val="FF0000"/>
          <w:sz w:val="24"/>
          <w:szCs w:val="24"/>
          <w:vertAlign w:val="baseline"/>
          <w:lang w:val="en-US" w:eastAsia="zh-CN"/>
        </w:rPr>
        <w:t>809.29kg；颗粒物为7.55kg</w:t>
      </w:r>
      <w:r>
        <w:rPr>
          <w:rFonts w:hint="default" w:ascii="Times New Roman" w:hAnsi="Times New Roman" w:eastAsia="宋体" w:cs="Times New Roman"/>
          <w:color w:val="FF0000"/>
          <w:sz w:val="24"/>
          <w:szCs w:val="24"/>
        </w:rPr>
        <w:t>。</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FF0000"/>
          <w:sz w:val="24"/>
          <w:szCs w:val="24"/>
          <w:lang w:eastAsia="zh-CN"/>
        </w:rPr>
        <w:t>本项目要求检核单位定期对运输车辆和非道路移动机械进行检查，定期维修，有不合格的车辆或机械设备淘汰更换，使用合格燃油，保证尾气达标排放。</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val="en-US" w:eastAsia="zh-CN"/>
        </w:rPr>
        <w:t>（5）餐饮</w:t>
      </w:r>
      <w:r>
        <w:rPr>
          <w:rFonts w:hint="default" w:ascii="Times New Roman" w:hAnsi="Times New Roman" w:eastAsia="宋体" w:cs="Times New Roman"/>
          <w:b w:val="0"/>
          <w:bCs w:val="0"/>
          <w:color w:val="000000" w:themeColor="text1"/>
          <w:sz w:val="24"/>
          <w:szCs w:val="24"/>
        </w:rPr>
        <w:t>油烟</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color w:val="000000" w:themeColor="text1"/>
        </w:rPr>
      </w:pPr>
      <w:r>
        <w:rPr>
          <w:rFonts w:hint="eastAsia" w:ascii="Times New Roman" w:hAnsi="Times New Roman" w:eastAsia="宋体" w:cs="Times New Roman"/>
          <w:color w:val="000000" w:themeColor="text1"/>
          <w:sz w:val="24"/>
          <w:szCs w:val="24"/>
          <w:lang w:eastAsia="zh-CN"/>
        </w:rPr>
        <w:t>矿</w:t>
      </w:r>
      <w:r>
        <w:rPr>
          <w:rFonts w:hint="default" w:ascii="Times New Roman" w:hAnsi="Times New Roman" w:eastAsia="宋体" w:cs="Times New Roman"/>
          <w:color w:val="000000" w:themeColor="text1"/>
          <w:sz w:val="24"/>
          <w:szCs w:val="24"/>
        </w:rPr>
        <w:t>区设食堂1座，就餐人数约</w:t>
      </w:r>
      <w:r>
        <w:rPr>
          <w:rFonts w:hint="eastAsia" w:ascii="Times New Roman" w:hAnsi="Times New Roman" w:eastAsia="宋体" w:cs="Times New Roman"/>
          <w:color w:val="000000" w:themeColor="text1"/>
          <w:sz w:val="24"/>
          <w:szCs w:val="24"/>
          <w:lang w:val="en-US" w:eastAsia="zh-CN"/>
        </w:rPr>
        <w:t>21</w:t>
      </w:r>
      <w:r>
        <w:rPr>
          <w:rFonts w:hint="default" w:ascii="Times New Roman" w:hAnsi="Times New Roman" w:eastAsia="宋体" w:cs="Times New Roman"/>
          <w:color w:val="000000" w:themeColor="text1"/>
          <w:sz w:val="24"/>
          <w:szCs w:val="24"/>
        </w:rPr>
        <w:t>人，</w:t>
      </w:r>
      <w:r>
        <w:rPr>
          <w:rFonts w:hint="eastAsia" w:ascii="Times New Roman" w:hAnsi="Times New Roman" w:eastAsia="宋体" w:cs="Times New Roman"/>
          <w:color w:val="000000" w:themeColor="text1"/>
          <w:sz w:val="24"/>
          <w:szCs w:val="24"/>
          <w:lang w:eastAsia="zh-CN"/>
        </w:rPr>
        <w:t>按照《生活污染源产排污系数手册》可知，陕西地区属于三区，餐饮油烟挥发性有机物排放系数为</w:t>
      </w:r>
      <w:r>
        <w:rPr>
          <w:rFonts w:hint="eastAsia" w:ascii="Times New Roman" w:hAnsi="Times New Roman" w:eastAsia="宋体" w:cs="Times New Roman"/>
          <w:color w:val="000000" w:themeColor="text1"/>
          <w:sz w:val="24"/>
          <w:szCs w:val="24"/>
          <w:lang w:val="en-US" w:eastAsia="zh-CN"/>
        </w:rPr>
        <w:t>301克/人</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年，则本项目共产生的</w:t>
      </w:r>
      <w:r>
        <w:rPr>
          <w:rFonts w:hint="eastAsia" w:ascii="Times New Roman" w:hAnsi="Times New Roman" w:eastAsia="宋体" w:cs="Times New Roman"/>
          <w:color w:val="000000" w:themeColor="text1"/>
          <w:sz w:val="24"/>
          <w:szCs w:val="24"/>
          <w:lang w:eastAsia="zh-CN"/>
        </w:rPr>
        <w:t>餐饮油烟挥发性有机物为</w:t>
      </w:r>
      <w:r>
        <w:rPr>
          <w:rFonts w:hint="eastAsia" w:ascii="Times New Roman" w:hAnsi="Times New Roman" w:eastAsia="宋体" w:cs="Times New Roman"/>
          <w:color w:val="000000" w:themeColor="text1"/>
          <w:sz w:val="24"/>
          <w:szCs w:val="24"/>
          <w:lang w:val="en-US" w:eastAsia="zh-CN"/>
        </w:rPr>
        <w:t>6.321kg .</w:t>
      </w:r>
      <w:r>
        <w:rPr>
          <w:rFonts w:hint="default" w:ascii="Times New Roman" w:hAnsi="Times New Roman" w:eastAsia="宋体" w:cs="Times New Roman"/>
          <w:color w:val="000000" w:themeColor="text1"/>
          <w:sz w:val="24"/>
          <w:szCs w:val="24"/>
        </w:rPr>
        <w:t>项目年运营时间按300日计，食堂每天每个灶头作业时间约为5h，每个灶头排风量为2000m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/h，因此，油烟产生浓度为</w:t>
      </w:r>
      <w:r>
        <w:rPr>
          <w:rFonts w:hint="eastAsia" w:ascii="Times New Roman" w:hAnsi="Times New Roman" w:eastAsia="宋体" w:cs="Times New Roman"/>
          <w:color w:val="000000" w:themeColor="text1"/>
          <w:sz w:val="24"/>
          <w:szCs w:val="24"/>
          <w:lang w:val="en-US" w:eastAsia="zh-CN"/>
        </w:rPr>
        <w:t>2.107</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餐饮</w:t>
      </w:r>
      <w:r>
        <w:rPr>
          <w:rFonts w:hint="default" w:ascii="Times New Roman" w:hAnsi="Times New Roman" w:eastAsia="宋体" w:cs="Times New Roman"/>
          <w:color w:val="000000" w:themeColor="text1"/>
          <w:sz w:val="24"/>
          <w:szCs w:val="24"/>
        </w:rPr>
        <w:t>油烟经过油烟净化器净化后排放，净化效率为60%，油烟排放浓度为</w:t>
      </w:r>
      <w:r>
        <w:rPr>
          <w:rFonts w:hint="eastAsia" w:ascii="Times New Roman" w:hAnsi="Times New Roman" w:eastAsia="宋体" w:cs="Times New Roman"/>
          <w:color w:val="000000" w:themeColor="text1"/>
          <w:sz w:val="24"/>
          <w:szCs w:val="24"/>
          <w:lang w:val="en-US" w:eastAsia="zh-CN"/>
        </w:rPr>
        <w:t>0.8428</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，符合《饮食业油烟排放标准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w:t>
      </w:r>
      <w:r>
        <w:rPr>
          <w:rFonts w:hint="eastAsia" w:ascii="Times New Roman" w:hAnsi="Times New Roman" w:eastAsia="宋体" w:cs="Times New Roman"/>
          <w:color w:val="000000" w:themeColor="text1"/>
          <w:sz w:val="24"/>
          <w:szCs w:val="24"/>
          <w:lang w:eastAsia="zh-CN"/>
        </w:rPr>
        <w:t>油烟排放浓度</w:t>
      </w:r>
      <w:r>
        <w:rPr>
          <w:rFonts w:hint="eastAsia" w:ascii="Times New Roman" w:hAnsi="Times New Roman" w:eastAsia="宋体" w:cs="Times New Roman"/>
          <w:color w:val="000000" w:themeColor="text1"/>
          <w:sz w:val="24"/>
          <w:szCs w:val="24"/>
          <w:lang w:val="en-US" w:eastAsia="zh-CN"/>
        </w:rPr>
        <w:t>2.0</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的要求。本项目食堂食用油消耗量和油烟产生情况见下表。</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表3.</w:t>
      </w:r>
      <w:r>
        <w:rPr>
          <w:rFonts w:hint="eastAsia" w:ascii="Times New Roman" w:hAnsi="Times New Roman" w:eastAsia="宋体" w:cs="Times New Roman"/>
          <w:b/>
          <w:bCs w:val="0"/>
          <w:color w:val="000000" w:themeColor="text1"/>
          <w:sz w:val="21"/>
          <w:szCs w:val="21"/>
          <w:lang w:val="en-US" w:eastAsia="zh-CN"/>
        </w:rPr>
        <w:t>3</w:t>
      </w:r>
      <w:r>
        <w:rPr>
          <w:rFonts w:hint="default" w:ascii="Times New Roman" w:hAnsi="Times New Roman" w:eastAsia="宋体" w:cs="Times New Roman"/>
          <w:b/>
          <w:bCs w:val="0"/>
          <w:color w:val="000000" w:themeColor="text1"/>
          <w:sz w:val="21"/>
          <w:szCs w:val="21"/>
        </w:rPr>
        <w:t>-</w:t>
      </w:r>
      <w:r>
        <w:rPr>
          <w:rFonts w:hint="eastAsia" w:ascii="Times New Roman" w:hAnsi="Times New Roman" w:eastAsia="宋体" w:cs="Times New Roman"/>
          <w:b/>
          <w:bCs w:val="0"/>
          <w:color w:val="000000" w:themeColor="text1"/>
          <w:sz w:val="21"/>
          <w:szCs w:val="21"/>
          <w:lang w:val="en-US" w:eastAsia="zh-CN"/>
        </w:rPr>
        <w:t>11</w:t>
      </w:r>
      <w:r>
        <w:rPr>
          <w:rFonts w:hint="default" w:ascii="Times New Roman" w:hAnsi="Times New Roman" w:eastAsia="宋体" w:cs="Times New Roman"/>
          <w:b/>
          <w:bCs w:val="0"/>
          <w:color w:val="000000" w:themeColor="text1"/>
          <w:sz w:val="21"/>
          <w:szCs w:val="21"/>
        </w:rPr>
        <w:t xml:space="preserve">  食堂使用油消耗和油烟废气产生情况</w:t>
      </w:r>
    </w:p>
    <w:tbl>
      <w:tblPr>
        <w:tblStyle w:val="39"/>
        <w:tblW w:w="893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567"/>
        <w:gridCol w:w="908"/>
        <w:gridCol w:w="1050"/>
        <w:gridCol w:w="975"/>
        <w:gridCol w:w="1187"/>
        <w:gridCol w:w="1054"/>
        <w:gridCol w:w="1168"/>
        <w:gridCol w:w="1012"/>
        <w:gridCol w:w="10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trHeight w:val="658" w:hRule="atLeast"/>
          <w:jc w:val="center"/>
        </w:trPr>
        <w:tc>
          <w:tcPr>
            <w:tcW w:w="5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人数</w:t>
            </w:r>
          </w:p>
        </w:tc>
        <w:tc>
          <w:tcPr>
            <w:tcW w:w="90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排放系数</w:t>
            </w:r>
          </w:p>
        </w:tc>
        <w:tc>
          <w:tcPr>
            <w:tcW w:w="105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油烟产生量(</w:t>
            </w:r>
            <w:r>
              <w:rPr>
                <w:rFonts w:hint="eastAsia" w:ascii="Times New Roman" w:hAnsi="Times New Roman" w:eastAsia="宋体" w:cs="Times New Roman"/>
                <w:color w:val="000000" w:themeColor="text1"/>
                <w:sz w:val="21"/>
                <w:szCs w:val="21"/>
                <w:lang w:val="en-US" w:eastAsia="zh-CN"/>
              </w:rPr>
              <w:t>kg</w:t>
            </w:r>
            <w:r>
              <w:rPr>
                <w:rFonts w:hint="default" w:ascii="Times New Roman" w:hAnsi="Times New Roman" w:eastAsia="宋体" w:cs="Times New Roman"/>
                <w:color w:val="000000" w:themeColor="text1"/>
                <w:sz w:val="21"/>
                <w:szCs w:val="21"/>
              </w:rPr>
              <w:t>/a)</w:t>
            </w:r>
          </w:p>
        </w:tc>
        <w:tc>
          <w:tcPr>
            <w:tcW w:w="97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油烟产生浓度(mg/m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118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油烟产生</w:t>
            </w:r>
            <w:r>
              <w:rPr>
                <w:rFonts w:hint="eastAsia" w:ascii="Times New Roman" w:hAnsi="Times New Roman" w:eastAsia="宋体" w:cs="Times New Roman"/>
                <w:color w:val="000000" w:themeColor="text1"/>
                <w:sz w:val="21"/>
                <w:szCs w:val="21"/>
                <w:lang w:eastAsia="zh-CN"/>
              </w:rPr>
              <w:t>速率</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val="en-US" w:eastAsia="zh-CN"/>
              </w:rPr>
              <w:t>kg/h</w:t>
            </w:r>
            <w:r>
              <w:rPr>
                <w:rFonts w:hint="default" w:ascii="Times New Roman" w:hAnsi="Times New Roman" w:eastAsia="宋体" w:cs="Times New Roman"/>
                <w:color w:val="000000" w:themeColor="text1"/>
                <w:sz w:val="21"/>
                <w:szCs w:val="21"/>
              </w:rPr>
              <w:t>)</w:t>
            </w:r>
          </w:p>
        </w:tc>
        <w:tc>
          <w:tcPr>
            <w:tcW w:w="105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治理措施</w:t>
            </w:r>
          </w:p>
        </w:tc>
        <w:tc>
          <w:tcPr>
            <w:tcW w:w="116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油烟排放浓度(mg/m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101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年排放量（</w:t>
            </w:r>
            <w:r>
              <w:rPr>
                <w:rFonts w:hint="eastAsia" w:ascii="Times New Roman" w:hAnsi="Times New Roman" w:eastAsia="宋体" w:cs="Times New Roman"/>
                <w:color w:val="000000" w:themeColor="text1"/>
                <w:sz w:val="21"/>
                <w:szCs w:val="21"/>
                <w:lang w:val="en-US" w:eastAsia="zh-CN"/>
              </w:rPr>
              <w:t>kg</w:t>
            </w:r>
            <w:r>
              <w:rPr>
                <w:rFonts w:hint="default" w:ascii="Times New Roman" w:hAnsi="Times New Roman" w:eastAsia="宋体" w:cs="Times New Roman"/>
                <w:color w:val="000000" w:themeColor="text1"/>
                <w:sz w:val="21"/>
                <w:szCs w:val="21"/>
              </w:rPr>
              <w:t>/a）</w:t>
            </w:r>
          </w:p>
        </w:tc>
        <w:tc>
          <w:tcPr>
            <w:tcW w:w="101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油烟</w:t>
            </w:r>
            <w:r>
              <w:rPr>
                <w:rFonts w:hint="eastAsia" w:ascii="Times New Roman" w:hAnsi="Times New Roman" w:eastAsia="宋体" w:cs="Times New Roman"/>
                <w:color w:val="000000" w:themeColor="text1"/>
                <w:sz w:val="21"/>
                <w:szCs w:val="21"/>
                <w:lang w:eastAsia="zh-CN"/>
              </w:rPr>
              <w:t>排放速率</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val="en-US" w:eastAsia="zh-CN"/>
              </w:rPr>
              <w:t>kg/h</w:t>
            </w: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trHeight w:val="641" w:hRule="atLeast"/>
          <w:jc w:val="center"/>
        </w:trPr>
        <w:tc>
          <w:tcPr>
            <w:tcW w:w="5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21</w:t>
            </w:r>
            <w:r>
              <w:rPr>
                <w:rFonts w:hint="default" w:ascii="Times New Roman" w:hAnsi="Times New Roman" w:eastAsia="宋体" w:cs="Times New Roman"/>
                <w:color w:val="000000" w:themeColor="text1"/>
                <w:sz w:val="21"/>
                <w:szCs w:val="21"/>
              </w:rPr>
              <w:t>人</w:t>
            </w:r>
          </w:p>
        </w:tc>
        <w:tc>
          <w:tcPr>
            <w:tcW w:w="90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301克/人</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年</w:t>
            </w:r>
          </w:p>
        </w:tc>
        <w:tc>
          <w:tcPr>
            <w:tcW w:w="105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6.321</w:t>
            </w:r>
          </w:p>
        </w:tc>
        <w:tc>
          <w:tcPr>
            <w:tcW w:w="97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2.107</w:t>
            </w:r>
          </w:p>
        </w:tc>
        <w:tc>
          <w:tcPr>
            <w:tcW w:w="118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0.0042</w:t>
            </w:r>
          </w:p>
        </w:tc>
        <w:tc>
          <w:tcPr>
            <w:tcW w:w="105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油烟净化器，处理效率60%</w:t>
            </w:r>
          </w:p>
        </w:tc>
        <w:tc>
          <w:tcPr>
            <w:tcW w:w="116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0.8428</w:t>
            </w:r>
          </w:p>
        </w:tc>
        <w:tc>
          <w:tcPr>
            <w:tcW w:w="101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2.528</w:t>
            </w:r>
          </w:p>
        </w:tc>
        <w:tc>
          <w:tcPr>
            <w:tcW w:w="101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0.0017</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lang w:val="en-US" w:eastAsia="zh-CN"/>
        </w:rPr>
        <w:t>2.运营期</w:t>
      </w:r>
      <w:r>
        <w:rPr>
          <w:rFonts w:hint="default" w:ascii="Times New Roman" w:hAnsi="Times New Roman" w:eastAsia="宋体" w:cs="Times New Roman"/>
          <w:b/>
          <w:bCs/>
          <w:color w:val="000000" w:themeColor="text1"/>
          <w:sz w:val="24"/>
          <w:szCs w:val="24"/>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矿山开采过程中井下废水主要是矿坑涌水、</w:t>
      </w:r>
      <w:r>
        <w:rPr>
          <w:rFonts w:hint="eastAsia" w:ascii="Times New Roman" w:hAnsi="Times New Roman" w:eastAsia="宋体" w:cs="Times New Roman"/>
          <w:color w:val="000000" w:themeColor="text1"/>
          <w:sz w:val="24"/>
          <w:szCs w:val="24"/>
          <w:lang w:val="en-US" w:eastAsia="zh-CN"/>
        </w:rPr>
        <w:t>井下除尘</w:t>
      </w:r>
      <w:r>
        <w:rPr>
          <w:rFonts w:hint="default" w:ascii="Times New Roman" w:hAnsi="Times New Roman" w:eastAsia="宋体" w:cs="Times New Roman"/>
          <w:color w:val="000000" w:themeColor="text1"/>
          <w:sz w:val="24"/>
          <w:szCs w:val="24"/>
        </w:rPr>
        <w:t>废水</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矿石堆场除尘废水。</w:t>
      </w:r>
    </w:p>
    <w:p>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1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lang w:eastAsia="zh-CN"/>
        </w:rPr>
        <w:fldChar w:fldCharType="end"/>
      </w:r>
      <w:r>
        <w:rPr>
          <w:rFonts w:hint="default" w:ascii="Times New Roman" w:hAnsi="Times New Roman" w:eastAsia="宋体" w:cs="Times New Roman"/>
          <w:color w:val="000000" w:themeColor="text1"/>
          <w:sz w:val="24"/>
          <w:szCs w:val="24"/>
          <w:lang w:eastAsia="zh-CN"/>
        </w:rPr>
        <w:t>矿坑涌水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b w:val="0"/>
          <w:bCs w:val="0"/>
          <w:color w:val="FF0000"/>
          <w:kern w:val="2"/>
          <w:sz w:val="24"/>
          <w:szCs w:val="24"/>
          <w:lang w:val="en-US" w:eastAsia="zh-CN" w:bidi="ar-SA"/>
        </w:rPr>
        <w:t>本项目</w:t>
      </w:r>
      <w:r>
        <w:rPr>
          <w:rFonts w:hint="default" w:ascii="Times New Roman" w:hAnsi="Times New Roman" w:eastAsia="宋体" w:cs="Times New Roman"/>
          <w:b w:val="0"/>
          <w:bCs w:val="0"/>
          <w:color w:val="FF0000"/>
          <w:kern w:val="2"/>
          <w:sz w:val="24"/>
          <w:szCs w:val="24"/>
          <w:lang w:val="en-US" w:eastAsia="zh-CN" w:bidi="ar-SA"/>
        </w:rPr>
        <w:t>矿体</w:t>
      </w:r>
      <w:r>
        <w:rPr>
          <w:rFonts w:hint="eastAsia" w:ascii="Times New Roman" w:hAnsi="Times New Roman" w:eastAsia="宋体" w:cs="Times New Roman"/>
          <w:b w:val="0"/>
          <w:bCs w:val="0"/>
          <w:color w:val="FF0000"/>
          <w:kern w:val="2"/>
          <w:sz w:val="24"/>
          <w:szCs w:val="24"/>
          <w:lang w:val="en-US" w:eastAsia="zh-CN" w:bidi="ar-SA"/>
        </w:rPr>
        <w:t>基本</w:t>
      </w:r>
      <w:r>
        <w:rPr>
          <w:rFonts w:hint="default" w:ascii="Times New Roman" w:hAnsi="Times New Roman" w:eastAsia="宋体" w:cs="Times New Roman"/>
          <w:b w:val="0"/>
          <w:bCs w:val="0"/>
          <w:color w:val="FF0000"/>
          <w:kern w:val="2"/>
          <w:sz w:val="24"/>
          <w:szCs w:val="24"/>
          <w:lang w:val="en-US" w:eastAsia="zh-CN" w:bidi="ar-SA"/>
        </w:rPr>
        <w:t>位于当地侵蚀基准面以上，无大的富水层及含水构造。</w:t>
      </w:r>
      <w:r>
        <w:rPr>
          <w:rFonts w:hint="default" w:ascii="Times New Roman" w:hAnsi="Times New Roman" w:eastAsia="宋体" w:cs="Times New Roman"/>
          <w:color w:val="FF0000"/>
          <w:sz w:val="24"/>
          <w:szCs w:val="24"/>
        </w:rPr>
        <w:t>由《旬阳县赤岩镇毒重石矿开发利用方案》可知各施工平硐基本无大的地下水涌水点，斜井仅在雨季（每年 6～9 月）才有涌水产生，矿坑涌水量很小</w:t>
      </w:r>
      <w:r>
        <w:rPr>
          <w:rFonts w:hint="default" w:ascii="Times New Roman" w:hAnsi="Times New Roman" w:eastAsia="宋体" w:cs="Times New Roman"/>
          <w:color w:val="FF0000"/>
          <w:sz w:val="24"/>
          <w:szCs w:val="24"/>
          <w:lang w:eastAsia="zh-CN"/>
        </w:rPr>
        <w:t>，主要为大气降水入渗，</w:t>
      </w:r>
      <w:r>
        <w:rPr>
          <w:rFonts w:hint="default" w:ascii="Times New Roman" w:hAnsi="Times New Roman" w:eastAsia="宋体" w:cs="Times New Roman"/>
          <w:color w:val="FF0000"/>
          <w:sz w:val="24"/>
          <w:szCs w:val="24"/>
        </w:rPr>
        <w:t>巷道裂隙水的渗透</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结合现有项目的</w:t>
      </w:r>
      <w:r>
        <w:rPr>
          <w:rFonts w:hint="default" w:ascii="Times New Roman" w:hAnsi="Times New Roman" w:eastAsia="宋体" w:cs="Times New Roman"/>
          <w:color w:val="FF0000"/>
          <w:sz w:val="24"/>
          <w:szCs w:val="24"/>
          <w:lang w:val="en-US" w:eastAsia="zh-CN"/>
        </w:rPr>
        <w:t>实际</w:t>
      </w:r>
      <w:r>
        <w:rPr>
          <w:rFonts w:hint="default" w:ascii="Times New Roman" w:hAnsi="Times New Roman" w:eastAsia="宋体" w:cs="Times New Roman"/>
          <w:color w:val="FF0000"/>
          <w:sz w:val="24"/>
          <w:szCs w:val="24"/>
        </w:rPr>
        <w:t>开采情况可知，项目在开采过程中几乎无涌水产生，仅在雨季（6～9 月）偶尔有涌水产生，最多时涌水量</w:t>
      </w:r>
      <w:r>
        <w:rPr>
          <w:rFonts w:hint="default" w:ascii="Times New Roman" w:hAnsi="Times New Roman" w:eastAsia="宋体" w:cs="Times New Roman"/>
          <w:color w:val="FF0000"/>
          <w:sz w:val="24"/>
          <w:szCs w:val="24"/>
          <w:lang w:val="en-US" w:eastAsia="zh-CN"/>
        </w:rPr>
        <w:t>约</w:t>
      </w:r>
      <w:r>
        <w:rPr>
          <w:rFonts w:hint="default" w:ascii="Times New Roman" w:hAnsi="Times New Roman" w:eastAsia="宋体" w:cs="Times New Roman"/>
          <w:color w:val="FF0000"/>
          <w:sz w:val="24"/>
          <w:szCs w:val="24"/>
        </w:rPr>
        <w:t>为</w:t>
      </w:r>
      <w:r>
        <w:rPr>
          <w:rFonts w:hint="default"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/d。由于本项目属于</w:t>
      </w:r>
      <w:r>
        <w:rPr>
          <w:rFonts w:hint="default" w:ascii="Times New Roman" w:hAnsi="Times New Roman" w:eastAsia="宋体" w:cs="Times New Roman"/>
          <w:color w:val="FF0000"/>
          <w:sz w:val="24"/>
          <w:szCs w:val="24"/>
          <w:lang w:eastAsia="zh-CN"/>
        </w:rPr>
        <w:t>毒重石</w:t>
      </w:r>
      <w:r>
        <w:rPr>
          <w:rFonts w:hint="default" w:ascii="Times New Roman" w:hAnsi="Times New Roman" w:eastAsia="宋体" w:cs="Times New Roman"/>
          <w:color w:val="FF0000"/>
          <w:sz w:val="24"/>
          <w:szCs w:val="24"/>
        </w:rPr>
        <w:t>开采，</w:t>
      </w:r>
      <w:r>
        <w:rPr>
          <w:rFonts w:hint="default" w:ascii="Times New Roman" w:hAnsi="Times New Roman" w:eastAsia="宋体" w:cs="Times New Roman"/>
          <w:color w:val="FF0000"/>
          <w:sz w:val="24"/>
          <w:szCs w:val="24"/>
          <w:lang w:eastAsia="zh-CN"/>
        </w:rPr>
        <w:t>矿体成分相对简单</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本项目对地下水扰动不大，地下水沿巷道的缝隙通过排水沟流出至地表，</w:t>
      </w:r>
      <w:r>
        <w:rPr>
          <w:rFonts w:hint="default" w:ascii="Times New Roman" w:hAnsi="Times New Roman" w:eastAsia="宋体" w:cs="Times New Roman"/>
          <w:color w:val="FF0000"/>
          <w:sz w:val="24"/>
          <w:szCs w:val="24"/>
        </w:rPr>
        <w:t>接近地下水水质。</w:t>
      </w:r>
      <w:r>
        <w:rPr>
          <w:rFonts w:hint="default" w:ascii="Times New Roman" w:hAnsi="Times New Roman" w:eastAsia="宋体" w:cs="Times New Roman"/>
          <w:color w:val="FF0000"/>
          <w:sz w:val="24"/>
          <w:szCs w:val="24"/>
          <w:lang w:eastAsia="zh-CN"/>
        </w:rPr>
        <w:t>类比</w:t>
      </w:r>
      <w:r>
        <w:rPr>
          <w:rFonts w:hint="default" w:ascii="Times New Roman" w:hAnsi="Times New Roman" w:eastAsia="宋体" w:cs="Times New Roman"/>
          <w:color w:val="FF0000"/>
          <w:sz w:val="24"/>
          <w:szCs w:val="24"/>
        </w:rPr>
        <w:t>旬阳县宝峰矿业有限公司</w:t>
      </w:r>
      <w:r>
        <w:rPr>
          <w:rFonts w:hint="default" w:ascii="Times New Roman" w:hAnsi="Times New Roman" w:eastAsia="宋体" w:cs="Times New Roman"/>
          <w:color w:val="FF0000"/>
          <w:sz w:val="24"/>
          <w:szCs w:val="24"/>
          <w:lang w:eastAsia="zh-CN"/>
        </w:rPr>
        <w:t>旬阳县宝峰矿业有限公司建设年产5万吨毒重石改扩建项目</w:t>
      </w:r>
      <w:r>
        <w:rPr>
          <w:rFonts w:hint="default" w:ascii="Times New Roman" w:hAnsi="Times New Roman" w:eastAsia="宋体" w:cs="Times New Roman"/>
          <w:color w:val="FF0000"/>
          <w:sz w:val="24"/>
          <w:szCs w:val="24"/>
        </w:rPr>
        <w:t>环境影响报告书</w:t>
      </w:r>
      <w:r>
        <w:rPr>
          <w:rFonts w:hint="default" w:ascii="Times New Roman" w:hAnsi="Times New Roman" w:eastAsia="宋体" w:cs="Times New Roman"/>
          <w:color w:val="FF0000"/>
          <w:sz w:val="24"/>
          <w:szCs w:val="24"/>
          <w:lang w:eastAsia="zh-CN"/>
        </w:rPr>
        <w:t>矿坑涌水的水质</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在井下施工过程受到</w:t>
      </w:r>
      <w:r>
        <w:rPr>
          <w:rFonts w:hint="eastAsia" w:ascii="Times New Roman" w:hAnsi="Times New Roman" w:eastAsia="宋体" w:cs="Times New Roman"/>
          <w:color w:val="FF0000"/>
          <w:sz w:val="24"/>
          <w:szCs w:val="24"/>
          <w:lang w:eastAsia="zh-CN"/>
        </w:rPr>
        <w:t>轻微的</w:t>
      </w:r>
      <w:r>
        <w:rPr>
          <w:rFonts w:hint="default" w:ascii="Times New Roman" w:hAnsi="Times New Roman" w:eastAsia="宋体" w:cs="Times New Roman"/>
          <w:color w:val="FF0000"/>
          <w:sz w:val="24"/>
          <w:szCs w:val="24"/>
        </w:rPr>
        <w:t>扰动，主要污染物是SS、COD、石油类</w:t>
      </w:r>
      <w:r>
        <w:rPr>
          <w:rFonts w:hint="eastAsia" w:ascii="Times New Roman" w:hAnsi="Times New Roman" w:eastAsia="宋体" w:cs="Times New Roman"/>
          <w:color w:val="FF0000"/>
          <w:sz w:val="24"/>
          <w:szCs w:val="24"/>
          <w:lang w:eastAsia="zh-CN"/>
        </w:rPr>
        <w:t>等</w:t>
      </w:r>
      <w:r>
        <w:rPr>
          <w:rFonts w:hint="default" w:ascii="Times New Roman" w:hAnsi="Times New Roman" w:eastAsia="宋体" w:cs="Times New Roman"/>
          <w:color w:val="FF0000"/>
          <w:sz w:val="24"/>
          <w:szCs w:val="24"/>
        </w:rPr>
        <w:t>。根据</w:t>
      </w:r>
      <w:r>
        <w:rPr>
          <w:rFonts w:hint="default" w:ascii="Times New Roman" w:hAnsi="Times New Roman" w:eastAsia="宋体" w:cs="Times New Roman"/>
          <w:color w:val="FF0000"/>
          <w:sz w:val="24"/>
          <w:szCs w:val="24"/>
          <w:lang w:eastAsia="zh-CN"/>
        </w:rPr>
        <w:t>旬阳县宝峰矿业有限公司建设年产5万吨毒重石改扩建项目</w:t>
      </w:r>
      <w:r>
        <w:rPr>
          <w:rFonts w:hint="default" w:ascii="Times New Roman" w:hAnsi="Times New Roman" w:eastAsia="宋体" w:cs="Times New Roman"/>
          <w:color w:val="FF0000"/>
          <w:sz w:val="24"/>
          <w:szCs w:val="24"/>
        </w:rPr>
        <w:t>环境影响报告书</w:t>
      </w:r>
      <w:r>
        <w:rPr>
          <w:rFonts w:hint="default" w:ascii="Times New Roman" w:hAnsi="Times New Roman" w:eastAsia="宋体" w:cs="Times New Roman"/>
          <w:color w:val="FF0000"/>
          <w:sz w:val="24"/>
          <w:szCs w:val="24"/>
          <w:lang w:eastAsia="zh-CN"/>
        </w:rPr>
        <w:t>矿坑涌水</w:t>
      </w:r>
      <w:r>
        <w:rPr>
          <w:rFonts w:hint="default" w:ascii="Times New Roman" w:hAnsi="Times New Roman" w:eastAsia="宋体" w:cs="Times New Roman"/>
          <w:color w:val="FF0000"/>
          <w:sz w:val="24"/>
          <w:szCs w:val="24"/>
        </w:rPr>
        <w:t>监测结果表明矿井渗水中所监测的各污染物浓度均低于《地表水环境质量标准》中</w:t>
      </w: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2 \* ROMAN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II</w:t>
      </w:r>
      <w:r>
        <w:rPr>
          <w:rFonts w:hint="default" w:ascii="Times New Roman" w:hAnsi="Times New Roman" w:eastAsia="宋体" w:cs="Times New Roman"/>
          <w:color w:val="FF0000"/>
          <w:sz w:val="24"/>
          <w:szCs w:val="24"/>
        </w:rPr>
        <w:fldChar w:fldCharType="end"/>
      </w:r>
      <w:r>
        <w:rPr>
          <w:rFonts w:hint="default" w:ascii="Times New Roman" w:hAnsi="Times New Roman" w:eastAsia="宋体" w:cs="Times New Roman"/>
          <w:color w:val="FF0000"/>
          <w:sz w:val="24"/>
          <w:szCs w:val="24"/>
        </w:rPr>
        <w:t>类标准，经处理后完全可作为矿山回用水等，不外排。</w:t>
      </w:r>
      <w:r>
        <w:rPr>
          <w:rFonts w:hint="default" w:ascii="Times New Roman" w:hAnsi="Times New Roman" w:eastAsia="宋体" w:cs="Times New Roman"/>
          <w:color w:val="FF0000"/>
          <w:sz w:val="24"/>
          <w:szCs w:val="24"/>
          <w:lang w:eastAsia="zh-CN"/>
        </w:rPr>
        <w:t>监测结果见下表。旬阳县宝峰矿业有限公司建设年产5万吨毒重石改扩建项目位于旬阳市铜钱关镇天宝寨村，与本项目</w:t>
      </w:r>
      <w:r>
        <w:rPr>
          <w:rFonts w:hint="eastAsia" w:ascii="Times New Roman" w:hAnsi="Times New Roman" w:eastAsia="宋体" w:cs="Times New Roman"/>
          <w:color w:val="FF0000"/>
          <w:sz w:val="24"/>
          <w:szCs w:val="24"/>
          <w:lang w:eastAsia="zh-CN"/>
        </w:rPr>
        <w:t>属于</w:t>
      </w:r>
      <w:r>
        <w:rPr>
          <w:rFonts w:hint="default" w:ascii="Times New Roman" w:hAnsi="Times New Roman" w:eastAsia="宋体" w:cs="Times New Roman"/>
          <w:color w:val="FF0000"/>
          <w:sz w:val="24"/>
          <w:szCs w:val="24"/>
          <w:lang w:eastAsia="zh-CN"/>
        </w:rPr>
        <w:t>一个矿带，</w:t>
      </w:r>
      <w:r>
        <w:rPr>
          <w:rFonts w:hint="eastAsia" w:ascii="Times New Roman" w:hAnsi="Times New Roman" w:eastAsia="宋体" w:cs="Times New Roman"/>
          <w:color w:val="FF0000"/>
          <w:sz w:val="24"/>
          <w:szCs w:val="24"/>
          <w:lang w:eastAsia="zh-CN"/>
        </w:rPr>
        <w:t>同一个行政村，</w:t>
      </w:r>
      <w:r>
        <w:rPr>
          <w:rFonts w:hint="default" w:ascii="Times New Roman" w:hAnsi="Times New Roman" w:eastAsia="宋体" w:cs="Times New Roman"/>
          <w:color w:val="FF0000"/>
          <w:sz w:val="24"/>
          <w:szCs w:val="24"/>
          <w:lang w:eastAsia="zh-CN"/>
        </w:rPr>
        <w:t>其矿区距离本项目的直线距离约为</w:t>
      </w:r>
      <w:r>
        <w:rPr>
          <w:rFonts w:hint="default" w:ascii="Times New Roman" w:hAnsi="Times New Roman" w:eastAsia="宋体" w:cs="Times New Roman"/>
          <w:color w:val="FF0000"/>
          <w:sz w:val="24"/>
          <w:szCs w:val="24"/>
          <w:lang w:val="en-US" w:eastAsia="zh-CN"/>
        </w:rPr>
        <w:t>2500m，矿石中的成分均为</w:t>
      </w:r>
      <w:r>
        <w:rPr>
          <w:rFonts w:hint="default" w:ascii="Times New Roman" w:hAnsi="Times New Roman" w:eastAsia="宋体" w:cs="Times New Roman"/>
          <w:color w:val="FF0000"/>
          <w:sz w:val="24"/>
          <w:szCs w:val="24"/>
        </w:rPr>
        <w:t>BaCO</w:t>
      </w:r>
      <w:r>
        <w:rPr>
          <w:rFonts w:hint="default" w:ascii="Times New Roman" w:hAnsi="Times New Roman" w:eastAsia="宋体" w:cs="Times New Roman"/>
          <w:color w:val="FF0000"/>
          <w:sz w:val="24"/>
          <w:szCs w:val="24"/>
          <w:vertAlign w:val="subscript"/>
        </w:rPr>
        <w:t>3</w:t>
      </w:r>
      <w:r>
        <w:rPr>
          <w:rFonts w:hint="default" w:ascii="Times New Roman" w:hAnsi="Times New Roman" w:eastAsia="宋体" w:cs="Times New Roman"/>
          <w:color w:val="FF0000"/>
          <w:sz w:val="24"/>
          <w:szCs w:val="24"/>
          <w:vertAlign w:val="subscript"/>
          <w:lang w:eastAsia="zh-CN"/>
        </w:rPr>
        <w:t>、</w:t>
      </w:r>
      <w:r>
        <w:rPr>
          <w:rFonts w:hint="default" w:ascii="Times New Roman" w:hAnsi="Times New Roman" w:eastAsia="宋体" w:cs="Times New Roman"/>
          <w:color w:val="FF0000"/>
          <w:sz w:val="24"/>
          <w:szCs w:val="24"/>
        </w:rPr>
        <w:t>BaSO</w:t>
      </w:r>
      <w:r>
        <w:rPr>
          <w:rFonts w:hint="default" w:ascii="Times New Roman" w:hAnsi="Times New Roman" w:eastAsia="宋体" w:cs="Times New Roman"/>
          <w:color w:val="FF0000"/>
          <w:sz w:val="24"/>
          <w:szCs w:val="24"/>
          <w:vertAlign w:val="subscript"/>
        </w:rPr>
        <w:t>4</w:t>
      </w:r>
      <w:r>
        <w:rPr>
          <w:rFonts w:hint="default" w:ascii="Times New Roman" w:hAnsi="Times New Roman" w:eastAsia="宋体" w:cs="Times New Roman"/>
          <w:color w:val="FF0000"/>
          <w:sz w:val="24"/>
          <w:szCs w:val="24"/>
          <w:vertAlign w:val="baseline"/>
          <w:lang w:eastAsia="zh-CN"/>
        </w:rPr>
        <w:t>和</w:t>
      </w:r>
      <w:r>
        <w:rPr>
          <w:rFonts w:hint="default" w:ascii="Times New Roman" w:hAnsi="Times New Roman" w:eastAsia="宋体" w:cs="Times New Roman"/>
          <w:color w:val="FF0000"/>
          <w:sz w:val="24"/>
          <w:szCs w:val="24"/>
        </w:rPr>
        <w:t>SiO</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vertAlign w:val="baseline"/>
          <w:lang w:eastAsia="zh-CN"/>
        </w:rPr>
        <w:t>等元素，因此，本项目涌水的水质与</w:t>
      </w:r>
      <w:r>
        <w:rPr>
          <w:rFonts w:hint="default" w:ascii="Times New Roman" w:hAnsi="Times New Roman" w:eastAsia="宋体" w:cs="Times New Roman"/>
          <w:color w:val="FF0000"/>
          <w:sz w:val="24"/>
          <w:szCs w:val="24"/>
        </w:rPr>
        <w:t>旬阳县宝峰矿业有限公司</w:t>
      </w:r>
      <w:r>
        <w:rPr>
          <w:rFonts w:hint="default" w:ascii="Times New Roman" w:hAnsi="Times New Roman" w:eastAsia="宋体" w:cs="Times New Roman"/>
          <w:color w:val="FF0000"/>
          <w:sz w:val="24"/>
          <w:szCs w:val="24"/>
          <w:lang w:eastAsia="zh-CN"/>
        </w:rPr>
        <w:t>旬阳县宝峰矿业有限公司建设年产5万吨毒重石改扩建项目</w:t>
      </w:r>
      <w:r>
        <w:rPr>
          <w:rFonts w:hint="default" w:ascii="Times New Roman" w:hAnsi="Times New Roman" w:eastAsia="宋体" w:cs="Times New Roman"/>
          <w:color w:val="FF0000"/>
          <w:sz w:val="24"/>
          <w:szCs w:val="24"/>
        </w:rPr>
        <w:t>环境影响报告书</w:t>
      </w:r>
      <w:r>
        <w:rPr>
          <w:rFonts w:hint="default" w:ascii="Times New Roman" w:hAnsi="Times New Roman" w:eastAsia="宋体" w:cs="Times New Roman"/>
          <w:color w:val="FF0000"/>
          <w:sz w:val="24"/>
          <w:szCs w:val="24"/>
          <w:lang w:eastAsia="zh-CN"/>
        </w:rPr>
        <w:t>矿坑涌水的水质类比可行。</w:t>
      </w:r>
    </w:p>
    <w:p>
      <w:pPr>
        <w:pStyle w:val="121"/>
        <w:keepNext w:val="0"/>
        <w:keepLines w:val="0"/>
        <w:pageBreakBefore w:val="0"/>
        <w:widowControl w:val="0"/>
        <w:kinsoku/>
        <w:wordWrap/>
        <w:overflowPunct w:val="0"/>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lang w:val="en-US" w:eastAsia="zh-CN"/>
        </w:rPr>
        <w:t xml:space="preserve">表3.3-12 </w:t>
      </w:r>
      <w:r>
        <w:rPr>
          <w:rFonts w:hint="default" w:ascii="Times New Roman" w:hAnsi="Times New Roman" w:eastAsia="宋体" w:cs="Times New Roman"/>
          <w:color w:val="FF0000"/>
          <w:sz w:val="21"/>
          <w:szCs w:val="21"/>
          <w:highlight w:val="none"/>
          <w:lang w:val="en-US" w:eastAsia="zh-CN"/>
        </w:rPr>
        <w:t xml:space="preserve">  </w:t>
      </w:r>
      <w:r>
        <w:rPr>
          <w:rFonts w:hint="eastAsia" w:ascii="Times New Roman" w:hAnsi="Times New Roman" w:eastAsia="宋体" w:cs="Times New Roman"/>
          <w:color w:val="FF0000"/>
          <w:sz w:val="21"/>
          <w:szCs w:val="21"/>
          <w:highlight w:val="none"/>
          <w:lang w:val="en-US" w:eastAsia="zh-CN"/>
        </w:rPr>
        <w:t>类比</w:t>
      </w:r>
      <w:r>
        <w:rPr>
          <w:rFonts w:hint="default" w:ascii="Times New Roman" w:hAnsi="Times New Roman" w:eastAsia="宋体" w:cs="Times New Roman"/>
          <w:color w:val="FF0000"/>
          <w:sz w:val="21"/>
          <w:szCs w:val="21"/>
          <w:highlight w:val="none"/>
          <w:lang w:val="en-US" w:eastAsia="zh-CN"/>
        </w:rPr>
        <w:t>矿山涌水水质监测结果表   单位：mg/L</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2226"/>
        <w:gridCol w:w="2798"/>
        <w:gridCol w:w="2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序号</w:t>
            </w:r>
          </w:p>
        </w:tc>
        <w:tc>
          <w:tcPr>
            <w:tcW w:w="222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监测项目</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监测结果</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标准值（</w:t>
            </w:r>
            <w:r>
              <w:rPr>
                <w:rFonts w:hint="default" w:ascii="Times New Roman" w:hAnsi="Times New Roman" w:eastAsia="宋体" w:cs="Times New Roman"/>
                <w:b w:val="0"/>
                <w:bCs w:val="0"/>
                <w:color w:val="FF0000"/>
                <w:sz w:val="21"/>
                <w:szCs w:val="21"/>
                <w:vertAlign w:val="baseline"/>
                <w:lang w:val="en-US" w:eastAsia="zh-CN"/>
              </w:rPr>
              <w:fldChar w:fldCharType="begin"/>
            </w:r>
            <w:r>
              <w:rPr>
                <w:rFonts w:hint="default" w:ascii="Times New Roman" w:hAnsi="Times New Roman" w:eastAsia="宋体" w:cs="Times New Roman"/>
                <w:b w:val="0"/>
                <w:bCs w:val="0"/>
                <w:color w:val="FF0000"/>
                <w:sz w:val="21"/>
                <w:szCs w:val="21"/>
                <w:vertAlign w:val="baseline"/>
                <w:lang w:val="en-US" w:eastAsia="zh-CN"/>
              </w:rPr>
              <w:instrText xml:space="preserve"> = 2 \* ROMAN \* MERGEFORMAT </w:instrText>
            </w:r>
            <w:r>
              <w:rPr>
                <w:rFonts w:hint="default" w:ascii="Times New Roman" w:hAnsi="Times New Roman" w:eastAsia="宋体" w:cs="Times New Roman"/>
                <w:b w:val="0"/>
                <w:bCs w:val="0"/>
                <w:color w:val="FF0000"/>
                <w:sz w:val="21"/>
                <w:szCs w:val="21"/>
                <w:vertAlign w:val="baseline"/>
                <w:lang w:val="en-US" w:eastAsia="zh-CN"/>
              </w:rPr>
              <w:fldChar w:fldCharType="separate"/>
            </w:r>
            <w:r>
              <w:rPr>
                <w:rFonts w:hint="default" w:ascii="Times New Roman" w:hAnsi="Times New Roman" w:eastAsia="宋体" w:cs="Times New Roman"/>
                <w:color w:val="FF0000"/>
              </w:rPr>
              <w:t>II</w:t>
            </w:r>
            <w:r>
              <w:rPr>
                <w:rFonts w:hint="default" w:ascii="Times New Roman" w:hAnsi="Times New Roman" w:eastAsia="宋体" w:cs="Times New Roman"/>
                <w:b w:val="0"/>
                <w:bCs w:val="0"/>
                <w:color w:val="FF0000"/>
                <w:sz w:val="21"/>
                <w:szCs w:val="21"/>
                <w:vertAlign w:val="baseline"/>
                <w:lang w:val="en-US" w:eastAsia="zh-CN"/>
              </w:rPr>
              <w:fldChar w:fldCharType="end"/>
            </w:r>
            <w:r>
              <w:rPr>
                <w:rFonts w:hint="eastAsia" w:ascii="Times New Roman" w:hAnsi="Times New Roman" w:eastAsia="宋体" w:cs="Times New Roman"/>
                <w:b w:val="0"/>
                <w:bCs w:val="0"/>
                <w:color w:val="FF0000"/>
                <w:sz w:val="21"/>
                <w:szCs w:val="21"/>
                <w:vertAlign w:val="baseline"/>
                <w:lang w:val="en-US" w:eastAsia="zh-CN"/>
              </w:rPr>
              <w:t>类</w:t>
            </w:r>
            <w:r>
              <w:rPr>
                <w:rFonts w:hint="default"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1</w:t>
            </w:r>
          </w:p>
        </w:tc>
        <w:tc>
          <w:tcPr>
            <w:tcW w:w="222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pH</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7.63</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2</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砷</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0.00081</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bidi="ar-SA"/>
              </w:rPr>
              <w:t>3</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镉</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0.00031</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4</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铜</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0.00118</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5</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铅</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ND</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6</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color w:val="FF0000"/>
                <w:sz w:val="21"/>
                <w:szCs w:val="21"/>
                <w:lang w:eastAsia="zh-CN"/>
              </w:rPr>
              <w:t>钡</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highlight w:val="yellow"/>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0.101</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highlight w:val="yellow"/>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7</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铬</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0.00109</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8</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锌</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ND</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9</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锰</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ND</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10</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化学需氧量</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4</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11</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悬浮物</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40</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12</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氟化物</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0.20</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rPr>
              <w:t>13</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硝酸盐（以N计）</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0.47</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rPr>
              <w:t>14</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硫化物</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ND</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rPr>
              <w:t>15</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氨氮</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0.089</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rPr>
              <w:t>16</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石油类</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0.01</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rPr>
              <w:t>17</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碳酸根</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ND</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2"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rPr>
              <w:t>18</w:t>
            </w:r>
          </w:p>
        </w:tc>
        <w:tc>
          <w:tcPr>
            <w:tcW w:w="2226" w:type="dxa"/>
            <w:tcBorders>
              <w:tl2br w:val="nil"/>
              <w:tr2bl w:val="nil"/>
            </w:tcBorders>
            <w:noWrap w:val="0"/>
            <w:vAlign w:val="top"/>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硫酸盐</w:t>
            </w:r>
          </w:p>
        </w:tc>
        <w:tc>
          <w:tcPr>
            <w:tcW w:w="279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53.0</w:t>
            </w:r>
          </w:p>
        </w:tc>
        <w:tc>
          <w:tcPr>
            <w:tcW w:w="280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bl>
    <w:p>
      <w:pPr>
        <w:pStyle w:val="22"/>
        <w:adjustRightInd w:val="0"/>
        <w:snapToGrid w:val="0"/>
        <w:spacing w:after="0" w:line="360" w:lineRule="auto"/>
        <w:ind w:left="0" w:leftChars="0"/>
        <w:rPr>
          <w:rFonts w:hint="eastAsia" w:ascii="Times New Roman" w:hAnsi="Times New Roman" w:eastAsia="宋体" w:cs="Times New Roman"/>
          <w:color w:val="000000" w:themeColor="text1"/>
          <w:kern w:val="0"/>
          <w:sz w:val="24"/>
          <w:szCs w:val="22"/>
          <w:lang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color w:val="000000" w:themeColor="text1"/>
          <w:sz w:val="24"/>
          <w:szCs w:val="24"/>
          <w:lang w:val="en-US" w:eastAsia="zh-CN"/>
        </w:rPr>
        <w:t>井下</w:t>
      </w:r>
      <w:r>
        <w:rPr>
          <w:rFonts w:hint="default" w:ascii="Times New Roman" w:hAnsi="Times New Roman" w:eastAsia="宋体" w:cs="Times New Roman"/>
          <w:color w:val="000000" w:themeColor="text1"/>
          <w:kern w:val="0"/>
          <w:sz w:val="24"/>
          <w:szCs w:val="24"/>
          <w:lang w:eastAsia="zh-CN"/>
        </w:rPr>
        <w:t>除尘</w:t>
      </w:r>
      <w:r>
        <w:rPr>
          <w:rFonts w:hint="default" w:ascii="Times New Roman" w:hAnsi="Times New Roman" w:eastAsia="宋体" w:cs="Times New Roman"/>
          <w:color w:val="000000" w:themeColor="text1"/>
          <w:kern w:val="0"/>
          <w:sz w:val="24"/>
          <w:szCs w:val="24"/>
        </w:rPr>
        <w:t>废水</w:t>
      </w:r>
    </w:p>
    <w:p>
      <w:pPr>
        <w:pStyle w:val="22"/>
        <w:adjustRightInd w:val="0"/>
        <w:snapToGrid w:val="0"/>
        <w:spacing w:after="0" w:line="360" w:lineRule="auto"/>
        <w:ind w:left="0" w:leftChars="0"/>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kern w:val="0"/>
          <w:sz w:val="24"/>
          <w:szCs w:val="22"/>
        </w:rPr>
        <w:t>本项目在凿岩时采用湿式凿岩，类比</w:t>
      </w:r>
      <w:r>
        <w:rPr>
          <w:rFonts w:hint="eastAsia" w:ascii="Times New Roman" w:hAnsi="Times New Roman" w:eastAsia="宋体" w:cs="Times New Roman"/>
          <w:color w:val="000000" w:themeColor="text1"/>
          <w:kern w:val="0"/>
          <w:sz w:val="24"/>
          <w:szCs w:val="22"/>
          <w:lang w:eastAsia="zh-CN"/>
        </w:rPr>
        <w:t>现有</w:t>
      </w:r>
      <w:r>
        <w:rPr>
          <w:rFonts w:hint="eastAsia" w:ascii="Times New Roman" w:hAnsi="Times New Roman" w:eastAsia="宋体" w:cs="Times New Roman"/>
          <w:color w:val="000000" w:themeColor="text1"/>
          <w:kern w:val="0"/>
          <w:sz w:val="24"/>
          <w:szCs w:val="22"/>
        </w:rPr>
        <w:t>项目，湿式凿岩用水量约为</w:t>
      </w:r>
      <w:r>
        <w:rPr>
          <w:rFonts w:hint="eastAsia" w:ascii="Times New Roman" w:hAnsi="Times New Roman" w:eastAsia="宋体" w:cs="Times New Roman"/>
          <w:color w:val="000000" w:themeColor="text1"/>
          <w:kern w:val="0"/>
          <w:sz w:val="24"/>
          <w:szCs w:val="22"/>
          <w:lang w:val="en-US" w:eastAsia="zh-CN"/>
        </w:rPr>
        <w:t>5</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w:t>
      </w:r>
      <w:r>
        <w:rPr>
          <w:rFonts w:hint="eastAsia" w:ascii="Times New Roman" w:hAnsi="Times New Roman" w:eastAsia="宋体" w:cs="Times New Roman"/>
          <w:color w:val="000000" w:themeColor="text1"/>
          <w:kern w:val="0"/>
          <w:sz w:val="24"/>
          <w:szCs w:val="22"/>
          <w:lang w:eastAsia="zh-CN"/>
        </w:rPr>
        <w:t>，</w:t>
      </w:r>
      <w:r>
        <w:rPr>
          <w:rFonts w:hint="eastAsia" w:ascii="Times New Roman" w:hAnsi="Times New Roman" w:eastAsia="宋体" w:cs="Times New Roman"/>
          <w:color w:val="000000" w:themeColor="text1"/>
          <w:kern w:val="0"/>
          <w:sz w:val="24"/>
          <w:szCs w:val="22"/>
        </w:rPr>
        <w:t>损耗量为</w:t>
      </w:r>
      <w:r>
        <w:rPr>
          <w:rFonts w:hint="eastAsia" w:ascii="Times New Roman" w:hAnsi="Times New Roman" w:eastAsia="宋体" w:cs="Times New Roman"/>
          <w:color w:val="000000" w:themeColor="text1"/>
          <w:kern w:val="0"/>
          <w:sz w:val="24"/>
          <w:szCs w:val="22"/>
          <w:lang w:val="en-US" w:eastAsia="zh-CN"/>
        </w:rPr>
        <w:t>2</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/d，剩余废水量为</w:t>
      </w:r>
      <w:r>
        <w:rPr>
          <w:rFonts w:hint="eastAsia" w:ascii="Times New Roman" w:hAnsi="Times New Roman" w:eastAsia="宋体" w:cs="Times New Roman"/>
          <w:color w:val="000000" w:themeColor="text1"/>
          <w:kern w:val="0"/>
          <w:sz w:val="24"/>
          <w:szCs w:val="22"/>
          <w:lang w:val="en-US" w:eastAsia="zh-CN"/>
        </w:rPr>
        <w:t>3</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/d，剩余废水经沉淀池处理后全部回用。</w:t>
      </w:r>
    </w:p>
    <w:p>
      <w:pPr>
        <w:pStyle w:val="22"/>
        <w:adjustRightInd w:val="0"/>
        <w:snapToGrid w:val="0"/>
        <w:spacing w:after="0" w:line="360" w:lineRule="auto"/>
        <w:ind w:left="0" w:leftChars="0"/>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color w:val="000000" w:themeColor="text1"/>
          <w:sz w:val="24"/>
          <w:szCs w:val="24"/>
          <w:lang w:val="en-US" w:eastAsia="zh-CN"/>
        </w:rPr>
        <w:t>矿石堆场除尘废水</w:t>
      </w:r>
    </w:p>
    <w:p>
      <w:pPr>
        <w:pStyle w:val="22"/>
        <w:adjustRightInd w:val="0"/>
        <w:snapToGrid w:val="0"/>
        <w:spacing w:after="0" w:line="360" w:lineRule="auto"/>
        <w:ind w:left="0" w:leftChars="0"/>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矿石在井下利用三轮车将矿石运至硐口矿石堆场，矿石在平硐口临时堆放，采用汽车将矿石外运至厂家或者火车站。出井的矿石不能及时外运的，在工业场地的矿石堆棚内临时堆放；废石在临时堆场进行堆放。在装卸过程中有粉尘产生，环评要求装卸过程中喷淋降尘。类比现有项目，</w:t>
      </w:r>
      <w:r>
        <w:rPr>
          <w:rFonts w:hint="eastAsia" w:ascii="Times New Roman" w:hAnsi="Times New Roman" w:eastAsia="宋体" w:cs="Times New Roman"/>
          <w:color w:val="000000" w:themeColor="text1"/>
          <w:kern w:val="0"/>
          <w:sz w:val="24"/>
          <w:szCs w:val="22"/>
          <w:lang w:eastAsia="zh-CN"/>
        </w:rPr>
        <w:t>矿石堆场降尘</w:t>
      </w:r>
      <w:r>
        <w:rPr>
          <w:rFonts w:hint="eastAsia" w:ascii="Times New Roman" w:hAnsi="Times New Roman" w:eastAsia="宋体" w:cs="Times New Roman"/>
          <w:color w:val="000000" w:themeColor="text1"/>
          <w:kern w:val="0"/>
          <w:sz w:val="24"/>
          <w:szCs w:val="22"/>
        </w:rPr>
        <w:t>用水量约为</w:t>
      </w:r>
      <w:r>
        <w:rPr>
          <w:rFonts w:hint="eastAsia" w:ascii="Times New Roman" w:hAnsi="Times New Roman" w:eastAsia="宋体" w:cs="Times New Roman"/>
          <w:color w:val="000000" w:themeColor="text1"/>
          <w:kern w:val="0"/>
          <w:sz w:val="24"/>
          <w:szCs w:val="22"/>
          <w:lang w:val="en-US" w:eastAsia="zh-CN"/>
        </w:rPr>
        <w:t>2</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w:t>
      </w:r>
      <w:r>
        <w:rPr>
          <w:rFonts w:hint="eastAsia" w:ascii="Times New Roman" w:hAnsi="Times New Roman" w:eastAsia="宋体" w:cs="Times New Roman"/>
          <w:color w:val="000000" w:themeColor="text1"/>
          <w:kern w:val="0"/>
          <w:sz w:val="24"/>
          <w:szCs w:val="22"/>
          <w:lang w:eastAsia="zh-CN"/>
        </w:rPr>
        <w:t>，</w:t>
      </w:r>
      <w:r>
        <w:rPr>
          <w:rFonts w:hint="eastAsia" w:ascii="Times New Roman" w:hAnsi="Times New Roman" w:eastAsia="宋体" w:cs="Times New Roman"/>
          <w:color w:val="000000" w:themeColor="text1"/>
          <w:kern w:val="0"/>
          <w:sz w:val="24"/>
          <w:szCs w:val="22"/>
        </w:rPr>
        <w:t>损耗量为</w:t>
      </w:r>
      <w:r>
        <w:rPr>
          <w:rFonts w:hint="eastAsia" w:ascii="Times New Roman" w:hAnsi="Times New Roman" w:eastAsia="宋体" w:cs="Times New Roman"/>
          <w:color w:val="000000" w:themeColor="text1"/>
          <w:kern w:val="0"/>
          <w:sz w:val="24"/>
          <w:szCs w:val="22"/>
          <w:lang w:val="en-US" w:eastAsia="zh-CN"/>
        </w:rPr>
        <w:t>1</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/d，剩余废水量为</w:t>
      </w:r>
      <w:r>
        <w:rPr>
          <w:rFonts w:hint="eastAsia" w:ascii="Times New Roman" w:hAnsi="Times New Roman" w:eastAsia="宋体" w:cs="Times New Roman"/>
          <w:color w:val="000000" w:themeColor="text1"/>
          <w:kern w:val="0"/>
          <w:sz w:val="24"/>
          <w:szCs w:val="22"/>
          <w:lang w:val="en-US" w:eastAsia="zh-CN"/>
        </w:rPr>
        <w:t>1</w:t>
      </w:r>
      <w:r>
        <w:rPr>
          <w:rFonts w:hint="eastAsia" w:ascii="Times New Roman" w:hAnsi="Times New Roman" w:eastAsia="宋体" w:cs="Times New Roman"/>
          <w:color w:val="000000" w:themeColor="text1"/>
          <w:kern w:val="0"/>
          <w:sz w:val="24"/>
          <w:szCs w:val="22"/>
        </w:rPr>
        <w:t>m</w:t>
      </w:r>
      <w:r>
        <w:rPr>
          <w:rFonts w:hint="eastAsia" w:ascii="Times New Roman" w:hAnsi="Times New Roman" w:eastAsia="宋体" w:cs="Times New Roman"/>
          <w:color w:val="000000" w:themeColor="text1"/>
          <w:kern w:val="0"/>
          <w:sz w:val="24"/>
          <w:szCs w:val="22"/>
          <w:vertAlign w:val="superscript"/>
        </w:rPr>
        <w:t>3</w:t>
      </w:r>
      <w:r>
        <w:rPr>
          <w:rFonts w:hint="eastAsia" w:ascii="Times New Roman" w:hAnsi="Times New Roman" w:eastAsia="宋体" w:cs="Times New Roman"/>
          <w:color w:val="000000" w:themeColor="text1"/>
          <w:kern w:val="0"/>
          <w:sz w:val="24"/>
          <w:szCs w:val="22"/>
        </w:rPr>
        <w:t>/d，剩余废水经沉淀池处理后全部回用。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rPr>
      </w:pPr>
      <w:r>
        <w:rPr>
          <w:rFonts w:hint="default" w:ascii="Times New Roman" w:hAnsi="Times New Roman" w:eastAsia="宋体" w:cs="Times New Roman"/>
          <w:color w:val="000000" w:themeColor="text1"/>
          <w:sz w:val="24"/>
          <w:szCs w:val="24"/>
        </w:rPr>
        <w:t>参考《陕西省行业用水定额》（DB61/T943-20</w:t>
      </w:r>
      <w:r>
        <w:rPr>
          <w:rFonts w:hint="default" w:ascii="Times New Roman" w:hAnsi="Times New Roman" w:eastAsia="宋体" w:cs="Times New Roman"/>
          <w:color w:val="000000" w:themeColor="text1"/>
          <w:sz w:val="24"/>
          <w:szCs w:val="24"/>
          <w:lang w:val="en-US" w:eastAsia="zh-CN"/>
        </w:rPr>
        <w:t>20</w:t>
      </w:r>
      <w:r>
        <w:rPr>
          <w:rFonts w:hint="default" w:ascii="Times New Roman" w:hAnsi="Times New Roman" w:eastAsia="宋体" w:cs="Times New Roman"/>
          <w:color w:val="000000" w:themeColor="text1"/>
          <w:sz w:val="24"/>
          <w:szCs w:val="24"/>
        </w:rPr>
        <w:t>）中及项目所在地实际用水情况，</w:t>
      </w:r>
      <w:r>
        <w:rPr>
          <w:rFonts w:hint="eastAsia" w:ascii="Times New Roman" w:hAnsi="Times New Roman" w:eastAsia="宋体" w:cs="Times New Roman"/>
          <w:color w:val="000000" w:themeColor="text1"/>
          <w:sz w:val="24"/>
          <w:szCs w:val="24"/>
          <w:lang w:eastAsia="zh-CN"/>
        </w:rPr>
        <w:t>本项目生活用水为桶装水，</w:t>
      </w:r>
      <w:r>
        <w:rPr>
          <w:rFonts w:hint="default" w:ascii="Times New Roman" w:hAnsi="Times New Roman" w:eastAsia="宋体" w:cs="Times New Roman"/>
          <w:b w:val="0"/>
          <w:bCs w:val="0"/>
          <w:color w:val="000000" w:themeColor="text1"/>
          <w:kern w:val="0"/>
          <w:sz w:val="24"/>
          <w:szCs w:val="24"/>
        </w:rPr>
        <w:t>本项目工作人员</w:t>
      </w:r>
      <w:r>
        <w:rPr>
          <w:rFonts w:hint="eastAsia" w:ascii="Times New Roman" w:hAnsi="Times New Roman" w:eastAsia="宋体" w:cs="Times New Roman"/>
          <w:b w:val="0"/>
          <w:bCs w:val="0"/>
          <w:color w:val="000000" w:themeColor="text1"/>
          <w:kern w:val="0"/>
          <w:sz w:val="24"/>
          <w:szCs w:val="24"/>
          <w:lang w:val="en-US" w:eastAsia="zh-CN"/>
        </w:rPr>
        <w:t>21</w:t>
      </w:r>
      <w:r>
        <w:rPr>
          <w:rFonts w:hint="default" w:ascii="Times New Roman" w:hAnsi="Times New Roman" w:eastAsia="宋体" w:cs="Times New Roman"/>
          <w:b w:val="0"/>
          <w:bCs w:val="0"/>
          <w:color w:val="000000" w:themeColor="text1"/>
          <w:kern w:val="0"/>
          <w:sz w:val="24"/>
          <w:szCs w:val="24"/>
        </w:rPr>
        <w:t>人，生活用水按30L/（人·d）计，则项目员工生活用水量为</w:t>
      </w:r>
      <w:r>
        <w:rPr>
          <w:rFonts w:hint="eastAsia" w:ascii="Times New Roman" w:hAnsi="Times New Roman" w:eastAsia="宋体" w:cs="Times New Roman"/>
          <w:b w:val="0"/>
          <w:bCs w:val="0"/>
          <w:color w:val="000000" w:themeColor="text1"/>
          <w:kern w:val="0"/>
          <w:sz w:val="24"/>
          <w:szCs w:val="24"/>
          <w:lang w:val="en-US" w:eastAsia="zh-CN"/>
        </w:rPr>
        <w:t>0.63</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/d（</w:t>
      </w:r>
      <w:r>
        <w:rPr>
          <w:rFonts w:hint="eastAsia" w:ascii="Times New Roman" w:hAnsi="Times New Roman" w:eastAsia="宋体" w:cs="Times New Roman"/>
          <w:b w:val="0"/>
          <w:bCs w:val="0"/>
          <w:color w:val="000000" w:themeColor="text1"/>
          <w:kern w:val="0"/>
          <w:sz w:val="24"/>
          <w:szCs w:val="24"/>
          <w:lang w:val="en-US" w:eastAsia="zh-CN"/>
        </w:rPr>
        <w:t>189</w:t>
      </w:r>
      <w:r>
        <w:rPr>
          <w:rFonts w:hint="default" w:ascii="Times New Roman" w:hAnsi="Times New Roman" w:eastAsia="宋体" w:cs="Times New Roman"/>
          <w:b w:val="0"/>
          <w:bCs w:val="0"/>
          <w:color w:val="000000" w:themeColor="text1"/>
          <w:kern w:val="0"/>
          <w:sz w:val="24"/>
          <w:szCs w:val="24"/>
        </w:rPr>
        <w:t>.0m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/a，年工作300天）。生活污水产生系数按0.8计，则生活污水产生量为</w:t>
      </w:r>
      <w:r>
        <w:rPr>
          <w:rFonts w:hint="eastAsia" w:ascii="Times New Roman" w:hAnsi="Times New Roman" w:eastAsia="宋体" w:cs="Times New Roman"/>
          <w:b w:val="0"/>
          <w:bCs w:val="0"/>
          <w:color w:val="000000" w:themeColor="text1"/>
          <w:kern w:val="0"/>
          <w:sz w:val="24"/>
          <w:szCs w:val="24"/>
          <w:lang w:val="en-US" w:eastAsia="zh-CN"/>
        </w:rPr>
        <w:t>0.504</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/d（</w:t>
      </w:r>
      <w:r>
        <w:rPr>
          <w:rFonts w:hint="eastAsia" w:ascii="Times New Roman" w:hAnsi="Times New Roman" w:eastAsia="宋体" w:cs="Times New Roman"/>
          <w:b w:val="0"/>
          <w:bCs w:val="0"/>
          <w:color w:val="000000" w:themeColor="text1"/>
          <w:kern w:val="0"/>
          <w:sz w:val="24"/>
          <w:szCs w:val="24"/>
          <w:lang w:val="en-US" w:eastAsia="zh-CN"/>
        </w:rPr>
        <w:t>151.2</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/a）</w:t>
      </w:r>
      <w:r>
        <w:rPr>
          <w:rFonts w:hint="eastAsia" w:ascii="Times New Roman" w:hAnsi="Times New Roman" w:eastAsia="宋体" w:cs="Times New Roman"/>
          <w:b w:val="0"/>
          <w:bCs w:val="0"/>
          <w:color w:val="000000" w:themeColor="text1"/>
          <w:kern w:val="0"/>
          <w:sz w:val="24"/>
          <w:szCs w:val="24"/>
          <w:lang w:eastAsia="zh-CN"/>
        </w:rPr>
        <w:t>，</w:t>
      </w:r>
      <w:r>
        <w:rPr>
          <w:rFonts w:hint="eastAsia" w:ascii="Times New Roman" w:hAnsi="Times New Roman" w:eastAsia="宋体" w:cs="Times New Roman"/>
          <w:b w:val="0"/>
          <w:bCs w:val="0"/>
          <w:color w:val="000000" w:themeColor="text1"/>
          <w:kern w:val="0"/>
          <w:sz w:val="24"/>
          <w:szCs w:val="24"/>
          <w:lang w:val="en-US" w:eastAsia="zh-CN"/>
        </w:rPr>
        <w:t>本项目已在K1矿区的生活区建成一座约10</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eastAsia" w:ascii="Times New Roman" w:hAnsi="Times New Roman" w:eastAsia="宋体" w:cs="Times New Roman"/>
          <w:b w:val="0"/>
          <w:bCs w:val="0"/>
          <w:color w:val="000000" w:themeColor="text1"/>
          <w:kern w:val="0"/>
          <w:sz w:val="24"/>
          <w:szCs w:val="24"/>
          <w:vertAlign w:val="baseline"/>
          <w:lang w:val="en-US" w:eastAsia="zh-CN"/>
        </w:rPr>
        <w:t>的化粪池，可满足生活废水水量的要求。</w:t>
      </w:r>
      <w:r>
        <w:rPr>
          <w:rFonts w:hint="eastAsia" w:ascii="Times New Roman" w:hAnsi="Times New Roman" w:eastAsia="宋体" w:cs="Times New Roman"/>
          <w:b w:val="0"/>
          <w:bCs w:val="0"/>
          <w:color w:val="000000" w:themeColor="text1"/>
          <w:kern w:val="0"/>
          <w:sz w:val="24"/>
          <w:szCs w:val="24"/>
          <w:lang w:val="en-US" w:eastAsia="zh-CN"/>
        </w:rPr>
        <w:t>化粪池</w:t>
      </w:r>
      <w:r>
        <w:rPr>
          <w:rFonts w:hint="default" w:ascii="Times New Roman" w:hAnsi="Times New Roman" w:eastAsia="宋体" w:cs="Times New Roman"/>
          <w:color w:val="000000" w:themeColor="text1"/>
          <w:sz w:val="24"/>
          <w:szCs w:val="24"/>
        </w:rPr>
        <w:t>定期清淘用于</w:t>
      </w:r>
      <w:r>
        <w:rPr>
          <w:rFonts w:hint="eastAsia" w:ascii="Times New Roman" w:hAnsi="Times New Roman" w:eastAsia="宋体" w:cs="Times New Roman"/>
          <w:color w:val="000000" w:themeColor="text1"/>
          <w:sz w:val="24"/>
          <w:szCs w:val="24"/>
          <w:lang w:eastAsia="zh-CN"/>
        </w:rPr>
        <w:t>周边林地</w:t>
      </w:r>
      <w:r>
        <w:rPr>
          <w:rFonts w:hint="default" w:ascii="Times New Roman" w:hAnsi="Times New Roman" w:eastAsia="宋体" w:cs="Times New Roman"/>
          <w:color w:val="000000" w:themeColor="text1"/>
          <w:sz w:val="24"/>
          <w:szCs w:val="24"/>
        </w:rPr>
        <w:t>肥田。</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val="0"/>
          <w:color w:val="000000" w:themeColor="text1"/>
          <w:sz w:val="24"/>
          <w:szCs w:val="24"/>
        </w:rPr>
      </w:pPr>
      <w:r>
        <w:rPr>
          <w:rFonts w:hint="eastAsia" w:ascii="Times New Roman" w:hAnsi="Times New Roman" w:eastAsia="宋体" w:cs="Times New Roman"/>
          <w:b/>
          <w:bCs w:val="0"/>
          <w:color w:val="000000" w:themeColor="text1"/>
          <w:sz w:val="24"/>
          <w:szCs w:val="24"/>
          <w:lang w:val="en-US" w:eastAsia="zh-CN"/>
        </w:rPr>
        <w:t>3.运营期</w:t>
      </w:r>
      <w:r>
        <w:rPr>
          <w:rFonts w:hint="default" w:ascii="Times New Roman" w:hAnsi="Times New Roman" w:eastAsia="宋体" w:cs="Times New Roman"/>
          <w:b/>
          <w:bCs w:val="0"/>
          <w:color w:val="000000" w:themeColor="text1"/>
          <w:sz w:val="24"/>
          <w:szCs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矿山噪声污染源包括井下噪声源和地表噪声源</w:t>
      </w:r>
      <w:r>
        <w:rPr>
          <w:rFonts w:hint="eastAsia" w:ascii="Times New Roman" w:hAnsi="Times New Roman" w:eastAsia="宋体" w:cs="Times New Roman"/>
          <w:color w:val="FF0000"/>
          <w:sz w:val="24"/>
          <w:szCs w:val="24"/>
          <w:lang w:val="en-US" w:eastAsia="zh-CN"/>
        </w:rPr>
        <w:t>以及矿石外运车辆的运输噪声</w:t>
      </w:r>
      <w:r>
        <w:rPr>
          <w:rFonts w:hint="default" w:ascii="Times New Roman" w:hAnsi="Times New Roman" w:eastAsia="宋体" w:cs="Times New Roman"/>
          <w:color w:val="FF0000"/>
          <w:sz w:val="24"/>
          <w:szCs w:val="24"/>
        </w:rPr>
        <w:t>。</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井下噪声源：主要为井下采掘过程中各种机械噪声、爆破噪声等，</w:t>
      </w:r>
      <w:r>
        <w:rPr>
          <w:rFonts w:hint="eastAsia" w:ascii="Times New Roman" w:hAnsi="Times New Roman" w:eastAsia="宋体" w:cs="Times New Roman"/>
          <w:color w:val="FF0000"/>
          <w:sz w:val="24"/>
          <w:szCs w:val="24"/>
          <w:lang w:eastAsia="zh-CN"/>
        </w:rPr>
        <w:t>对地面的影响不大，</w:t>
      </w:r>
      <w:r>
        <w:rPr>
          <w:rFonts w:hint="eastAsia" w:ascii="Times New Roman" w:hAnsi="Times New Roman" w:eastAsia="宋体" w:cs="Times New Roman"/>
          <w:color w:val="FF0000"/>
          <w:sz w:val="24"/>
          <w:szCs w:val="24"/>
          <w:lang w:val="en-US" w:eastAsia="zh-CN"/>
        </w:rPr>
        <w:t>本项目不予考虑</w:t>
      </w:r>
      <w:r>
        <w:rPr>
          <w:rFonts w:hint="eastAsia" w:ascii="Times New Roman" w:hAnsi="Times New Roman" w:eastAsia="宋体" w:cs="Times New Roman"/>
          <w:color w:val="FF000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（2）地表噪声源：包括空压机、通风机产生的噪声，噪声级约</w:t>
      </w:r>
      <w:r>
        <w:rPr>
          <w:rFonts w:hint="eastAsia" w:ascii="Times New Roman" w:hAnsi="Times New Roman" w:eastAsia="宋体" w:cs="Times New Roman"/>
          <w:color w:val="FF0000"/>
          <w:sz w:val="24"/>
          <w:szCs w:val="24"/>
          <w:lang w:val="en-US" w:eastAsia="zh-CN"/>
        </w:rPr>
        <w:t>95</w:t>
      </w:r>
      <w:r>
        <w:rPr>
          <w:rFonts w:hint="default" w:ascii="Times New Roman" w:hAnsi="Times New Roman" w:eastAsia="宋体" w:cs="Times New Roman"/>
          <w:color w:val="FF0000"/>
          <w:sz w:val="24"/>
          <w:szCs w:val="24"/>
        </w:rPr>
        <w:t>dB(A)</w:t>
      </w:r>
      <w:r>
        <w:rPr>
          <w:rFonts w:hint="eastAsia" w:ascii="Times New Roman" w:hAnsi="Times New Roman" w:eastAsia="宋体" w:cs="Times New Roman"/>
          <w:color w:val="FF0000"/>
          <w:sz w:val="24"/>
          <w:szCs w:val="24"/>
          <w:lang w:eastAsia="zh-CN"/>
        </w:rPr>
        <w:t>左右</w:t>
      </w:r>
      <w:r>
        <w:rPr>
          <w:rFonts w:hint="default" w:ascii="Times New Roman" w:hAnsi="Times New Roman" w:eastAsia="宋体" w:cs="Times New Roman"/>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3</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运输噪声：矿石外运车辆的交通噪声，噪声级</w:t>
      </w:r>
      <w:r>
        <w:rPr>
          <w:rFonts w:hint="default" w:ascii="Times New Roman" w:hAnsi="Times New Roman" w:eastAsia="宋体" w:cs="Times New Roman"/>
          <w:color w:val="FF0000"/>
          <w:sz w:val="24"/>
          <w:szCs w:val="24"/>
        </w:rPr>
        <w:t>约85dB(A)。</w:t>
      </w:r>
      <w:r>
        <w:rPr>
          <w:rFonts w:hint="eastAsia" w:ascii="Times New Roman" w:hAnsi="Times New Roman" w:eastAsia="宋体" w:cs="Times New Roman"/>
          <w:color w:val="FF0000"/>
          <w:sz w:val="24"/>
          <w:szCs w:val="24"/>
          <w:lang w:val="en-US" w:eastAsia="zh-CN"/>
        </w:rPr>
        <w:t>本项目的矿石主要运往旬阳市北火车站，首先经过矿区道路和原来的村道约3km至东吕路，路两侧分布有另零星的居民大约5户，距离道路的距离约为10m左右；由东吕路行驶约18km至神河收费站上十天高速，路两侧集中分布有大量的居民，路边的居民距离道路的距离约为5-10m；再途径十天高速和316国道和211国道至旬阳北站，全程大约65k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矿山开采运输等噪声源及其噪声级见表3.</w:t>
      </w:r>
      <w:r>
        <w:rPr>
          <w:rFonts w:hint="eastAsia"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13</w:t>
      </w:r>
      <w:r>
        <w:rPr>
          <w:rFonts w:hint="default" w:ascii="Times New Roman" w:hAnsi="Times New Roman" w:eastAsia="宋体" w:cs="Times New Roman"/>
          <w:color w:val="FF0000"/>
          <w:sz w:val="24"/>
          <w:szCs w:val="24"/>
        </w:rPr>
        <w:t>。</w:t>
      </w:r>
    </w:p>
    <w:p>
      <w:pPr>
        <w:pStyle w:val="25"/>
        <w:spacing w:beforeLines="0" w:afterLines="0"/>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表3.</w:t>
      </w:r>
      <w:r>
        <w:rPr>
          <w:rFonts w:hint="default" w:ascii="Times New Roman" w:hAnsi="Times New Roman" w:eastAsia="宋体" w:cs="Times New Roman"/>
          <w:b/>
          <w:bCs w:val="0"/>
          <w:color w:val="FF0000"/>
          <w:sz w:val="21"/>
          <w:szCs w:val="21"/>
          <w:lang w:val="en-US" w:eastAsia="zh-CN"/>
        </w:rPr>
        <w:t>3</w:t>
      </w:r>
      <w:r>
        <w:rPr>
          <w:rFonts w:hint="default" w:ascii="Times New Roman" w:hAnsi="Times New Roman" w:eastAsia="宋体" w:cs="Times New Roman"/>
          <w:b/>
          <w:bCs w:val="0"/>
          <w:color w:val="FF0000"/>
          <w:sz w:val="21"/>
          <w:szCs w:val="21"/>
        </w:rPr>
        <w:t>-</w:t>
      </w:r>
      <w:r>
        <w:rPr>
          <w:rFonts w:hint="eastAsia" w:ascii="Times New Roman" w:hAnsi="Times New Roman" w:eastAsia="宋体" w:cs="Times New Roman"/>
          <w:b/>
          <w:bCs w:val="0"/>
          <w:color w:val="FF0000"/>
          <w:sz w:val="21"/>
          <w:szCs w:val="21"/>
          <w:lang w:val="en-US" w:eastAsia="zh-CN"/>
        </w:rPr>
        <w:t>13</w:t>
      </w:r>
      <w:r>
        <w:rPr>
          <w:rFonts w:hint="default" w:ascii="Times New Roman" w:hAnsi="Times New Roman" w:eastAsia="宋体" w:cs="Times New Roman"/>
          <w:b/>
          <w:bCs w:val="0"/>
          <w:color w:val="FF0000"/>
          <w:sz w:val="21"/>
          <w:szCs w:val="21"/>
        </w:rPr>
        <w:t xml:space="preserve"> 采矿主要噪声源及噪声级</w:t>
      </w:r>
    </w:p>
    <w:tbl>
      <w:tblPr>
        <w:tblStyle w:val="40"/>
        <w:tblW w:w="895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分类</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噪声源</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数量</w:t>
            </w:r>
            <w:r>
              <w:rPr>
                <w:rFonts w:hint="eastAsia" w:ascii="Times New Roman" w:hAnsi="Times New Roman" w:eastAsia="宋体" w:cs="Times New Roman"/>
                <w:color w:val="FF0000"/>
                <w:sz w:val="21"/>
                <w:szCs w:val="21"/>
                <w:lang w:eastAsia="zh-CN"/>
              </w:rPr>
              <w:t>（台）</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产生方式</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噪声级dB(A)</w:t>
            </w:r>
          </w:p>
        </w:tc>
        <w:tc>
          <w:tcPr>
            <w:tcW w:w="1401"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环保措施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0" w:type="dxa"/>
            <w:vMerge w:val="restart"/>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地表噪声</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风机</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val="en-US" w:eastAsia="zh-CN"/>
              </w:rPr>
              <w:t>1</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连续</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95</w:t>
            </w:r>
          </w:p>
        </w:tc>
        <w:tc>
          <w:tcPr>
            <w:tcW w:w="1401"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加消声器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0" w:type="dxa"/>
            <w:vMerge w:val="continue"/>
            <w:tcBorders>
              <w:tl2br w:val="nil"/>
              <w:tr2bl w:val="nil"/>
            </w:tcBorders>
            <w:vAlign w:val="center"/>
          </w:tcPr>
          <w:p>
            <w:pPr>
              <w:pStyle w:val="42"/>
              <w:rPr>
                <w:rFonts w:hint="default" w:ascii="Times New Roman" w:hAnsi="Times New Roman" w:eastAsia="宋体" w:cs="Times New Roman"/>
                <w:color w:val="FF0000"/>
                <w:sz w:val="21"/>
                <w:szCs w:val="21"/>
              </w:rPr>
            </w:pP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空压机</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val="en-US" w:eastAsia="zh-CN"/>
              </w:rPr>
              <w:t>1</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连续</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93</w:t>
            </w:r>
          </w:p>
        </w:tc>
        <w:tc>
          <w:tcPr>
            <w:tcW w:w="1401" w:type="dxa"/>
            <w:tcBorders>
              <w:tl2br w:val="nil"/>
              <w:tr2bl w:val="nil"/>
            </w:tcBorders>
            <w:vAlign w:val="center"/>
          </w:tcPr>
          <w:p>
            <w:pPr>
              <w:pStyle w:val="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设置空压机房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运输噪声</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自卸式汽车</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w:t>
            </w:r>
          </w:p>
        </w:tc>
        <w:tc>
          <w:tcPr>
            <w:tcW w:w="1510" w:type="dxa"/>
            <w:tcBorders>
              <w:tl2br w:val="nil"/>
              <w:tr2bl w:val="nil"/>
            </w:tcBorders>
            <w:vAlign w:val="center"/>
          </w:tcPr>
          <w:p>
            <w:pPr>
              <w:pStyle w:val="4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间断</w:t>
            </w:r>
          </w:p>
        </w:tc>
        <w:tc>
          <w:tcPr>
            <w:tcW w:w="1510" w:type="dxa"/>
            <w:tcBorders>
              <w:tl2br w:val="nil"/>
              <w:tr2bl w:val="nil"/>
            </w:tcBorders>
            <w:vAlign w:val="center"/>
          </w:tcPr>
          <w:p>
            <w:pPr>
              <w:pStyle w:val="42"/>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85</w:t>
            </w:r>
          </w:p>
        </w:tc>
        <w:tc>
          <w:tcPr>
            <w:tcW w:w="1401" w:type="dxa"/>
            <w:tcBorders>
              <w:tl2br w:val="nil"/>
              <w:tr2bl w:val="nil"/>
            </w:tcBorders>
            <w:vAlign w:val="center"/>
          </w:tcPr>
          <w:p>
            <w:pPr>
              <w:pStyle w:val="42"/>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减速慢行、禁止鸣笛</w:t>
            </w:r>
          </w:p>
        </w:tc>
      </w:tr>
    </w:tbl>
    <w:p>
      <w:pPr>
        <w:pStyle w:val="60"/>
        <w:snapToGrid w:val="0"/>
        <w:spacing w:line="360" w:lineRule="auto"/>
        <w:ind w:firstLine="482" w:firstLineChars="200"/>
        <w:rPr>
          <w:rFonts w:hint="default" w:ascii="Times New Roman" w:hAnsi="Times New Roman" w:eastAsia="宋体" w:cs="Times New Roman"/>
          <w:b/>
          <w:bCs/>
          <w:color w:val="000000" w:themeColor="text1"/>
          <w:sz w:val="24"/>
          <w:szCs w:val="24"/>
          <w:shd w:val="clear" w:color="auto" w:fill="FFFFFF"/>
          <w:lang w:val="en-US" w:eastAsia="zh-CN"/>
        </w:rPr>
      </w:pPr>
      <w:r>
        <w:rPr>
          <w:rFonts w:hint="eastAsia" w:ascii="Times New Roman" w:hAnsi="Times New Roman" w:eastAsia="宋体" w:cs="Times New Roman"/>
          <w:b/>
          <w:bCs/>
          <w:color w:val="000000" w:themeColor="text1"/>
          <w:sz w:val="24"/>
          <w:szCs w:val="24"/>
          <w:lang w:val="en-US" w:eastAsia="zh-CN"/>
        </w:rPr>
        <w:t xml:space="preserve">4. </w:t>
      </w:r>
      <w:r>
        <w:rPr>
          <w:rFonts w:hint="eastAsia" w:ascii="Times New Roman" w:eastAsia="宋体" w:cs="Times New Roman"/>
          <w:b/>
          <w:bCs/>
          <w:color w:val="000000" w:themeColor="text1"/>
          <w:sz w:val="24"/>
          <w:szCs w:val="24"/>
          <w:shd w:val="clear" w:color="auto" w:fill="FFFFFF"/>
          <w:lang w:val="en-US" w:eastAsia="zh-CN"/>
        </w:rPr>
        <w:t>对地下水的影响</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bookmarkStart w:id="267" w:name="_Toc2643"/>
      <w:r>
        <w:rPr>
          <w:rFonts w:hint="eastAsia" w:ascii="Times New Roman" w:hAnsi="Times New Roman" w:eastAsia="宋体" w:cs="Times New Roman"/>
          <w:b w:val="0"/>
          <w:bCs w:val="0"/>
          <w:color w:val="000000" w:themeColor="text1"/>
          <w:sz w:val="24"/>
          <w:szCs w:val="24"/>
          <w:lang w:val="en-US" w:eastAsia="zh-CN"/>
        </w:rPr>
        <w:t>（1）采矿区对地下水的影响</w:t>
      </w:r>
      <w:bookmarkEnd w:id="267"/>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采用地下开采方式，随着矿山的开采，矿体由上至下逐步采空，采空区上方岩石失去支撑，将会陷落、变形，在采空区上方形成岩移区，岩移区内采空区上方新形成的导水裂隙与上部基岩风化裂隙带连通，导致基岩风化裂隙潜水向下渗透进入矿坑内，以矿坑涌水方式排出，从而改变了岩移区内基岩风化裂隙潜水的赋存条件，导致局部水位的变化。矿坑内地下水水位随开采中段下降而下降，且随着开采中段水平的下降，周围地下水位下降，最终将以采矿工区为中心形成一水位降落漏斗，随着采场的向下推进，水位降落漏斗也随之扩大，将影响到矿区局部的地下水自然平衡状态。</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zh-CN"/>
        </w:rPr>
      </w:pPr>
      <w:bookmarkStart w:id="268" w:name="_Toc8841"/>
      <w:r>
        <w:rPr>
          <w:rFonts w:hint="eastAsia" w:ascii="Times New Roman" w:hAnsi="Times New Roman" w:eastAsia="宋体" w:cs="Times New Roman"/>
          <w:b w:val="0"/>
          <w:bCs w:val="0"/>
          <w:color w:val="000000" w:themeColor="text1"/>
          <w:sz w:val="24"/>
          <w:szCs w:val="24"/>
          <w:lang w:val="en-US" w:eastAsia="zh-CN"/>
        </w:rPr>
        <w:t>（2）工业场地对地下水的影响</w:t>
      </w:r>
      <w:bookmarkEnd w:id="268"/>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zh-CN"/>
        </w:rPr>
      </w:pPr>
      <w:r>
        <w:rPr>
          <w:rFonts w:hint="default" w:ascii="Times New Roman" w:hAnsi="Times New Roman" w:eastAsia="宋体" w:cs="Times New Roman"/>
          <w:color w:val="000000" w:themeColor="text1"/>
          <w:sz w:val="24"/>
          <w:szCs w:val="24"/>
          <w:lang w:val="zh-CN"/>
        </w:rPr>
        <w:t>采矿工业场地</w:t>
      </w:r>
      <w:r>
        <w:rPr>
          <w:rFonts w:hint="eastAsia" w:ascii="Times New Roman" w:hAnsi="Times New Roman" w:eastAsia="宋体" w:cs="Times New Roman"/>
          <w:color w:val="000000" w:themeColor="text1"/>
          <w:sz w:val="24"/>
          <w:szCs w:val="24"/>
          <w:lang w:val="zh-CN"/>
        </w:rPr>
        <w:t>的废机油、生活垃圾、生产废水处理储存设施、</w:t>
      </w:r>
      <w:r>
        <w:rPr>
          <w:rFonts w:hint="default" w:ascii="Times New Roman" w:hAnsi="Times New Roman" w:eastAsia="宋体" w:cs="Times New Roman"/>
          <w:color w:val="000000" w:themeColor="text1"/>
          <w:sz w:val="24"/>
          <w:szCs w:val="24"/>
          <w:lang w:val="zh-CN"/>
        </w:rPr>
        <w:t>生活</w:t>
      </w:r>
      <w:r>
        <w:rPr>
          <w:rFonts w:hint="eastAsia" w:ascii="Times New Roman" w:hAnsi="Times New Roman" w:eastAsia="宋体" w:cs="Times New Roman"/>
          <w:color w:val="000000" w:themeColor="text1"/>
          <w:sz w:val="24"/>
          <w:szCs w:val="24"/>
          <w:lang w:val="zh-CN"/>
        </w:rPr>
        <w:t>废</w:t>
      </w:r>
      <w:r>
        <w:rPr>
          <w:rFonts w:hint="default" w:ascii="Times New Roman" w:hAnsi="Times New Roman" w:eastAsia="宋体" w:cs="Times New Roman"/>
          <w:color w:val="000000" w:themeColor="text1"/>
          <w:sz w:val="24"/>
          <w:szCs w:val="24"/>
          <w:lang w:val="zh-CN"/>
        </w:rPr>
        <w:t>水</w:t>
      </w:r>
      <w:r>
        <w:rPr>
          <w:rFonts w:hint="eastAsia" w:ascii="Times New Roman" w:hAnsi="Times New Roman" w:eastAsia="宋体" w:cs="Times New Roman"/>
          <w:color w:val="000000" w:themeColor="text1"/>
          <w:sz w:val="24"/>
          <w:szCs w:val="24"/>
          <w:lang w:val="zh-CN"/>
        </w:rPr>
        <w:t>处理储存设施等</w:t>
      </w:r>
      <w:r>
        <w:rPr>
          <w:rFonts w:hint="default" w:ascii="Times New Roman" w:hAnsi="Times New Roman" w:eastAsia="宋体" w:cs="Times New Roman"/>
          <w:color w:val="000000" w:themeColor="text1"/>
          <w:sz w:val="24"/>
          <w:szCs w:val="24"/>
          <w:lang w:val="zh-CN"/>
        </w:rPr>
        <w:t>及</w:t>
      </w:r>
      <w:r>
        <w:rPr>
          <w:rFonts w:hint="eastAsia" w:ascii="Times New Roman" w:hAnsi="Times New Roman" w:eastAsia="宋体" w:cs="Times New Roman"/>
          <w:color w:val="000000" w:themeColor="text1"/>
          <w:sz w:val="24"/>
          <w:szCs w:val="24"/>
          <w:lang w:val="zh-CN"/>
        </w:rPr>
        <w:t>生产废水在矿洞中的</w:t>
      </w:r>
      <w:r>
        <w:rPr>
          <w:rFonts w:hint="default" w:ascii="Times New Roman" w:hAnsi="Times New Roman" w:eastAsia="宋体" w:cs="Times New Roman"/>
          <w:color w:val="000000" w:themeColor="text1"/>
          <w:sz w:val="24"/>
          <w:szCs w:val="24"/>
          <w:lang w:val="zh-CN"/>
        </w:rPr>
        <w:t>跑、冒、漏、滴等下渗影响造成地下水污染。</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bookmarkStart w:id="269" w:name="_Toc32053"/>
      <w:r>
        <w:rPr>
          <w:rFonts w:hint="eastAsia" w:ascii="Times New Roman" w:hAnsi="Times New Roman" w:eastAsia="宋体" w:cs="Times New Roman"/>
          <w:b w:val="0"/>
          <w:bCs w:val="0"/>
          <w:color w:val="000000" w:themeColor="text1"/>
          <w:sz w:val="24"/>
          <w:szCs w:val="24"/>
          <w:lang w:val="zh-CN"/>
        </w:rPr>
        <w:t>（</w:t>
      </w:r>
      <w:r>
        <w:rPr>
          <w:rFonts w:hint="eastAsia" w:ascii="Times New Roman" w:hAnsi="Times New Roman" w:eastAsia="宋体" w:cs="Times New Roman"/>
          <w:b w:val="0"/>
          <w:bCs w:val="0"/>
          <w:color w:val="000000" w:themeColor="text1"/>
          <w:sz w:val="24"/>
          <w:szCs w:val="24"/>
          <w:lang w:val="en-US" w:eastAsia="zh-CN"/>
        </w:rPr>
        <w:t>3</w:t>
      </w:r>
      <w:r>
        <w:rPr>
          <w:rFonts w:hint="eastAsia" w:ascii="Times New Roman" w:hAnsi="Times New Roman" w:eastAsia="宋体" w:cs="Times New Roman"/>
          <w:b w:val="0"/>
          <w:bCs w:val="0"/>
          <w:color w:val="000000" w:themeColor="text1"/>
          <w:sz w:val="24"/>
          <w:szCs w:val="24"/>
          <w:lang w:val="zh-CN"/>
        </w:rPr>
        <w:t>）废石场对地下水的影响</w:t>
      </w:r>
      <w:bookmarkEnd w:id="26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eastAsiaTheme="minorEastAsia"/>
          <w:snapToGrid w:val="0"/>
          <w:color w:val="000000" w:themeColor="text1"/>
          <w:lang w:eastAsia="zh-CN"/>
        </w:rPr>
      </w:pPr>
      <w:r>
        <w:rPr>
          <w:rFonts w:hint="eastAsia"/>
          <w:snapToGrid w:val="0"/>
          <w:color w:val="000000" w:themeColor="text1"/>
          <w:sz w:val="24"/>
          <w:szCs w:val="24"/>
          <w:lang w:eastAsia="zh-CN"/>
        </w:rPr>
        <w:t>本项目目前在</w:t>
      </w:r>
      <w:r>
        <w:rPr>
          <w:rFonts w:hint="default" w:ascii="Times New Roman" w:hAnsi="Times New Roman" w:eastAsia="宋体" w:cs="Times New Roman"/>
          <w:snapToGrid w:val="0"/>
          <w:color w:val="000000" w:themeColor="text1"/>
          <w:sz w:val="24"/>
          <w:szCs w:val="24"/>
          <w:lang w:val="en-US" w:eastAsia="zh-CN"/>
        </w:rPr>
        <w:t>K1</w:t>
      </w:r>
      <w:r>
        <w:rPr>
          <w:rFonts w:hint="eastAsia"/>
          <w:snapToGrid w:val="0"/>
          <w:color w:val="000000" w:themeColor="text1"/>
          <w:sz w:val="24"/>
          <w:szCs w:val="24"/>
          <w:lang w:val="en-US" w:eastAsia="zh-CN"/>
        </w:rPr>
        <w:t>矿体共</w:t>
      </w:r>
      <w:r>
        <w:rPr>
          <w:rFonts w:hint="eastAsia"/>
          <w:snapToGrid w:val="0"/>
          <w:color w:val="000000" w:themeColor="text1"/>
          <w:sz w:val="24"/>
          <w:szCs w:val="24"/>
          <w:lang w:eastAsia="zh-CN"/>
        </w:rPr>
        <w:t>设有</w:t>
      </w:r>
      <w:r>
        <w:rPr>
          <w:rFonts w:hint="default" w:ascii="Times New Roman" w:hAnsi="Times New Roman" w:eastAsia="宋体" w:cs="Times New Roman"/>
          <w:snapToGrid w:val="0"/>
          <w:color w:val="000000" w:themeColor="text1"/>
          <w:sz w:val="24"/>
          <w:szCs w:val="24"/>
          <w:lang w:val="en-US" w:eastAsia="zh-CN"/>
        </w:rPr>
        <w:t>4200m</w:t>
      </w:r>
      <w:r>
        <w:rPr>
          <w:rFonts w:hint="default" w:ascii="Times New Roman" w:hAnsi="Times New Roman" w:eastAsia="宋体" w:cs="Times New Roman"/>
          <w:snapToGrid w:val="0"/>
          <w:color w:val="000000" w:themeColor="text1"/>
          <w:sz w:val="24"/>
          <w:szCs w:val="24"/>
          <w:vertAlign w:val="superscript"/>
          <w:lang w:val="en-US" w:eastAsia="zh-CN"/>
        </w:rPr>
        <w:t>2</w:t>
      </w:r>
      <w:r>
        <w:rPr>
          <w:rFonts w:hint="eastAsia" w:ascii="Times New Roman" w:hAnsi="Times New Roman" w:eastAsia="宋体" w:cs="Times New Roman"/>
          <w:snapToGrid w:val="0"/>
          <w:color w:val="000000" w:themeColor="text1"/>
          <w:sz w:val="24"/>
          <w:szCs w:val="24"/>
          <w:vertAlign w:val="baseline"/>
          <w:lang w:val="en-US" w:eastAsia="zh-CN"/>
        </w:rPr>
        <w:t>的废石场，扩建项目不再新建废石场，亦不再向现有废石场排放废石，采矿废石除小部分用于基建外，剩余全部井下充填。</w:t>
      </w:r>
      <w:r>
        <w:rPr>
          <w:snapToGrid w:val="0"/>
          <w:color w:val="000000" w:themeColor="text1"/>
          <w:sz w:val="24"/>
          <w:szCs w:val="24"/>
        </w:rPr>
        <w:t>采矿废石长期堆存于</w:t>
      </w:r>
      <w:r>
        <w:rPr>
          <w:rFonts w:hint="eastAsia"/>
          <w:snapToGrid w:val="0"/>
          <w:color w:val="000000" w:themeColor="text1"/>
          <w:sz w:val="24"/>
          <w:szCs w:val="24"/>
        </w:rPr>
        <w:t>废石</w:t>
      </w:r>
      <w:r>
        <w:rPr>
          <w:snapToGrid w:val="0"/>
          <w:color w:val="000000" w:themeColor="text1"/>
          <w:sz w:val="24"/>
          <w:szCs w:val="24"/>
        </w:rPr>
        <w:t>场，废石中含有的有害元素在降雨淋溶后可能随雨水迁移进入土壤和水体，可能对水环境产生一定的影响。</w:t>
      </w:r>
      <w:r>
        <w:rPr>
          <w:rFonts w:hint="eastAsia"/>
          <w:snapToGrid w:val="0"/>
          <w:color w:val="000000" w:themeColor="text1"/>
          <w:sz w:val="24"/>
          <w:szCs w:val="24"/>
        </w:rPr>
        <w:t>废石</w:t>
      </w:r>
      <w:r>
        <w:rPr>
          <w:snapToGrid w:val="0"/>
          <w:color w:val="000000" w:themeColor="text1"/>
          <w:sz w:val="24"/>
          <w:szCs w:val="24"/>
        </w:rPr>
        <w:t>场对地下水的影响主要为</w:t>
      </w:r>
      <w:r>
        <w:rPr>
          <w:rFonts w:hint="eastAsia"/>
          <w:snapToGrid w:val="0"/>
          <w:color w:val="000000" w:themeColor="text1"/>
          <w:sz w:val="24"/>
          <w:szCs w:val="24"/>
        </w:rPr>
        <w:t>废石</w:t>
      </w:r>
      <w:r>
        <w:rPr>
          <w:snapToGrid w:val="0"/>
          <w:color w:val="000000" w:themeColor="text1"/>
          <w:sz w:val="24"/>
          <w:szCs w:val="24"/>
        </w:rPr>
        <w:t>场淋溶水渗入污染地下水。</w:t>
      </w:r>
      <w:r>
        <w:rPr>
          <w:rFonts w:hint="eastAsia"/>
          <w:snapToGrid w:val="0"/>
          <w:color w:val="000000" w:themeColor="text1"/>
          <w:sz w:val="24"/>
          <w:szCs w:val="24"/>
          <w:lang w:eastAsia="zh-CN"/>
        </w:rPr>
        <w:t>由于现有废石场底部未做防渗处理，故废石场淋溶水对地下水环境的影响应重点分析。</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rPr>
      </w:pPr>
      <w:bookmarkStart w:id="270" w:name="_Toc1085"/>
      <w:r>
        <w:rPr>
          <w:rFonts w:hint="eastAsia" w:ascii="Times New Roman" w:hAnsi="Times New Roman" w:eastAsia="宋体" w:cs="Times New Roman"/>
          <w:b/>
          <w:bCs/>
          <w:color w:val="000000" w:themeColor="text1"/>
          <w:sz w:val="24"/>
          <w:szCs w:val="24"/>
          <w:lang w:val="en-US" w:eastAsia="zh-CN"/>
        </w:rPr>
        <w:t>5.运营期</w:t>
      </w:r>
      <w:r>
        <w:rPr>
          <w:rFonts w:hint="default" w:ascii="Times New Roman" w:hAnsi="Times New Roman" w:eastAsia="宋体" w:cs="Times New Roman"/>
          <w:b/>
          <w:bCs/>
          <w:color w:val="000000" w:themeColor="text1"/>
          <w:sz w:val="24"/>
          <w:szCs w:val="24"/>
        </w:rPr>
        <w:t>固体废物</w:t>
      </w:r>
      <w:bookmarkEnd w:id="27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矿山开采工程固体废弃物主要为采矿废石、废机油</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生活垃圾。</w:t>
      </w:r>
    </w:p>
    <w:p>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采矿废石</w:t>
      </w:r>
    </w:p>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本项目开采时沿矿脉开采，矿山采用地下开采方式，根据已经通过审批的可行性研究报告，基建期K1毒重石矿体掘进废石量0.58万m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，同时考虑后期生产废石，则共计总废石量约为0.8万m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、K2重晶石矿体总废石量约为0.6万m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，废石产生量共计1.4万m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施工期少部分矿石用于修筑道路和场区基建废石外，其余矿石全部用于矿井回填。本项目废石产排情况见下表：</w:t>
      </w:r>
    </w:p>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eastAsia="zh-CN"/>
        </w:rPr>
        <w:t>表</w:t>
      </w:r>
      <w:r>
        <w:rPr>
          <w:rFonts w:hint="eastAsia" w:ascii="Times New Roman" w:hAnsi="Times New Roman" w:eastAsia="宋体" w:cs="Times New Roman"/>
          <w:b/>
          <w:bCs/>
          <w:color w:val="FF0000"/>
          <w:sz w:val="21"/>
          <w:szCs w:val="21"/>
          <w:lang w:val="en-US" w:eastAsia="zh-CN"/>
        </w:rPr>
        <w:t>3.3-14  废石产排情况一览表  单位：</w:t>
      </w:r>
      <w:r>
        <w:rPr>
          <w:rFonts w:hint="eastAsia" w:ascii="Times New Roman" w:hAnsi="Times New Roman" w:eastAsia="宋体" w:cs="Times New Roman"/>
          <w:b/>
          <w:bCs/>
          <w:color w:val="FF0000"/>
          <w:sz w:val="21"/>
          <w:szCs w:val="21"/>
          <w:vertAlign w:val="baseline"/>
          <w:lang w:val="en-US" w:eastAsia="zh-CN"/>
        </w:rPr>
        <w:t>万m</w:t>
      </w:r>
      <w:r>
        <w:rPr>
          <w:rFonts w:hint="eastAsia" w:ascii="Times New Roman" w:hAnsi="Times New Roman" w:eastAsia="宋体" w:cs="Times New Roman"/>
          <w:b/>
          <w:bCs/>
          <w:color w:val="FF0000"/>
          <w:sz w:val="21"/>
          <w:szCs w:val="21"/>
          <w:vertAlign w:val="superscript"/>
          <w:lang w:val="en-US" w:eastAsia="zh-CN"/>
        </w:rPr>
        <w:t>3</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3028"/>
        <w:gridCol w:w="2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3028"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eastAsia="zh-CN"/>
              </w:rPr>
              <w:t>总量</w:t>
            </w:r>
          </w:p>
        </w:tc>
        <w:tc>
          <w:tcPr>
            <w:tcW w:w="5929" w:type="dxa"/>
            <w:gridSpan w:val="2"/>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3028"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项目</w:t>
            </w:r>
          </w:p>
        </w:tc>
        <w:tc>
          <w:tcPr>
            <w:tcW w:w="5929" w:type="dxa"/>
            <w:gridSpan w:val="2"/>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3028" w:type="dxa"/>
            <w:vMerge w:val="restart"/>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现有项目</w:t>
            </w:r>
          </w:p>
        </w:tc>
        <w:tc>
          <w:tcPr>
            <w:tcW w:w="3028"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eastAsia="zh-CN"/>
              </w:rPr>
              <w:t>基建</w:t>
            </w:r>
          </w:p>
        </w:tc>
        <w:tc>
          <w:tcPr>
            <w:tcW w:w="2901"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eastAsia="zh-CN"/>
              </w:rPr>
              <w:t>废石场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3028" w:type="dxa"/>
            <w:vMerge w:val="continue"/>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p>
        </w:tc>
        <w:tc>
          <w:tcPr>
            <w:tcW w:w="3028"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0.1</w:t>
            </w:r>
          </w:p>
        </w:tc>
        <w:tc>
          <w:tcPr>
            <w:tcW w:w="2901"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3028" w:type="dxa"/>
            <w:vMerge w:val="restart"/>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扩建项目</w:t>
            </w:r>
          </w:p>
        </w:tc>
        <w:tc>
          <w:tcPr>
            <w:tcW w:w="3028"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eastAsia="zh-CN"/>
              </w:rPr>
              <w:t>基建</w:t>
            </w:r>
          </w:p>
        </w:tc>
        <w:tc>
          <w:tcPr>
            <w:tcW w:w="2901"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eastAsia="zh-CN"/>
              </w:rPr>
            </w:pPr>
            <w:r>
              <w:rPr>
                <w:rFonts w:hint="eastAsia" w:ascii="Times New Roman" w:hAnsi="Times New Roman" w:eastAsia="宋体" w:cs="Times New Roman"/>
                <w:color w:val="FF0000"/>
                <w:sz w:val="21"/>
                <w:szCs w:val="21"/>
                <w:vertAlign w:val="baseline"/>
                <w:lang w:eastAsia="zh-CN"/>
              </w:rPr>
              <w:t>井下充填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3028" w:type="dxa"/>
            <w:vMerge w:val="continue"/>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p>
        </w:tc>
        <w:tc>
          <w:tcPr>
            <w:tcW w:w="3028"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0.1</w:t>
            </w:r>
          </w:p>
        </w:tc>
        <w:tc>
          <w:tcPr>
            <w:tcW w:w="2901" w:type="dxa"/>
            <w:tcBorders>
              <w:tl2br w:val="nil"/>
              <w:tr2bl w:val="nil"/>
            </w:tcBorders>
            <w:vAlign w:val="center"/>
          </w:tcPr>
          <w:p>
            <w:pPr>
              <w:keepNext w:val="0"/>
              <w:keepLines w:val="0"/>
              <w:pageBreakBefore w:val="0"/>
              <w:widowControl w:val="0"/>
              <w:tabs>
                <w:tab w:val="left" w:pos="84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1.0</w:t>
            </w:r>
          </w:p>
        </w:tc>
      </w:tr>
    </w:tbl>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p>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FF0000"/>
          <w:sz w:val="24"/>
          <w:szCs w:val="24"/>
        </w:rPr>
      </w:pPr>
      <w:r>
        <w:rPr>
          <w:color w:val="FF0000"/>
        </w:rPr>
        <w:drawing>
          <wp:inline distT="0" distB="0" distL="114300" distR="114300">
            <wp:extent cx="3990340" cy="2266315"/>
            <wp:effectExtent l="19050" t="19050" r="29210" b="1968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37"/>
                    <a:stretch>
                      <a:fillRect/>
                    </a:stretch>
                  </pic:blipFill>
                  <pic:spPr>
                    <a:xfrm>
                      <a:off x="0" y="0"/>
                      <a:ext cx="3990340" cy="2266315"/>
                    </a:xfrm>
                    <a:prstGeom prst="rect">
                      <a:avLst/>
                    </a:prstGeom>
                    <a:noFill/>
                    <a:ln w="19050">
                      <a:solidFill>
                        <a:schemeClr val="tx1"/>
                      </a:solidFill>
                    </a:ln>
                  </pic:spPr>
                </pic:pic>
              </a:graphicData>
            </a:graphic>
          </wp:inline>
        </w:drawing>
      </w:r>
    </w:p>
    <w:p>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b/>
          <w:bCs/>
          <w:color w:val="FF0000"/>
          <w:sz w:val="21"/>
          <w:szCs w:val="21"/>
          <w:lang w:eastAsia="zh-CN"/>
        </w:rPr>
        <w:t>图</w:t>
      </w:r>
      <w:r>
        <w:rPr>
          <w:rFonts w:hint="eastAsia" w:ascii="Times New Roman" w:hAnsi="Times New Roman" w:eastAsia="宋体" w:cs="Times New Roman"/>
          <w:b/>
          <w:bCs/>
          <w:color w:val="FF0000"/>
          <w:sz w:val="21"/>
          <w:szCs w:val="21"/>
          <w:lang w:val="en-US" w:eastAsia="zh-CN"/>
        </w:rPr>
        <w:t>3-3-3  废石平衡图  单位：</w:t>
      </w:r>
      <w:r>
        <w:rPr>
          <w:rFonts w:hint="eastAsia" w:ascii="Times New Roman" w:hAnsi="Times New Roman" w:eastAsia="宋体" w:cs="Times New Roman"/>
          <w:b/>
          <w:bCs/>
          <w:color w:val="FF0000"/>
          <w:sz w:val="21"/>
          <w:szCs w:val="21"/>
          <w:vertAlign w:val="baseline"/>
          <w:lang w:val="en-US" w:eastAsia="zh-CN"/>
        </w:rPr>
        <w:t>万m</w:t>
      </w:r>
      <w:r>
        <w:rPr>
          <w:rFonts w:hint="eastAsia" w:ascii="Times New Roman" w:hAnsi="Times New Roman" w:eastAsia="宋体" w:cs="Times New Roman"/>
          <w:b/>
          <w:bCs/>
          <w:color w:val="FF0000"/>
          <w:sz w:val="21"/>
          <w:szCs w:val="21"/>
          <w:vertAlign w:val="superscript"/>
          <w:lang w:val="en-US" w:eastAsia="zh-CN"/>
        </w:rPr>
        <w:t>3</w:t>
      </w:r>
    </w:p>
    <w:p>
      <w:pPr>
        <w:pStyle w:val="25"/>
        <w:spacing w:beforeLines="0" w:afterLines="0"/>
        <w:rPr>
          <w:rFonts w:hint="default" w:ascii="Times New Roman" w:hAnsi="Times New Roman" w:eastAsia="宋体" w:cs="Times New Roman"/>
          <w:b/>
          <w:bCs w:val="0"/>
          <w:color w:val="FF0000"/>
          <w:sz w:val="21"/>
          <w:szCs w:val="21"/>
          <w:lang w:val="en-US" w:eastAsia="zh-CN"/>
        </w:rPr>
      </w:pPr>
      <w:r>
        <w:rPr>
          <w:rFonts w:hint="default" w:ascii="Times New Roman" w:hAnsi="Times New Roman" w:eastAsia="宋体" w:cs="Times New Roman"/>
          <w:b/>
          <w:bCs w:val="0"/>
          <w:color w:val="FF0000"/>
          <w:sz w:val="21"/>
          <w:szCs w:val="21"/>
        </w:rPr>
        <w:t>表3.</w:t>
      </w:r>
      <w:r>
        <w:rPr>
          <w:rFonts w:hint="eastAsia" w:ascii="Times New Roman" w:hAnsi="Times New Roman" w:eastAsia="宋体" w:cs="Times New Roman"/>
          <w:b/>
          <w:bCs w:val="0"/>
          <w:color w:val="FF0000"/>
          <w:sz w:val="21"/>
          <w:szCs w:val="21"/>
          <w:lang w:val="en-US" w:eastAsia="zh-CN"/>
        </w:rPr>
        <w:t>3</w:t>
      </w:r>
      <w:r>
        <w:rPr>
          <w:rFonts w:hint="default" w:ascii="Times New Roman" w:hAnsi="Times New Roman" w:eastAsia="宋体" w:cs="Times New Roman"/>
          <w:b/>
          <w:bCs w:val="0"/>
          <w:color w:val="FF0000"/>
          <w:sz w:val="21"/>
          <w:szCs w:val="21"/>
        </w:rPr>
        <w:t>-</w:t>
      </w:r>
      <w:r>
        <w:rPr>
          <w:rFonts w:hint="eastAsia" w:ascii="Times New Roman" w:hAnsi="Times New Roman" w:eastAsia="宋体" w:cs="Times New Roman"/>
          <w:b/>
          <w:bCs w:val="0"/>
          <w:color w:val="FF0000"/>
          <w:sz w:val="21"/>
          <w:szCs w:val="21"/>
          <w:lang w:val="en-US" w:eastAsia="zh-CN"/>
        </w:rPr>
        <w:t>15</w:t>
      </w:r>
      <w:r>
        <w:rPr>
          <w:rFonts w:hint="default" w:ascii="Times New Roman" w:hAnsi="Times New Roman" w:eastAsia="宋体" w:cs="Times New Roman"/>
          <w:b/>
          <w:bCs w:val="0"/>
          <w:color w:val="FF0000"/>
          <w:sz w:val="21"/>
          <w:szCs w:val="21"/>
        </w:rPr>
        <w:t xml:space="preserve">  废石浸出液</w:t>
      </w:r>
      <w:r>
        <w:rPr>
          <w:rFonts w:hint="eastAsia" w:ascii="Times New Roman" w:hAnsi="Times New Roman" w:eastAsia="宋体" w:cs="Times New Roman"/>
          <w:b/>
          <w:bCs w:val="0"/>
          <w:color w:val="FF0000"/>
          <w:sz w:val="21"/>
          <w:szCs w:val="21"/>
          <w:lang w:val="en-US" w:eastAsia="zh-CN"/>
        </w:rPr>
        <w:t>结果一览表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885"/>
        <w:gridCol w:w="1099"/>
        <w:gridCol w:w="938"/>
        <w:gridCol w:w="827"/>
        <w:gridCol w:w="825"/>
        <w:gridCol w:w="879"/>
        <w:gridCol w:w="1027"/>
        <w:gridCol w:w="10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449" w:type="dxa"/>
            <w:vMerge w:val="restart"/>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检测项目</w:t>
            </w:r>
          </w:p>
        </w:tc>
        <w:tc>
          <w:tcPr>
            <w:tcW w:w="3749" w:type="dxa"/>
            <w:gridSpan w:val="4"/>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检测结果</w:t>
            </w:r>
          </w:p>
        </w:tc>
        <w:tc>
          <w:tcPr>
            <w:tcW w:w="825" w:type="dxa"/>
            <w:vMerge w:val="restart"/>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GB5085.1-2007</w:t>
            </w:r>
          </w:p>
        </w:tc>
        <w:tc>
          <w:tcPr>
            <w:tcW w:w="879" w:type="dxa"/>
            <w:vMerge w:val="restart"/>
            <w:tcBorders>
              <w:tl2br w:val="nil"/>
              <w:tr2bl w:val="nil"/>
            </w:tcBorders>
            <w:vAlign w:val="center"/>
          </w:tcPr>
          <w:p>
            <w:pPr>
              <w:pStyle w:val="42"/>
              <w:jc w:val="center"/>
              <w:rPr>
                <w:rFonts w:hint="eastAsia"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GB5085.3-2007</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单位：</w:t>
            </w:r>
            <w:r>
              <w:rPr>
                <w:rFonts w:hint="default" w:ascii="Times New Roman" w:hAnsi="Times New Roman" w:eastAsia="宋体" w:cs="Times New Roman"/>
                <w:color w:val="FF0000"/>
                <w:sz w:val="21"/>
                <w:szCs w:val="21"/>
              </w:rPr>
              <w:t>mg/L</w:t>
            </w:r>
            <w:r>
              <w:rPr>
                <w:rFonts w:hint="eastAsia" w:ascii="Times New Roman" w:hAnsi="Times New Roman" w:eastAsia="宋体" w:cs="Times New Roman"/>
                <w:color w:val="FF0000"/>
                <w:sz w:val="21"/>
                <w:szCs w:val="21"/>
                <w:lang w:eastAsia="zh-CN"/>
              </w:rPr>
              <w:t>）</w:t>
            </w:r>
          </w:p>
        </w:tc>
        <w:tc>
          <w:tcPr>
            <w:tcW w:w="1027" w:type="dxa"/>
            <w:vMerge w:val="restart"/>
            <w:tcBorders>
              <w:tl2br w:val="nil"/>
              <w:tr2bl w:val="nil"/>
            </w:tcBorders>
            <w:vAlign w:val="center"/>
          </w:tcPr>
          <w:p>
            <w:pPr>
              <w:pStyle w:val="42"/>
              <w:jc w:val="center"/>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GB8978-1996一级排放标准</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单位：</w:t>
            </w:r>
            <w:r>
              <w:rPr>
                <w:rFonts w:hint="default" w:ascii="Times New Roman" w:hAnsi="Times New Roman" w:eastAsia="宋体" w:cs="Times New Roman"/>
                <w:color w:val="FF0000"/>
                <w:sz w:val="21"/>
                <w:szCs w:val="21"/>
              </w:rPr>
              <w:t>mg/L</w:t>
            </w:r>
            <w:r>
              <w:rPr>
                <w:rFonts w:hint="eastAsia" w:ascii="Times New Roman" w:hAnsi="Times New Roman" w:eastAsia="宋体" w:cs="Times New Roman"/>
                <w:color w:val="FF0000"/>
                <w:sz w:val="21"/>
                <w:szCs w:val="21"/>
                <w:lang w:eastAsia="zh-CN"/>
              </w:rPr>
              <w:t>）</w:t>
            </w:r>
          </w:p>
        </w:tc>
        <w:tc>
          <w:tcPr>
            <w:tcW w:w="1028" w:type="dxa"/>
            <w:vMerge w:val="restart"/>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GB18599-2020入场要求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1" w:hRule="atLeast"/>
          <w:jc w:val="center"/>
        </w:trPr>
        <w:tc>
          <w:tcPr>
            <w:tcW w:w="1449" w:type="dxa"/>
            <w:vMerge w:val="continue"/>
            <w:tcBorders>
              <w:tl2br w:val="nil"/>
              <w:tr2bl w:val="nil"/>
            </w:tcBorders>
            <w:vAlign w:val="center"/>
          </w:tcPr>
          <w:p>
            <w:pPr>
              <w:pStyle w:val="42"/>
              <w:jc w:val="center"/>
              <w:rPr>
                <w:rFonts w:hint="default" w:ascii="Times New Roman" w:hAnsi="Times New Roman" w:eastAsia="宋体" w:cs="Times New Roman"/>
                <w:color w:val="FF0000"/>
                <w:sz w:val="21"/>
                <w:szCs w:val="21"/>
              </w:rPr>
            </w:pPr>
          </w:p>
        </w:tc>
        <w:tc>
          <w:tcPr>
            <w:tcW w:w="885" w:type="dxa"/>
            <w:tcBorders>
              <w:tl2br w:val="nil"/>
              <w:tr2bl w:val="nil"/>
            </w:tcBorders>
            <w:vAlign w:val="center"/>
          </w:tcPr>
          <w:p>
            <w:pPr>
              <w:pStyle w:val="42"/>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水平振荡法 浸提</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硫酸硝酸法 浸提</w:t>
            </w:r>
          </w:p>
        </w:tc>
        <w:tc>
          <w:tcPr>
            <w:tcW w:w="827"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单位</w:t>
            </w:r>
          </w:p>
        </w:tc>
        <w:tc>
          <w:tcPr>
            <w:tcW w:w="825" w:type="dxa"/>
            <w:vMerge w:val="continue"/>
            <w:tcBorders>
              <w:tl2br w:val="nil"/>
              <w:tr2bl w:val="nil"/>
            </w:tcBorders>
            <w:vAlign w:val="center"/>
          </w:tcPr>
          <w:p>
            <w:pPr>
              <w:pStyle w:val="42"/>
              <w:jc w:val="center"/>
              <w:rPr>
                <w:rFonts w:hint="default" w:ascii="Times New Roman" w:hAnsi="Times New Roman" w:eastAsia="宋体" w:cs="Times New Roman"/>
                <w:color w:val="FF0000"/>
                <w:sz w:val="21"/>
                <w:szCs w:val="21"/>
              </w:rPr>
            </w:pPr>
          </w:p>
        </w:tc>
        <w:tc>
          <w:tcPr>
            <w:tcW w:w="879" w:type="dxa"/>
            <w:vMerge w:val="continue"/>
            <w:tcBorders>
              <w:tl2br w:val="nil"/>
              <w:tr2bl w:val="nil"/>
            </w:tcBorders>
            <w:vAlign w:val="center"/>
          </w:tcPr>
          <w:p>
            <w:pPr>
              <w:pStyle w:val="42"/>
              <w:jc w:val="center"/>
              <w:rPr>
                <w:rFonts w:hint="default" w:ascii="Times New Roman" w:hAnsi="Times New Roman" w:eastAsia="宋体" w:cs="Times New Roman"/>
                <w:color w:val="FF0000"/>
                <w:sz w:val="21"/>
                <w:szCs w:val="21"/>
              </w:rPr>
            </w:pPr>
          </w:p>
        </w:tc>
        <w:tc>
          <w:tcPr>
            <w:tcW w:w="1027" w:type="dxa"/>
            <w:vMerge w:val="continue"/>
            <w:tcBorders>
              <w:tl2br w:val="nil"/>
              <w:tr2bl w:val="nil"/>
            </w:tcBorders>
            <w:vAlign w:val="center"/>
          </w:tcPr>
          <w:p>
            <w:pPr>
              <w:pStyle w:val="42"/>
              <w:jc w:val="center"/>
              <w:rPr>
                <w:rFonts w:hint="default" w:ascii="Times New Roman" w:hAnsi="Times New Roman" w:eastAsia="宋体" w:cs="Times New Roman"/>
                <w:color w:val="FF0000"/>
                <w:sz w:val="21"/>
                <w:szCs w:val="21"/>
              </w:rPr>
            </w:pPr>
          </w:p>
        </w:tc>
        <w:tc>
          <w:tcPr>
            <w:tcW w:w="1028" w:type="dxa"/>
            <w:vMerge w:val="continue"/>
            <w:tcBorders>
              <w:tl2br w:val="nil"/>
              <w:tr2bl w:val="nil"/>
            </w:tcBorders>
            <w:vAlign w:val="center"/>
          </w:tcPr>
          <w:p>
            <w:pPr>
              <w:pStyle w:val="42"/>
              <w:jc w:val="center"/>
              <w:rPr>
                <w:rFonts w:hint="default" w:ascii="Times New Roman" w:hAnsi="Times New Roman" w:eastAsia="宋体" w:cs="Times New Roman"/>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pH</w:t>
            </w:r>
          </w:p>
        </w:tc>
        <w:tc>
          <w:tcPr>
            <w:tcW w:w="885"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6.81(19.6℃)</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825"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2~12.5</w:t>
            </w:r>
          </w:p>
        </w:tc>
        <w:tc>
          <w:tcPr>
            <w:tcW w:w="87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27"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2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水溶性盐总量</w:t>
            </w:r>
          </w:p>
        </w:tc>
        <w:tc>
          <w:tcPr>
            <w:tcW w:w="885"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1.3</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g/kg</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27"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2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&lt;2%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有机质</w:t>
            </w:r>
          </w:p>
        </w:tc>
        <w:tc>
          <w:tcPr>
            <w:tcW w:w="885"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1.76</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27"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28"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&lt;2%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铜</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1.6</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4.4</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100</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锌</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8.8</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28.8</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100</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2.0</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镉</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0.5ND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0.1</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铅</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0.6ND</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0.6ND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铬</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0.6ND</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0.6ND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六价铬</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0.004ND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烷</w:t>
            </w:r>
            <w:r>
              <w:rPr>
                <w:rFonts w:hint="default" w:ascii="Times New Roman" w:hAnsi="Times New Roman" w:eastAsia="宋体" w:cs="Times New Roman"/>
                <w:color w:val="FF0000"/>
                <w:sz w:val="21"/>
                <w:szCs w:val="21"/>
              </w:rPr>
              <w:t>基汞</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未检出</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未检出</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不得检出</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不得检出</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汞</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vertAlign w:val="superscript"/>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0.2ND</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0.2ND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0.1</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铍</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0.3ND</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0.3ND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0.02</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钡</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641</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7.5×10</w:t>
            </w:r>
            <w:r>
              <w:rPr>
                <w:rFonts w:hint="default" w:ascii="Times New Roman" w:hAnsi="Times New Roman" w:eastAsia="宋体" w:cs="Times New Roman"/>
                <w:color w:val="FF0000"/>
                <w:sz w:val="21"/>
                <w:szCs w:val="21"/>
                <w:vertAlign w:val="superscript"/>
                <w:lang w:val="en-US" w:eastAsia="zh-CN"/>
              </w:rPr>
              <w:t>3</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100</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镍</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0.5ND</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1.2</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1</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0</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总</w:t>
            </w:r>
            <w:r>
              <w:rPr>
                <w:rFonts w:hint="default" w:ascii="Times New Roman" w:hAnsi="Times New Roman" w:eastAsia="宋体" w:cs="Times New Roman"/>
                <w:color w:val="FF0000"/>
                <w:sz w:val="21"/>
                <w:szCs w:val="21"/>
              </w:rPr>
              <w:t>银</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0.1ND</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0.1ND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砷</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1.4ND</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2.1</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硒</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7.9ND</w:t>
            </w:r>
          </w:p>
        </w:tc>
        <w:tc>
          <w:tcPr>
            <w:tcW w:w="93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7.9ND</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0.1</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无机氟化物</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0.098</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0.102</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100</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449"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氰化物</w:t>
            </w:r>
          </w:p>
        </w:tc>
        <w:tc>
          <w:tcPr>
            <w:tcW w:w="88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1099"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1.5</w:t>
            </w:r>
          </w:p>
        </w:tc>
        <w:tc>
          <w:tcPr>
            <w:tcW w:w="938" w:type="dxa"/>
            <w:tcBorders>
              <w:tl2br w:val="nil"/>
              <w:tr2bl w:val="nil"/>
            </w:tcBorders>
            <w:vAlign w:val="center"/>
          </w:tcPr>
          <w:p>
            <w:pPr>
              <w:pStyle w:val="42"/>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8.11</w:t>
            </w:r>
          </w:p>
        </w:tc>
        <w:tc>
          <w:tcPr>
            <w:tcW w:w="827" w:type="dxa"/>
            <w:tcBorders>
              <w:tl2br w:val="nil"/>
              <w:tr2bl w:val="nil"/>
            </w:tcBorders>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µg/L</w:t>
            </w:r>
          </w:p>
        </w:tc>
        <w:tc>
          <w:tcPr>
            <w:tcW w:w="825"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c>
          <w:tcPr>
            <w:tcW w:w="879" w:type="dxa"/>
            <w:tcBorders>
              <w:tl2br w:val="nil"/>
              <w:tr2bl w:val="nil"/>
            </w:tcBorders>
            <w:vAlign w:val="center"/>
          </w:tcPr>
          <w:p>
            <w:pPr>
              <w:pStyle w:val="42"/>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5</w:t>
            </w:r>
          </w:p>
        </w:tc>
        <w:tc>
          <w:tcPr>
            <w:tcW w:w="1027" w:type="dxa"/>
            <w:tcBorders>
              <w:tl2br w:val="nil"/>
              <w:tr2bl w:val="nil"/>
            </w:tcBorders>
            <w:vAlign w:val="center"/>
          </w:tcPr>
          <w:p>
            <w:pPr>
              <w:pStyle w:val="42"/>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0.5</w:t>
            </w:r>
          </w:p>
        </w:tc>
        <w:tc>
          <w:tcPr>
            <w:tcW w:w="1028" w:type="dxa"/>
            <w:tcBorders>
              <w:tl2br w:val="nil"/>
              <w:tr2bl w:val="nil"/>
            </w:tcBorders>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由浸出结果可知，</w:t>
      </w:r>
      <w:r>
        <w:rPr>
          <w:rFonts w:hint="default" w:ascii="Times New Roman" w:hAnsi="Times New Roman" w:eastAsia="宋体" w:cs="Times New Roman"/>
          <w:color w:val="FF0000"/>
          <w:sz w:val="24"/>
          <w:szCs w:val="24"/>
          <w:lang w:val="en-US" w:eastAsia="zh-CN"/>
        </w:rPr>
        <w:t>本项目</w:t>
      </w:r>
      <w:r>
        <w:rPr>
          <w:rFonts w:hint="default" w:ascii="Times New Roman" w:hAnsi="Times New Roman" w:eastAsia="宋体" w:cs="Times New Roman"/>
          <w:color w:val="FF0000"/>
          <w:sz w:val="24"/>
          <w:szCs w:val="24"/>
        </w:rPr>
        <w:t>废石浸出液</w:t>
      </w:r>
      <w:r>
        <w:rPr>
          <w:rFonts w:hint="default" w:ascii="Times New Roman" w:hAnsi="Times New Roman" w:eastAsia="宋体" w:cs="Times New Roman"/>
          <w:color w:val="FF0000"/>
          <w:sz w:val="24"/>
          <w:szCs w:val="24"/>
          <w:lang w:val="en-US" w:eastAsia="zh-CN"/>
        </w:rPr>
        <w:t>不具有腐蚀性，符合《危险废物鉴别标准 腐蚀性鉴别》</w:t>
      </w:r>
      <w:r>
        <w:rPr>
          <w:rFonts w:hint="default" w:ascii="Times New Roman" w:hAnsi="Times New Roman" w:eastAsia="宋体" w:cs="Times New Roman"/>
          <w:color w:val="FF0000"/>
          <w:sz w:val="24"/>
          <w:szCs w:val="24"/>
        </w:rPr>
        <w:t>（GB5085.1-2007）限值</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然后酸浸，各项因子均满足《</w:t>
      </w:r>
      <w:r>
        <w:rPr>
          <w:rFonts w:hint="default" w:ascii="Times New Roman" w:hAnsi="Times New Roman" w:eastAsia="宋体" w:cs="Times New Roman"/>
          <w:color w:val="FF0000"/>
          <w:sz w:val="24"/>
          <w:szCs w:val="24"/>
        </w:rPr>
        <w:t>危险废物鉴别标准</w:t>
      </w:r>
      <w:r>
        <w:rPr>
          <w:rFonts w:hint="default" w:ascii="Times New Roman" w:hAnsi="Times New Roman" w:eastAsia="宋体" w:cs="Times New Roman"/>
          <w:color w:val="FF0000"/>
          <w:sz w:val="24"/>
          <w:szCs w:val="24"/>
          <w:lang w:val="en-US" w:eastAsia="zh-CN"/>
        </w:rPr>
        <w:t xml:space="preserve"> 浸出毒性鉴别》</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rPr>
        <w:t>GB5085.3-2007</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限值；最后对各项因子进行水浸试验，均</w:t>
      </w:r>
      <w:r>
        <w:rPr>
          <w:rFonts w:hint="default" w:ascii="Times New Roman" w:hAnsi="Times New Roman" w:eastAsia="宋体" w:cs="Times New Roman"/>
          <w:color w:val="FF0000"/>
          <w:sz w:val="24"/>
          <w:szCs w:val="24"/>
        </w:rPr>
        <w:t>低于《污水综合排放标准》（GB8978-1996）中一级排放标准限值，故判别废石属于Ⅰ类一般工业固体废物。</w:t>
      </w:r>
      <w:r>
        <w:rPr>
          <w:rFonts w:hint="default" w:ascii="Times New Roman" w:hAnsi="Times New Roman" w:eastAsia="宋体" w:cs="Times New Roman"/>
          <w:color w:val="FF0000"/>
          <w:sz w:val="24"/>
          <w:szCs w:val="24"/>
          <w:lang w:val="en-US" w:eastAsia="zh-CN"/>
        </w:rPr>
        <w:t>各项因子满足《一般工业固体废物贮存和填埋污染控制标准》（GB18599-2020）中</w:t>
      </w:r>
      <w:r>
        <w:rPr>
          <w:rFonts w:hint="default" w:ascii="Times New Roman" w:hAnsi="Times New Roman" w:eastAsia="宋体" w:cs="Times New Roman"/>
          <w:color w:val="FF0000"/>
          <w:sz w:val="24"/>
          <w:szCs w:val="24"/>
        </w:rPr>
        <w:t>Ⅰ类</w:t>
      </w:r>
      <w:r>
        <w:rPr>
          <w:rFonts w:hint="default" w:ascii="Times New Roman" w:hAnsi="Times New Roman" w:eastAsia="宋体" w:cs="Times New Roman"/>
          <w:color w:val="FF0000"/>
          <w:sz w:val="24"/>
          <w:szCs w:val="24"/>
          <w:lang w:val="en-US" w:eastAsia="zh-CN"/>
        </w:rPr>
        <w:t>场的一般工业固体废物的要求。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另外，根据《一般固体废物分类与代码》（GB/T39198-2020），本项目开采过程中的废石属于一般固体废物分类中“采矿业产生的一般固体废物”中“其他尾矿（229）”，属于一般工业固体废物。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（2）废机油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项目开采及设备维护过程中会产生少量废机油（HW08废矿物油与含矿物油废物），约0.01t/a，属于危险废物，</w:t>
      </w:r>
      <w:r>
        <w:rPr>
          <w:rFonts w:hint="eastAsia" w:ascii="Times New Roman" w:hAnsi="Times New Roman" w:eastAsia="宋体" w:cs="Times New Roman"/>
          <w:color w:val="000000" w:themeColor="text1"/>
          <w:sz w:val="24"/>
          <w:szCs w:val="24"/>
          <w:lang w:val="en-US" w:eastAsia="zh-CN"/>
        </w:rPr>
        <w:t>由于本项目危险废物种类单一且产生量较少，</w:t>
      </w:r>
      <w:r>
        <w:rPr>
          <w:rFonts w:hint="default" w:ascii="Times New Roman" w:hAnsi="Times New Roman" w:eastAsia="宋体" w:cs="Times New Roman"/>
          <w:color w:val="000000" w:themeColor="text1"/>
          <w:sz w:val="24"/>
          <w:szCs w:val="24"/>
        </w:rPr>
        <w:t>评价要求</w:t>
      </w:r>
      <w:r>
        <w:rPr>
          <w:rFonts w:hint="eastAsia" w:ascii="Times New Roman" w:hAnsi="Times New Roman" w:eastAsia="宋体" w:cs="Times New Roman"/>
          <w:color w:val="000000" w:themeColor="text1"/>
          <w:sz w:val="24"/>
          <w:szCs w:val="24"/>
          <w:lang w:val="en-US" w:eastAsia="zh-CN"/>
        </w:rPr>
        <w:t>建设单位按照实际情况</w:t>
      </w:r>
      <w:r>
        <w:rPr>
          <w:rFonts w:hint="default" w:ascii="Times New Roman" w:hAnsi="Times New Roman" w:eastAsia="宋体" w:cs="Times New Roman"/>
          <w:color w:val="000000" w:themeColor="text1"/>
          <w:sz w:val="24"/>
          <w:szCs w:val="24"/>
        </w:rPr>
        <w:t>设置危险废物暂存</w:t>
      </w:r>
      <w:r>
        <w:rPr>
          <w:rFonts w:hint="eastAsia" w:ascii="Times New Roman" w:hAnsi="Times New Roman" w:eastAsia="宋体" w:cs="Times New Roman"/>
          <w:color w:val="000000" w:themeColor="text1"/>
          <w:sz w:val="24"/>
          <w:szCs w:val="24"/>
          <w:lang w:val="en-US" w:eastAsia="zh-CN"/>
        </w:rPr>
        <w:t>间</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废机油收集于专用容器，应做好防渗漏防逸散措施，交由有资质单位处置</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（3）生活垃圾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eastAsia="zh-CN"/>
        </w:rPr>
      </w:pPr>
      <w:r>
        <w:rPr>
          <w:rFonts w:hint="default" w:ascii="Times New Roman" w:hAnsi="Times New Roman" w:eastAsia="宋体" w:cs="Times New Roman"/>
          <w:color w:val="000000" w:themeColor="text1"/>
          <w:sz w:val="24"/>
          <w:szCs w:val="24"/>
        </w:rPr>
        <w:t>项目定员</w:t>
      </w:r>
      <w:r>
        <w:rPr>
          <w:rFonts w:hint="eastAsia" w:ascii="Times New Roman" w:hAnsi="Times New Roman" w:eastAsia="宋体" w:cs="Times New Roman"/>
          <w:color w:val="000000" w:themeColor="text1"/>
          <w:sz w:val="24"/>
          <w:szCs w:val="24"/>
          <w:lang w:val="en-US" w:eastAsia="zh-CN"/>
        </w:rPr>
        <w:t>21</w:t>
      </w:r>
      <w:r>
        <w:rPr>
          <w:rFonts w:hint="default" w:ascii="Times New Roman" w:hAnsi="Times New Roman" w:eastAsia="宋体" w:cs="Times New Roman"/>
          <w:color w:val="000000" w:themeColor="text1"/>
          <w:sz w:val="24"/>
          <w:szCs w:val="24"/>
        </w:rPr>
        <w:t>人，按照每人0.5kg/d计算，生活垃圾产生量为</w:t>
      </w:r>
      <w:r>
        <w:rPr>
          <w:rFonts w:hint="eastAsia" w:ascii="Times New Roman" w:hAnsi="Times New Roman" w:eastAsia="宋体" w:cs="Times New Roman"/>
          <w:color w:val="000000" w:themeColor="text1"/>
          <w:sz w:val="24"/>
          <w:szCs w:val="24"/>
          <w:lang w:val="en-US" w:eastAsia="zh-CN"/>
        </w:rPr>
        <w:t>10.5</w:t>
      </w:r>
      <w:r>
        <w:rPr>
          <w:rFonts w:hint="default" w:ascii="Times New Roman" w:hAnsi="Times New Roman" w:eastAsia="宋体" w:cs="Times New Roman"/>
          <w:color w:val="000000" w:themeColor="text1"/>
          <w:sz w:val="24"/>
          <w:szCs w:val="24"/>
        </w:rPr>
        <w:t>kg/d</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3.15</w:t>
      </w:r>
      <w:r>
        <w:rPr>
          <w:rFonts w:hint="default"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，根据垃圾分类的要求对于不同种类的生活垃圾收集后交由环卫部门收集处理。</w:t>
      </w:r>
    </w:p>
    <w:p>
      <w:pPr>
        <w:pStyle w:val="5"/>
        <w:pageBreakBefore w:val="0"/>
        <w:widowControl w:val="0"/>
        <w:numPr>
          <w:ilvl w:val="2"/>
          <w:numId w:val="0"/>
        </w:numPr>
        <w:kinsoku/>
        <w:wordWrap/>
        <w:overflowPunct/>
        <w:topLinePunct w:val="0"/>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bCs/>
          <w:color w:val="FF0000"/>
          <w:sz w:val="24"/>
          <w:szCs w:val="24"/>
        </w:rPr>
      </w:pPr>
      <w:bookmarkStart w:id="271" w:name="_Toc26412"/>
      <w:r>
        <w:rPr>
          <w:rFonts w:hint="eastAsia" w:ascii="Times New Roman" w:hAnsi="Times New Roman" w:eastAsia="宋体" w:cs="Times New Roman"/>
          <w:b/>
          <w:bCs/>
          <w:color w:val="FF0000"/>
          <w:sz w:val="24"/>
          <w:szCs w:val="24"/>
          <w:lang w:val="en-US" w:eastAsia="zh-CN"/>
        </w:rPr>
        <w:t>6.运营期</w:t>
      </w:r>
      <w:r>
        <w:rPr>
          <w:rFonts w:hint="default" w:ascii="Times New Roman" w:hAnsi="Times New Roman" w:eastAsia="宋体" w:cs="Times New Roman"/>
          <w:b/>
          <w:bCs/>
          <w:color w:val="FF0000"/>
          <w:sz w:val="24"/>
          <w:szCs w:val="24"/>
        </w:rPr>
        <w:t>土壤</w:t>
      </w:r>
      <w:r>
        <w:rPr>
          <w:rFonts w:hint="eastAsia" w:ascii="Times New Roman" w:hAnsi="Times New Roman" w:eastAsia="宋体" w:cs="Times New Roman"/>
          <w:b/>
          <w:bCs/>
          <w:color w:val="FF0000"/>
          <w:sz w:val="24"/>
          <w:szCs w:val="24"/>
          <w:lang w:eastAsia="zh-CN"/>
        </w:rPr>
        <w:t>环境</w:t>
      </w:r>
      <w:r>
        <w:rPr>
          <w:rFonts w:hint="default" w:ascii="Times New Roman" w:hAnsi="Times New Roman" w:eastAsia="宋体" w:cs="Times New Roman"/>
          <w:b/>
          <w:bCs/>
          <w:color w:val="FF0000"/>
          <w:sz w:val="24"/>
          <w:szCs w:val="24"/>
        </w:rPr>
        <w:t>影响</w:t>
      </w:r>
      <w:bookmarkEnd w:id="271"/>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left"/>
        <w:textAlignment w:val="auto"/>
        <w:rPr>
          <w:color w:val="FF0000"/>
          <w:sz w:val="24"/>
          <w:szCs w:val="24"/>
        </w:rPr>
      </w:pPr>
      <w:bookmarkStart w:id="272" w:name="_Toc8760"/>
      <w:r>
        <w:rPr>
          <w:color w:val="FF0000"/>
          <w:sz w:val="24"/>
          <w:szCs w:val="24"/>
        </w:rPr>
        <w:t>本项目</w:t>
      </w:r>
      <w:r>
        <w:rPr>
          <w:rFonts w:hint="eastAsia"/>
          <w:color w:val="FF0000"/>
          <w:sz w:val="24"/>
          <w:szCs w:val="24"/>
          <w:lang w:val="en-US" w:eastAsia="zh-CN"/>
        </w:rPr>
        <w:t>对</w:t>
      </w:r>
      <w:r>
        <w:rPr>
          <w:color w:val="FF0000"/>
          <w:sz w:val="24"/>
          <w:szCs w:val="24"/>
        </w:rPr>
        <w:t>土壤环境主要污染源来自于开采过程中产生的废水、废气和固体废物等污染物。废水主要</w:t>
      </w:r>
      <w:r>
        <w:rPr>
          <w:rFonts w:hint="eastAsia"/>
          <w:color w:val="FF0000"/>
          <w:sz w:val="24"/>
          <w:szCs w:val="24"/>
          <w:lang w:val="en-US" w:eastAsia="zh-CN"/>
        </w:rPr>
        <w:t>为生产废</w:t>
      </w:r>
      <w:r>
        <w:rPr>
          <w:color w:val="FF0000"/>
          <w:sz w:val="24"/>
          <w:szCs w:val="24"/>
        </w:rPr>
        <w:t>水、</w:t>
      </w:r>
      <w:r>
        <w:rPr>
          <w:rFonts w:hint="eastAsia"/>
          <w:color w:val="FF0000"/>
          <w:sz w:val="24"/>
          <w:szCs w:val="24"/>
          <w:lang w:val="en-US" w:eastAsia="zh-CN"/>
        </w:rPr>
        <w:t>生活</w:t>
      </w:r>
      <w:r>
        <w:rPr>
          <w:color w:val="FF0000"/>
          <w:sz w:val="24"/>
          <w:szCs w:val="24"/>
        </w:rPr>
        <w:t>污水；废气主要来源于装卸及运输</w:t>
      </w:r>
      <w:r>
        <w:rPr>
          <w:rFonts w:hint="eastAsia"/>
          <w:color w:val="FF0000"/>
          <w:sz w:val="24"/>
          <w:szCs w:val="24"/>
          <w:lang w:val="en-US" w:eastAsia="zh-CN"/>
        </w:rPr>
        <w:t>扬尘</w:t>
      </w:r>
      <w:r>
        <w:rPr>
          <w:color w:val="FF0000"/>
          <w:sz w:val="24"/>
          <w:szCs w:val="24"/>
        </w:rPr>
        <w:t>等；固体废物主要来源于生产过程所产生的废石、</w:t>
      </w:r>
      <w:r>
        <w:rPr>
          <w:rFonts w:hint="eastAsia"/>
          <w:color w:val="FF0000"/>
          <w:sz w:val="24"/>
          <w:szCs w:val="24"/>
          <w:lang w:val="en-US" w:eastAsia="zh-CN"/>
        </w:rPr>
        <w:t>废机油</w:t>
      </w:r>
      <w:r>
        <w:rPr>
          <w:color w:val="FF0000"/>
          <w:sz w:val="24"/>
          <w:szCs w:val="24"/>
        </w:rPr>
        <w:t>和生活垃圾。</w:t>
      </w:r>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left"/>
        <w:textAlignment w:val="auto"/>
        <w:rPr>
          <w:rFonts w:hint="eastAsia"/>
          <w:lang w:val="en-US" w:eastAsia="zh-CN"/>
        </w:rPr>
      </w:pPr>
      <w:r>
        <w:rPr>
          <w:color w:val="FF0000"/>
          <w:sz w:val="24"/>
          <w:szCs w:val="24"/>
        </w:rPr>
        <w:t>本项目行业类别属于其他非金属矿</w:t>
      </w:r>
      <w:r>
        <w:rPr>
          <w:bCs/>
          <w:color w:val="FF0000"/>
          <w:kern w:val="2"/>
          <w:sz w:val="24"/>
          <w:szCs w:val="24"/>
        </w:rPr>
        <w:t>采选业，不属于涉重金属行业，且根据</w:t>
      </w:r>
      <w:r>
        <w:rPr>
          <w:color w:val="FF0000"/>
          <w:sz w:val="24"/>
          <w:szCs w:val="24"/>
        </w:rPr>
        <w:t>矿渣</w:t>
      </w:r>
      <w:r>
        <w:rPr>
          <w:bCs/>
          <w:color w:val="FF0000"/>
          <w:kern w:val="2"/>
          <w:sz w:val="24"/>
          <w:szCs w:val="24"/>
        </w:rPr>
        <w:t>浸出毒性检测结果可知，项目</w:t>
      </w:r>
      <w:r>
        <w:rPr>
          <w:color w:val="FF0000"/>
          <w:sz w:val="24"/>
          <w:szCs w:val="24"/>
        </w:rPr>
        <w:t>矿渣</w:t>
      </w:r>
      <w:r>
        <w:rPr>
          <w:bCs/>
          <w:color w:val="FF0000"/>
          <w:kern w:val="2"/>
          <w:sz w:val="24"/>
          <w:szCs w:val="24"/>
        </w:rPr>
        <w:t>属于第Ⅰ类一般工业固体废物。</w:t>
      </w:r>
      <w:r>
        <w:rPr>
          <w:color w:val="FF0000"/>
          <w:sz w:val="24"/>
          <w:szCs w:val="24"/>
        </w:rPr>
        <w:t>本项目采矿工程已运行多年，通过现状土壤环境质量监测可以看出，满足相应的环境质量标准，因此可说明采矿工程在严格执行相应环保措施的情况下，对土壤环境影响较小。</w:t>
      </w:r>
    </w:p>
    <w:bookmarkEnd w:id="272"/>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sz w:val="24"/>
          <w:szCs w:val="24"/>
        </w:rPr>
      </w:pPr>
      <w:bookmarkStart w:id="273" w:name="_Toc24250"/>
      <w:r>
        <w:rPr>
          <w:rFonts w:hint="eastAsia" w:ascii="Times New Roman" w:hAnsi="Times New Roman" w:eastAsia="宋体" w:cs="Times New Roman"/>
          <w:color w:val="000000" w:themeColor="text1"/>
          <w:sz w:val="24"/>
          <w:szCs w:val="24"/>
          <w:lang w:val="en-US" w:eastAsia="zh-CN"/>
        </w:rPr>
        <w:t>7.运营期</w:t>
      </w:r>
      <w:r>
        <w:rPr>
          <w:rFonts w:hint="default" w:ascii="Times New Roman" w:hAnsi="Times New Roman" w:eastAsia="宋体" w:cs="Times New Roman"/>
          <w:color w:val="000000" w:themeColor="text1"/>
          <w:sz w:val="24"/>
          <w:szCs w:val="24"/>
        </w:rPr>
        <w:t>生态</w:t>
      </w:r>
      <w:r>
        <w:rPr>
          <w:rFonts w:hint="eastAsia" w:ascii="Times New Roman" w:hAnsi="Times New Roman" w:eastAsia="宋体" w:cs="Times New Roman"/>
          <w:color w:val="000000" w:themeColor="text1"/>
          <w:sz w:val="24"/>
          <w:szCs w:val="24"/>
          <w:lang w:eastAsia="zh-CN"/>
        </w:rPr>
        <w:t>环境</w:t>
      </w:r>
      <w:r>
        <w:rPr>
          <w:rFonts w:hint="default" w:ascii="Times New Roman" w:hAnsi="Times New Roman" w:eastAsia="宋体" w:cs="Times New Roman"/>
          <w:color w:val="000000" w:themeColor="text1"/>
          <w:sz w:val="24"/>
          <w:szCs w:val="24"/>
        </w:rPr>
        <w:t>影响</w:t>
      </w:r>
      <w:bookmarkEnd w:id="273"/>
    </w:p>
    <w:p>
      <w:pPr>
        <w:pageBreakBefore w:val="0"/>
        <w:widowControl w:val="0"/>
        <w:kinsoku/>
        <w:wordWrap/>
        <w:overflowPunct w:val="0"/>
        <w:topLinePunct w:val="0"/>
        <w:autoSpaceDE/>
        <w:autoSpaceDN/>
        <w:bidi w:val="0"/>
        <w:adjustRightInd/>
        <w:snapToGrid/>
        <w:spacing w:line="520" w:lineRule="exact"/>
        <w:ind w:firstLine="480"/>
        <w:jc w:val="left"/>
        <w:textAlignment w:val="auto"/>
        <w:rPr>
          <w:rFonts w:hint="eastAsia" w:ascii="Times New Roman" w:hAnsi="Times New Roman" w:cs="Times New Roman" w:eastAsiaTheme="minorEastAsia"/>
          <w:color w:val="FF0000"/>
          <w:sz w:val="24"/>
          <w:szCs w:val="24"/>
          <w:highlight w:val="none"/>
          <w:lang w:eastAsia="zh-CN"/>
        </w:rPr>
      </w:pPr>
      <w:r>
        <w:rPr>
          <w:rFonts w:hint="default" w:ascii="Times New Roman" w:hAnsi="Times New Roman" w:cs="Times New Roman"/>
          <w:color w:val="FF0000"/>
          <w:sz w:val="24"/>
          <w:szCs w:val="24"/>
          <w:highlight w:val="none"/>
        </w:rPr>
        <w:t>（1）</w:t>
      </w:r>
      <w:r>
        <w:rPr>
          <w:rFonts w:hint="eastAsia" w:ascii="Times New Roman" w:hAnsi="Times New Roman" w:cs="Times New Roman"/>
          <w:color w:val="FF0000"/>
          <w:sz w:val="24"/>
          <w:szCs w:val="24"/>
          <w:highlight w:val="none"/>
          <w:lang w:eastAsia="zh-CN"/>
        </w:rPr>
        <w:t>地表错动对生态环境的影响</w:t>
      </w:r>
    </w:p>
    <w:p>
      <w:pPr>
        <w:pageBreakBefore w:val="0"/>
        <w:widowControl w:val="0"/>
        <w:kinsoku/>
        <w:wordWrap/>
        <w:overflowPunct w:val="0"/>
        <w:topLinePunct w:val="0"/>
        <w:autoSpaceDE/>
        <w:autoSpaceDN/>
        <w:bidi w:val="0"/>
        <w:adjustRightInd/>
        <w:snapToGrid/>
        <w:spacing w:line="520" w:lineRule="exact"/>
        <w:ind w:firstLine="480"/>
        <w:jc w:val="left"/>
        <w:textAlignment w:val="auto"/>
        <w:rPr>
          <w:rFonts w:hint="default" w:ascii="Times New Roman" w:hAnsi="Times New Roman" w:cs="Times New Roman"/>
          <w:color w:val="FF0000"/>
          <w:sz w:val="24"/>
          <w:szCs w:val="24"/>
          <w:highlight w:val="none"/>
        </w:rPr>
      </w:pPr>
      <w:r>
        <w:rPr>
          <w:rFonts w:hint="eastAsia" w:ascii="Times New Roman" w:hAnsi="Times New Roman" w:cs="Times New Roman"/>
          <w:color w:val="FF0000"/>
          <w:sz w:val="24"/>
          <w:szCs w:val="24"/>
          <w:highlight w:val="none"/>
          <w:lang w:eastAsia="zh-CN"/>
        </w:rPr>
        <w:t>一般情况下，</w:t>
      </w:r>
      <w:r>
        <w:rPr>
          <w:rFonts w:hint="default" w:ascii="Times New Roman" w:hAnsi="Times New Roman" w:cs="Times New Roman"/>
          <w:color w:val="FF0000"/>
          <w:sz w:val="24"/>
          <w:szCs w:val="24"/>
          <w:highlight w:val="none"/>
        </w:rPr>
        <w:t>矿山开采后，破坏了开采区岩层的原始基础和应力平衡，</w:t>
      </w:r>
      <w:r>
        <w:rPr>
          <w:rFonts w:hint="eastAsia" w:ascii="Times New Roman" w:hAnsi="Times New Roman" w:cs="Times New Roman"/>
          <w:color w:val="FF0000"/>
          <w:sz w:val="24"/>
          <w:szCs w:val="24"/>
          <w:highlight w:val="none"/>
          <w:lang w:eastAsia="zh-CN"/>
        </w:rPr>
        <w:t>可能</w:t>
      </w:r>
      <w:r>
        <w:rPr>
          <w:rFonts w:hint="default" w:ascii="Times New Roman" w:hAnsi="Times New Roman" w:cs="Times New Roman"/>
          <w:color w:val="FF0000"/>
          <w:sz w:val="24"/>
          <w:szCs w:val="24"/>
          <w:highlight w:val="none"/>
        </w:rPr>
        <w:t>会导致上覆岩层和地表产生移动变形，地面沉陷和地裂缝等，影响地面构筑物和土地资源；破坏土壤结构和植被资源，使局部生态环境受到破坏。</w:t>
      </w:r>
    </w:p>
    <w:p>
      <w:pPr>
        <w:pageBreakBefore w:val="0"/>
        <w:widowControl w:val="0"/>
        <w:kinsoku/>
        <w:wordWrap/>
        <w:overflowPunct w:val="0"/>
        <w:topLinePunct w:val="0"/>
        <w:autoSpaceDE/>
        <w:autoSpaceDN/>
        <w:bidi w:val="0"/>
        <w:adjustRightInd/>
        <w:snapToGrid/>
        <w:spacing w:line="520" w:lineRule="exact"/>
        <w:ind w:firstLine="480"/>
        <w:jc w:val="left"/>
        <w:textAlignment w:val="auto"/>
        <w:rPr>
          <w:rFonts w:hint="eastAsia" w:ascii="Times New Roman" w:hAnsi="Times New Roman" w:cs="Times New Roman" w:eastAsiaTheme="minorEastAsia"/>
          <w:color w:val="FF0000"/>
          <w:sz w:val="24"/>
          <w:szCs w:val="24"/>
          <w:highlight w:val="none"/>
          <w:lang w:eastAsia="zh-CN"/>
        </w:rPr>
      </w:pPr>
      <w:r>
        <w:rPr>
          <w:rFonts w:hint="default" w:ascii="Times New Roman" w:hAnsi="Times New Roman" w:cs="Times New Roman"/>
          <w:color w:val="FF0000"/>
          <w:sz w:val="24"/>
          <w:szCs w:val="24"/>
          <w:highlight w:val="none"/>
        </w:rPr>
        <w:t>（2）水土流失</w:t>
      </w:r>
      <w:r>
        <w:rPr>
          <w:rFonts w:hint="eastAsia" w:ascii="Times New Roman" w:hAnsi="Times New Roman" w:cs="Times New Roman"/>
          <w:color w:val="FF0000"/>
          <w:sz w:val="24"/>
          <w:szCs w:val="24"/>
          <w:highlight w:val="none"/>
          <w:lang w:eastAsia="zh-CN"/>
        </w:rPr>
        <w:t>对生态环境的影响</w:t>
      </w:r>
    </w:p>
    <w:p>
      <w:pPr>
        <w:pageBreakBefore w:val="0"/>
        <w:widowControl w:val="0"/>
        <w:kinsoku/>
        <w:wordWrap/>
        <w:overflowPunct w:val="0"/>
        <w:topLinePunct w:val="0"/>
        <w:autoSpaceDE/>
        <w:autoSpaceDN/>
        <w:bidi w:val="0"/>
        <w:adjustRightInd/>
        <w:snapToGrid/>
        <w:spacing w:line="520" w:lineRule="exact"/>
        <w:ind w:firstLine="480"/>
        <w:jc w:val="left"/>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lang w:eastAsia="zh-CN"/>
        </w:rPr>
        <w:t>运行期</w:t>
      </w:r>
      <w:r>
        <w:rPr>
          <w:rFonts w:hint="default" w:ascii="Times New Roman" w:hAnsi="Times New Roman" w:cs="Times New Roman"/>
          <w:color w:val="FF0000"/>
          <w:sz w:val="24"/>
          <w:szCs w:val="24"/>
          <w:highlight w:val="none"/>
        </w:rPr>
        <w:t>影响水土流失的因素包括</w:t>
      </w:r>
      <w:r>
        <w:rPr>
          <w:rFonts w:hint="eastAsia" w:ascii="Times New Roman" w:hAnsi="Times New Roman" w:cs="Times New Roman"/>
          <w:color w:val="FF0000"/>
          <w:sz w:val="24"/>
          <w:szCs w:val="24"/>
          <w:highlight w:val="none"/>
          <w:lang w:eastAsia="zh-CN"/>
        </w:rPr>
        <w:t>废石场废石塌方、工业场地边坡滑坡、矿区道路受雨水冲刷</w:t>
      </w:r>
      <w:r>
        <w:rPr>
          <w:rFonts w:hint="default" w:ascii="Times New Roman" w:hAnsi="Times New Roman" w:cs="Times New Roman"/>
          <w:color w:val="FF0000"/>
          <w:sz w:val="24"/>
          <w:szCs w:val="24"/>
          <w:highlight w:val="none"/>
        </w:rPr>
        <w:t>等。</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cs="Times New Roman" w:eastAsiaTheme="minorEastAsia"/>
          <w:color w:val="FF0000"/>
          <w:sz w:val="24"/>
          <w:szCs w:val="24"/>
          <w:highlight w:val="none"/>
          <w:lang w:eastAsia="zh-CN"/>
        </w:rPr>
      </w:pPr>
      <w:r>
        <w:rPr>
          <w:rFonts w:hint="default" w:ascii="Times New Roman" w:hAnsi="Times New Roman" w:cs="Times New Roman"/>
          <w:color w:val="FF0000"/>
          <w:sz w:val="24"/>
          <w:szCs w:val="24"/>
          <w:highlight w:val="none"/>
        </w:rPr>
        <w:t>（3）地下水</w:t>
      </w:r>
      <w:r>
        <w:rPr>
          <w:rFonts w:hint="eastAsia" w:ascii="Times New Roman" w:hAnsi="Times New Roman" w:cs="Times New Roman"/>
          <w:color w:val="FF0000"/>
          <w:sz w:val="24"/>
          <w:szCs w:val="24"/>
          <w:highlight w:val="none"/>
          <w:lang w:eastAsia="zh-CN"/>
        </w:rPr>
        <w:t>水位下降对生态的影响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cs="Times New Roman"/>
          <w:color w:val="FF0000"/>
          <w:sz w:val="24"/>
          <w:szCs w:val="24"/>
          <w:highlight w:val="none"/>
          <w:lang w:eastAsia="zh-CN"/>
        </w:rPr>
      </w:pPr>
      <w:r>
        <w:rPr>
          <w:rFonts w:hint="eastAsia" w:ascii="Times New Roman" w:hAnsi="Times New Roman" w:cs="Times New Roman"/>
          <w:color w:val="FF0000"/>
          <w:sz w:val="24"/>
          <w:szCs w:val="24"/>
          <w:highlight w:val="none"/>
          <w:lang w:eastAsia="zh-CN"/>
        </w:rPr>
        <w:t>一般情况下，地下采矿活动，会对地下水疏干，使地下水的水位下降，地下水位下降会</w:t>
      </w:r>
      <w:r>
        <w:rPr>
          <w:rFonts w:hint="default" w:ascii="Times New Roman" w:hAnsi="Times New Roman" w:cs="Times New Roman"/>
          <w:color w:val="FF0000"/>
          <w:sz w:val="24"/>
          <w:szCs w:val="24"/>
          <w:highlight w:val="none"/>
        </w:rPr>
        <w:t>影响采区表层土壤含水率</w:t>
      </w:r>
      <w:r>
        <w:rPr>
          <w:rFonts w:hint="eastAsia" w:ascii="Times New Roman" w:hAnsi="Times New Roman" w:cs="Times New Roman"/>
          <w:color w:val="FF0000"/>
          <w:sz w:val="24"/>
          <w:szCs w:val="24"/>
          <w:highlight w:val="none"/>
          <w:lang w:eastAsia="zh-CN"/>
        </w:rPr>
        <w:t>，进而影响地表植被的生长，地表植被又是构成动物生境的主要因素，进而破坏局部生态环境。故大量的地下水疏干会对生态环境产生较大影响。</w:t>
      </w:r>
    </w:p>
    <w:p>
      <w:pPr>
        <w:pStyle w:val="12"/>
        <w:keepNext w:val="0"/>
        <w:keepLines w:val="0"/>
        <w:pageBreakBefore w:val="0"/>
        <w:widowControl w:val="0"/>
        <w:kinsoku/>
        <w:wordWrap/>
        <w:overflowPunct/>
        <w:topLinePunct w:val="0"/>
        <w:bidi w:val="0"/>
        <w:adjustRightInd w:val="0"/>
        <w:snapToGrid w:val="0"/>
        <w:spacing w:after="0" w:line="360" w:lineRule="auto"/>
        <w:ind w:firstLine="480" w:firstLineChars="200"/>
        <w:jc w:val="left"/>
        <w:textAlignment w:val="auto"/>
        <w:rPr>
          <w:rFonts w:hint="eastAsia" w:ascii="Times New Roman" w:hAnsi="Times New Roman" w:cs="Times New Roman"/>
          <w:color w:val="FF0000"/>
          <w:sz w:val="24"/>
          <w:szCs w:val="24"/>
          <w:highlight w:val="none"/>
          <w:lang w:eastAsia="zh-CN"/>
        </w:rPr>
      </w:pPr>
      <w:r>
        <w:rPr>
          <w:rFonts w:hint="eastAsia" w:ascii="Times New Roman" w:hAnsi="Times New Roman" w:cs="Times New Roman"/>
          <w:color w:val="FF0000"/>
          <w:sz w:val="24"/>
          <w:szCs w:val="24"/>
          <w:highlight w:val="none"/>
          <w:lang w:eastAsia="zh-CN"/>
        </w:rPr>
        <w:t>（</w:t>
      </w:r>
      <w:r>
        <w:rPr>
          <w:rFonts w:hint="eastAsia" w:ascii="Times New Roman" w:hAnsi="Times New Roman" w:cs="Times New Roman"/>
          <w:color w:val="FF0000"/>
          <w:sz w:val="24"/>
          <w:szCs w:val="24"/>
          <w:highlight w:val="none"/>
          <w:lang w:val="en-US" w:eastAsia="zh-CN"/>
        </w:rPr>
        <w:t>4</w:t>
      </w:r>
      <w:r>
        <w:rPr>
          <w:rFonts w:hint="eastAsia" w:ascii="Times New Roman" w:hAnsi="Times New Roman" w:cs="Times New Roman"/>
          <w:color w:val="FF0000"/>
          <w:sz w:val="24"/>
          <w:szCs w:val="24"/>
          <w:highlight w:val="none"/>
          <w:lang w:eastAsia="zh-CN"/>
        </w:rPr>
        <w:t>）构筑物的建设对景观的影响</w:t>
      </w:r>
    </w:p>
    <w:p>
      <w:pPr>
        <w:pStyle w:val="12"/>
        <w:keepNext w:val="0"/>
        <w:keepLines w:val="0"/>
        <w:pageBreakBefore w:val="0"/>
        <w:widowControl w:val="0"/>
        <w:kinsoku/>
        <w:wordWrap/>
        <w:overflowPunct/>
        <w:topLinePunct w:val="0"/>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FF0000"/>
          <w:sz w:val="24"/>
          <w:szCs w:val="24"/>
          <w:shd w:val="clear" w:color="auto" w:fill="FFFFFF"/>
        </w:rPr>
      </w:pPr>
      <w:r>
        <w:rPr>
          <w:rFonts w:hint="eastAsia" w:ascii="Times New Roman" w:hAnsi="Times New Roman" w:cs="Times New Roman"/>
          <w:color w:val="FF0000"/>
          <w:sz w:val="24"/>
          <w:szCs w:val="24"/>
          <w:highlight w:val="none"/>
          <w:lang w:eastAsia="zh-CN"/>
        </w:rPr>
        <w:t>本项目为地下开采，地面的主要构筑物有值班室，矿石堆棚，宿舍和办公楼等，对景观具有一定的影响。</w:t>
      </w:r>
    </w:p>
    <w:p>
      <w:pPr>
        <w:pStyle w:val="5"/>
        <w:rPr>
          <w:rFonts w:hint="eastAsia"/>
          <w:color w:val="000000" w:themeColor="text1"/>
          <w:lang w:val="en-US" w:eastAsia="zh-CN"/>
        </w:rPr>
      </w:pPr>
      <w:bookmarkStart w:id="274" w:name="_Toc15794"/>
      <w:bookmarkStart w:id="275" w:name="_Toc1565_WPSOffice_Level2"/>
      <w:r>
        <w:rPr>
          <w:rFonts w:hint="eastAsia"/>
          <w:color w:val="000000" w:themeColor="text1"/>
          <w:lang w:val="en-US" w:eastAsia="zh-CN"/>
        </w:rPr>
        <w:t>退役期</w:t>
      </w:r>
      <w:bookmarkEnd w:id="274"/>
      <w:bookmarkEnd w:id="2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项目退役期，矿山停止生产，水、气、声、固废等主要污染源将消失，随着生态治与恢复措施的实施，采矿区</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矿石转运</w:t>
      </w:r>
      <w:r>
        <w:rPr>
          <w:rFonts w:hint="default" w:ascii="Times New Roman" w:hAnsi="Times New Roman" w:eastAsia="宋体" w:cs="Times New Roman"/>
          <w:color w:val="000000" w:themeColor="text1"/>
          <w:sz w:val="24"/>
          <w:szCs w:val="24"/>
        </w:rPr>
        <w:t>等无组织粉尘也将得到有效的控制。</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闭矿后采用浆砌石对矿洞进行封闭，拆除各废弃的地面设施，清理场地垃圾及简易建筑物等，对场地进行平整，再进行覆土</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整平后恢复植被以植树种草的方式为主进行绿化。</w:t>
      </w:r>
    </w:p>
    <w:p>
      <w:pPr>
        <w:pStyle w:val="4"/>
        <w:rPr>
          <w:rFonts w:hint="default"/>
          <w:color w:val="000000" w:themeColor="text1"/>
        </w:rPr>
      </w:pPr>
      <w:bookmarkStart w:id="276" w:name="_Toc7124"/>
      <w:bookmarkStart w:id="277" w:name="_Toc4025_WPSOffice_Level2"/>
      <w:r>
        <w:rPr>
          <w:rFonts w:hint="default"/>
          <w:color w:val="000000" w:themeColor="text1"/>
        </w:rPr>
        <w:t>污染物排放总量及三本账</w:t>
      </w:r>
      <w:bookmarkEnd w:id="276"/>
      <w:bookmarkEnd w:id="27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根据污染物排放情况的分析，</w:t>
      </w:r>
      <w:r>
        <w:rPr>
          <w:rFonts w:hint="eastAsia" w:ascii="Times New Roman" w:hAnsi="Times New Roman" w:eastAsia="宋体" w:cs="Times New Roman"/>
          <w:color w:val="000000" w:themeColor="text1"/>
          <w:sz w:val="24"/>
          <w:szCs w:val="24"/>
          <w:lang w:eastAsia="zh-CN"/>
        </w:rPr>
        <w:t>项目扩建前后主要污染物排放“三本账”一览表见表</w:t>
      </w:r>
      <w:r>
        <w:rPr>
          <w:rFonts w:hint="eastAsia" w:ascii="Times New Roman" w:hAnsi="Times New Roman" w:eastAsia="宋体" w:cs="Times New Roman"/>
          <w:color w:val="000000" w:themeColor="text1"/>
          <w:sz w:val="24"/>
          <w:szCs w:val="24"/>
          <w:lang w:val="en-US" w:eastAsia="zh-CN"/>
        </w:rPr>
        <w:t>3.4-1</w:t>
      </w:r>
      <w:r>
        <w:rPr>
          <w:rFonts w:hint="default" w:ascii="Times New Roman" w:hAnsi="Times New Roman" w:eastAsia="宋体" w:cs="Times New Roman"/>
          <w:color w:val="000000" w:themeColor="text1"/>
          <w:sz w:val="24"/>
          <w:szCs w:val="24"/>
        </w:rPr>
        <w:t>。</w:t>
      </w:r>
    </w:p>
    <w:p>
      <w:pPr>
        <w:pStyle w:val="112"/>
        <w:tabs>
          <w:tab w:val="left" w:pos="840"/>
          <w:tab w:val="right" w:leader="dot" w:pos="10800"/>
        </w:tabs>
        <w:ind w:firstLine="422"/>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表3.</w:t>
      </w:r>
      <w:r>
        <w:rPr>
          <w:rFonts w:hint="eastAsia" w:ascii="Times New Roman" w:hAnsi="Times New Roman" w:eastAsia="宋体" w:cs="Times New Roman"/>
          <w:b/>
          <w:bCs/>
          <w:color w:val="000000" w:themeColor="text1"/>
          <w:sz w:val="21"/>
          <w:szCs w:val="21"/>
          <w:lang w:val="en-US" w:eastAsia="zh-CN"/>
        </w:rPr>
        <w:t>4</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1</w:t>
      </w:r>
      <w:r>
        <w:rPr>
          <w:rFonts w:hint="default" w:ascii="Times New Roman" w:hAnsi="Times New Roman" w:eastAsia="宋体" w:cs="Times New Roman"/>
          <w:b/>
          <w:bCs/>
          <w:color w:val="000000" w:themeColor="text1"/>
          <w:sz w:val="21"/>
          <w:szCs w:val="21"/>
        </w:rPr>
        <w:t xml:space="preserve">   项目扩建前后主要污染物排放“三本账”</w:t>
      </w:r>
      <w:r>
        <w:rPr>
          <w:rFonts w:hint="eastAsia" w:ascii="Times New Roman" w:hAnsi="Times New Roman" w:eastAsia="宋体" w:cs="Times New Roman"/>
          <w:b/>
          <w:bCs/>
          <w:color w:val="000000" w:themeColor="text1"/>
          <w:sz w:val="21"/>
          <w:szCs w:val="21"/>
          <w:lang w:eastAsia="zh-CN"/>
        </w:rPr>
        <w:t>一览表</w:t>
      </w:r>
      <w:r>
        <w:rPr>
          <w:rFonts w:hint="default" w:ascii="Times New Roman" w:hAnsi="Times New Roman" w:eastAsia="宋体" w:cs="Times New Roman"/>
          <w:b/>
          <w:bCs/>
          <w:color w:val="000000" w:themeColor="text1"/>
          <w:sz w:val="21"/>
          <w:szCs w:val="21"/>
        </w:rPr>
        <w:t xml:space="preserve">  单位：</w:t>
      </w:r>
      <w:r>
        <w:rPr>
          <w:rFonts w:hint="default" w:ascii="Times New Roman" w:hAnsi="Times New Roman" w:eastAsia="宋体" w:cs="Times New Roman"/>
          <w:b/>
          <w:bCs/>
          <w:color w:val="000000" w:themeColor="text1"/>
          <w:sz w:val="21"/>
          <w:szCs w:val="21"/>
          <w:lang w:bidi="en-US"/>
        </w:rPr>
        <w:t>t/a</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17"/>
        <w:gridCol w:w="1332"/>
        <w:gridCol w:w="738"/>
        <w:gridCol w:w="1038"/>
        <w:gridCol w:w="1035"/>
        <w:gridCol w:w="1332"/>
        <w:gridCol w:w="1331"/>
        <w:gridCol w:w="12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669" w:hRule="atLeast"/>
          <w:jc w:val="center"/>
        </w:trPr>
        <w:tc>
          <w:tcPr>
            <w:tcW w:w="91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污染源</w:t>
            </w:r>
          </w:p>
        </w:tc>
        <w:tc>
          <w:tcPr>
            <w:tcW w:w="2070" w:type="dxa"/>
            <w:gridSpan w:val="2"/>
            <w:tcBorders>
              <w:tl2br w:val="nil"/>
              <w:tr2bl w:val="nil"/>
            </w:tcBorders>
            <w:vAlign w:val="center"/>
          </w:tcPr>
          <w:p>
            <w:pPr>
              <w:spacing w:line="240" w:lineRule="auto"/>
              <w:ind w:firstLine="199" w:firstLineChars="95"/>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污染物</w:t>
            </w:r>
          </w:p>
        </w:tc>
        <w:tc>
          <w:tcPr>
            <w:tcW w:w="103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原有工程排放量</w:t>
            </w:r>
          </w:p>
        </w:tc>
        <w:tc>
          <w:tcPr>
            <w:tcW w:w="1035" w:type="dxa"/>
            <w:tcBorders>
              <w:tl2br w:val="nil"/>
              <w:tr2bl w:val="nil"/>
            </w:tcBorders>
            <w:vAlign w:val="center"/>
          </w:tcPr>
          <w:p>
            <w:pPr>
              <w:spacing w:line="240" w:lineRule="auto"/>
              <w:ind w:left="105" w:hanging="105" w:hangingChars="5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扩建工程排放量</w:t>
            </w:r>
          </w:p>
        </w:tc>
        <w:tc>
          <w:tcPr>
            <w:tcW w:w="133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eastAsia" w:ascii="Times New Roman" w:hAnsi="Times New Roman" w:eastAsia="宋体"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以新带老</w:t>
            </w:r>
            <w:r>
              <w:rPr>
                <w:rFonts w:hint="eastAsia" w:ascii="Times New Roman" w:hAnsi="Times New Roman" w:eastAsia="宋体"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消减量</w:t>
            </w:r>
          </w:p>
        </w:tc>
        <w:tc>
          <w:tcPr>
            <w:tcW w:w="133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扩建完成后总排放量</w:t>
            </w:r>
          </w:p>
        </w:tc>
        <w:tc>
          <w:tcPr>
            <w:tcW w:w="123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增减量</w:t>
            </w:r>
          </w:p>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废气</w:t>
            </w:r>
          </w:p>
        </w:tc>
        <w:tc>
          <w:tcPr>
            <w:tcW w:w="1332"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lang w:bidi="en-US"/>
              </w:rPr>
            </w:pPr>
            <w:r>
              <w:rPr>
                <w:rFonts w:hint="default" w:ascii="Times New Roman" w:hAnsi="Times New Roman" w:eastAsia="宋体" w:cs="Times New Roman"/>
                <w:color w:val="000000" w:themeColor="text1"/>
                <w:sz w:val="21"/>
                <w:szCs w:val="21"/>
              </w:rPr>
              <w:t>风井污风</w:t>
            </w:r>
          </w:p>
        </w:tc>
        <w:tc>
          <w:tcPr>
            <w:tcW w:w="738"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lang w:bidi="en-US"/>
              </w:rPr>
            </w:pPr>
            <w:r>
              <w:rPr>
                <w:rFonts w:hint="default" w:ascii="Times New Roman" w:hAnsi="Times New Roman" w:eastAsia="宋体" w:cs="Times New Roman"/>
                <w:bCs/>
                <w:color w:val="000000" w:themeColor="text1"/>
                <w:sz w:val="21"/>
                <w:szCs w:val="21"/>
                <w:lang w:bidi="en-US"/>
              </w:rPr>
              <w:t>颗粒物</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bidi="en-US"/>
              </w:rPr>
              <w:t>0.00948</w:t>
            </w:r>
          </w:p>
        </w:tc>
        <w:tc>
          <w:tcPr>
            <w:tcW w:w="1035"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bidi="en-US"/>
              </w:rPr>
              <w:t>0.00632</w:t>
            </w:r>
          </w:p>
        </w:tc>
        <w:tc>
          <w:tcPr>
            <w:tcW w:w="1332"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1"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bidi="en-US"/>
              </w:rPr>
              <w:t>0.0158</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rPr>
              <w:t>+0.</w:t>
            </w:r>
            <w:r>
              <w:rPr>
                <w:rFonts w:hint="eastAsia" w:ascii="Times New Roman" w:hAnsi="Times New Roman" w:eastAsia="宋体" w:cs="Times New Roman"/>
                <w:bCs/>
                <w:color w:val="000000" w:themeColor="text1"/>
                <w:sz w:val="21"/>
                <w:szCs w:val="21"/>
                <w:lang w:val="en-US" w:eastAsia="zh-CN"/>
              </w:rPr>
              <w:t>00632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63"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332"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lang w:val="en-US" w:eastAsia="zh-CN" w:bidi="en-US"/>
              </w:rPr>
            </w:pPr>
            <w:r>
              <w:rPr>
                <w:rFonts w:hint="eastAsia" w:ascii="Times New Roman" w:hAnsi="Times New Roman" w:eastAsia="宋体" w:cs="Times New Roman"/>
                <w:bCs/>
                <w:color w:val="000000" w:themeColor="text1"/>
                <w:sz w:val="21"/>
                <w:szCs w:val="21"/>
                <w:lang w:val="en-US" w:eastAsia="zh-CN" w:bidi="en-US"/>
              </w:rPr>
              <w:t>矿石堆场扬尘</w:t>
            </w:r>
          </w:p>
        </w:tc>
        <w:tc>
          <w:tcPr>
            <w:tcW w:w="738" w:type="dxa"/>
            <w:tcBorders>
              <w:tl2br w:val="nil"/>
              <w:tr2bl w:val="nil"/>
            </w:tcBorders>
            <w:vAlign w:val="center"/>
          </w:tcPr>
          <w:p>
            <w:pPr>
              <w:adjustRightInd w:val="0"/>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lang w:bidi="en-US"/>
              </w:rPr>
            </w:pPr>
            <w:r>
              <w:rPr>
                <w:rFonts w:hint="default" w:ascii="Times New Roman" w:hAnsi="Times New Roman" w:eastAsia="宋体" w:cs="Times New Roman"/>
                <w:bCs/>
                <w:color w:val="000000" w:themeColor="text1"/>
                <w:sz w:val="21"/>
                <w:szCs w:val="21"/>
                <w:lang w:bidi="en-US"/>
              </w:rPr>
              <w:t>颗粒物</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bidi="en-US"/>
              </w:rPr>
              <w:t>0.009</w:t>
            </w:r>
          </w:p>
        </w:tc>
        <w:tc>
          <w:tcPr>
            <w:tcW w:w="1035"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bidi="en-US"/>
              </w:rPr>
              <w:t>0.006</w:t>
            </w:r>
          </w:p>
        </w:tc>
        <w:tc>
          <w:tcPr>
            <w:tcW w:w="1332"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1"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bidi="en-US"/>
              </w:rPr>
              <w:t>0.015</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rPr>
              <w:t>+</w:t>
            </w:r>
            <w:r>
              <w:rPr>
                <w:rFonts w:hint="eastAsia" w:ascii="Times New Roman" w:hAnsi="Times New Roman" w:eastAsia="宋体" w:cs="Times New Roman"/>
                <w:bCs/>
                <w:color w:val="000000" w:themeColor="text1"/>
                <w:sz w:val="21"/>
                <w:szCs w:val="21"/>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bidi="en-US"/>
              </w:rPr>
            </w:pPr>
            <w:r>
              <w:rPr>
                <w:rFonts w:hint="eastAsia" w:ascii="Times New Roman" w:hAnsi="Times New Roman" w:eastAsia="宋体" w:cs="Times New Roman"/>
                <w:bCs/>
                <w:color w:val="000000" w:themeColor="text1"/>
                <w:sz w:val="21"/>
                <w:szCs w:val="21"/>
                <w:lang w:val="en-US" w:eastAsia="zh-CN" w:bidi="en-US"/>
              </w:rPr>
              <w:t>餐饮油烟</w:t>
            </w:r>
          </w:p>
        </w:tc>
        <w:tc>
          <w:tcPr>
            <w:tcW w:w="738" w:type="dxa"/>
            <w:tcBorders>
              <w:tl2br w:val="nil"/>
              <w:tr2bl w:val="nil"/>
            </w:tcBorders>
            <w:vAlign w:val="center"/>
          </w:tcPr>
          <w:p>
            <w:pPr>
              <w:adjustRightInd w:val="0"/>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bidi="en-US"/>
              </w:rPr>
            </w:pPr>
            <w:r>
              <w:rPr>
                <w:rFonts w:hint="eastAsia" w:ascii="Times New Roman" w:hAnsi="Times New Roman" w:eastAsia="宋体" w:cs="Times New Roman"/>
                <w:bCs/>
                <w:color w:val="000000" w:themeColor="text1"/>
                <w:sz w:val="21"/>
                <w:szCs w:val="21"/>
                <w:lang w:eastAsia="zh-CN" w:bidi="en-US"/>
              </w:rPr>
              <w:t>油烟</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bidi="en-US"/>
              </w:rPr>
            </w:pPr>
            <w:r>
              <w:rPr>
                <w:rFonts w:hint="eastAsia" w:ascii="Times New Roman" w:hAnsi="Times New Roman" w:eastAsia="宋体" w:cs="Times New Roman"/>
                <w:bCs/>
                <w:color w:val="000000" w:themeColor="text1"/>
                <w:sz w:val="21"/>
                <w:szCs w:val="21"/>
                <w:lang w:val="en-US" w:eastAsia="zh-CN" w:bidi="en-US"/>
              </w:rPr>
              <w:t>0.0045</w:t>
            </w:r>
          </w:p>
        </w:tc>
        <w:tc>
          <w:tcPr>
            <w:tcW w:w="1035"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bidi="en-US"/>
              </w:rPr>
            </w:pPr>
            <w:r>
              <w:rPr>
                <w:rFonts w:hint="eastAsia" w:ascii="Times New Roman" w:hAnsi="Times New Roman" w:eastAsia="宋体" w:cs="Times New Roman"/>
                <w:bCs/>
                <w:color w:val="000000" w:themeColor="text1"/>
                <w:sz w:val="21"/>
                <w:szCs w:val="21"/>
                <w:lang w:val="en-US" w:eastAsia="zh-CN" w:bidi="en-US"/>
              </w:rPr>
              <w:t>0.001</w:t>
            </w: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0.0027</w:t>
            </w:r>
          </w:p>
        </w:tc>
        <w:tc>
          <w:tcPr>
            <w:tcW w:w="1331"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bidi="en-US"/>
              </w:rPr>
            </w:pPr>
            <w:r>
              <w:rPr>
                <w:rFonts w:hint="eastAsia" w:ascii="Times New Roman" w:hAnsi="Times New Roman" w:eastAsia="宋体" w:cs="Times New Roman"/>
                <w:bCs/>
                <w:color w:val="000000" w:themeColor="text1"/>
                <w:sz w:val="21"/>
                <w:szCs w:val="21"/>
                <w:lang w:val="en-US" w:eastAsia="zh-CN" w:bidi="en-US"/>
              </w:rPr>
              <w:t>0.0025</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-0.00198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废水</w:t>
            </w:r>
          </w:p>
        </w:tc>
        <w:tc>
          <w:tcPr>
            <w:tcW w:w="2070" w:type="dxa"/>
            <w:gridSpan w:val="2"/>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矿坑涌水</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2070" w:type="dxa"/>
            <w:gridSpan w:val="2"/>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井下除尘废水</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2070" w:type="dxa"/>
            <w:gridSpan w:val="2"/>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矿石堆场</w:t>
            </w:r>
            <w:r>
              <w:rPr>
                <w:rFonts w:hint="default" w:ascii="Times New Roman" w:hAnsi="Times New Roman" w:eastAsia="宋体" w:cs="Times New Roman"/>
                <w:color w:val="000000" w:themeColor="text1"/>
                <w:sz w:val="21"/>
                <w:szCs w:val="21"/>
              </w:rPr>
              <w:t>除尘</w:t>
            </w:r>
            <w:r>
              <w:rPr>
                <w:rFonts w:hint="eastAsia" w:ascii="Times New Roman" w:hAnsi="Times New Roman" w:eastAsia="宋体" w:cs="Times New Roman"/>
                <w:color w:val="000000" w:themeColor="text1"/>
                <w:sz w:val="21"/>
                <w:szCs w:val="21"/>
                <w:lang w:eastAsia="zh-CN"/>
              </w:rPr>
              <w:t>废水</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2070" w:type="dxa"/>
            <w:gridSpan w:val="2"/>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color w:val="000000" w:themeColor="text1"/>
                <w:sz w:val="21"/>
                <w:szCs w:val="21"/>
              </w:rPr>
              <w:t>生活污水</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固体</w:t>
            </w:r>
          </w:p>
          <w:p>
            <w:pPr>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废物</w:t>
            </w:r>
          </w:p>
        </w:tc>
        <w:tc>
          <w:tcPr>
            <w:tcW w:w="2070" w:type="dxa"/>
            <w:gridSpan w:val="2"/>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废石</w:t>
            </w:r>
          </w:p>
        </w:tc>
        <w:tc>
          <w:tcPr>
            <w:tcW w:w="1038"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eastAsia" w:ascii="Times New Roman" w:hAnsi="Times New Roman" w:eastAsia="宋体" w:cs="Times New Roman"/>
                <w:color w:val="000000" w:themeColor="text1"/>
                <w:sz w:val="21"/>
                <w:szCs w:val="21"/>
                <w:lang w:val="en-US" w:eastAsia="zh-CN"/>
              </w:rPr>
              <w:t>0.2</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eastAsia" w:ascii="Times New Roman" w:hAnsi="Times New Roman" w:eastAsia="宋体" w:cs="Times New Roman"/>
                <w:color w:val="000000" w:themeColor="text1"/>
                <w:sz w:val="21"/>
                <w:szCs w:val="21"/>
                <w:lang w:val="en-US" w:eastAsia="zh-CN"/>
              </w:rPr>
              <w:t>1.0</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eastAsia" w:ascii="Times New Roman" w:hAnsi="Times New Roman" w:eastAsia="宋体" w:cs="Times New Roman"/>
                <w:color w:val="000000" w:themeColor="text1"/>
                <w:sz w:val="21"/>
                <w:szCs w:val="21"/>
                <w:lang w:val="en-US" w:eastAsia="zh-CN"/>
              </w:rPr>
              <w:t>0.2</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0"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2070" w:type="dxa"/>
            <w:gridSpan w:val="2"/>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生活垃圾</w:t>
            </w:r>
          </w:p>
        </w:tc>
        <w:tc>
          <w:tcPr>
            <w:tcW w:w="1038"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234"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30" w:hRule="atLeast"/>
          <w:jc w:val="center"/>
        </w:trPr>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000000" w:themeColor="text1"/>
                <w:sz w:val="21"/>
                <w:szCs w:val="21"/>
              </w:rPr>
            </w:pPr>
          </w:p>
        </w:tc>
        <w:tc>
          <w:tcPr>
            <w:tcW w:w="2070" w:type="dxa"/>
            <w:gridSpan w:val="2"/>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废机油</w:t>
            </w:r>
          </w:p>
        </w:tc>
        <w:tc>
          <w:tcPr>
            <w:tcW w:w="1038"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035"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332"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c>
          <w:tcPr>
            <w:tcW w:w="1331" w:type="dxa"/>
            <w:tcBorders>
              <w:tl2br w:val="nil"/>
              <w:tr2bl w:val="nil"/>
            </w:tcBorders>
            <w:vAlign w:val="center"/>
          </w:tcPr>
          <w:p>
            <w:pPr>
              <w:spacing w:beforeLines="30" w:afterLines="30"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w:t>
            </w:r>
          </w:p>
        </w:tc>
        <w:tc>
          <w:tcPr>
            <w:tcW w:w="1234" w:type="dxa"/>
            <w:tcBorders>
              <w:tl2br w:val="nil"/>
              <w:tr2bl w:val="nil"/>
            </w:tcBorders>
            <w:vAlign w:val="center"/>
          </w:tcPr>
          <w:p>
            <w:pPr>
              <w:spacing w:beforeLines="30" w:afterLines="30"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val="en-US" w:eastAsia="zh-CN"/>
              </w:rPr>
              <w:t>0</w:t>
            </w:r>
          </w:p>
        </w:tc>
      </w:tr>
    </w:tbl>
    <w:p>
      <w:pPr>
        <w:pStyle w:val="22"/>
        <w:adjustRightInd w:val="0"/>
        <w:snapToGrid w:val="0"/>
        <w:spacing w:after="0" w:line="360" w:lineRule="auto"/>
        <w:ind w:left="0" w:leftChars="0" w:firstLine="480"/>
        <w:rPr>
          <w:rFonts w:hint="eastAsia" w:asciiTheme="minorEastAsia" w:hAnsiTheme="minorEastAsia" w:cstheme="minorEastAsia"/>
          <w:color w:val="FF0000"/>
          <w:sz w:val="21"/>
          <w:szCs w:val="21"/>
          <w:lang w:eastAsia="zh-CN"/>
        </w:rPr>
      </w:pPr>
      <w:r>
        <w:rPr>
          <w:rFonts w:hint="eastAsia" w:asciiTheme="minorEastAsia" w:hAnsiTheme="minorEastAsia" w:cstheme="minorEastAsia"/>
          <w:color w:val="FF0000"/>
          <w:sz w:val="21"/>
          <w:szCs w:val="21"/>
        </w:rPr>
        <w:t>注：由于项目处于停产阶段，无法进行实际监测，</w:t>
      </w:r>
      <w:r>
        <w:rPr>
          <w:rFonts w:hint="eastAsia" w:asciiTheme="minorEastAsia" w:hAnsiTheme="minorEastAsia" w:cstheme="minorEastAsia"/>
          <w:color w:val="FF0000"/>
          <w:sz w:val="21"/>
          <w:szCs w:val="21"/>
          <w:lang w:eastAsia="zh-CN"/>
        </w:rPr>
        <w:t>故现有</w:t>
      </w:r>
      <w:r>
        <w:rPr>
          <w:rFonts w:hint="eastAsia" w:asciiTheme="minorEastAsia" w:hAnsiTheme="minorEastAsia" w:cstheme="minorEastAsia"/>
          <w:color w:val="FF0000"/>
          <w:sz w:val="21"/>
          <w:szCs w:val="21"/>
        </w:rPr>
        <w:t>项目</w:t>
      </w:r>
      <w:r>
        <w:rPr>
          <w:rFonts w:hint="eastAsia" w:asciiTheme="minorEastAsia" w:hAnsiTheme="minorEastAsia" w:cstheme="minorEastAsia"/>
          <w:color w:val="FF0000"/>
          <w:sz w:val="21"/>
          <w:szCs w:val="21"/>
          <w:lang w:eastAsia="zh-CN"/>
        </w:rPr>
        <w:t>的污染排放情况按照扩建工程的预测值进行折算。</w:t>
      </w:r>
    </w:p>
    <w:p>
      <w:pPr>
        <w:pStyle w:val="12"/>
        <w:adjustRightInd w:val="0"/>
        <w:snapToGrid w:val="0"/>
        <w:spacing w:after="0" w:line="360" w:lineRule="auto"/>
        <w:ind w:firstLine="0" w:firstLineChars="0"/>
        <w:jc w:val="both"/>
        <w:rPr>
          <w:rFonts w:ascii="Times New Roman" w:hAnsi="Times New Roman" w:eastAsia="宋体" w:cs="Times New Roman"/>
          <w:b/>
          <w:bCs/>
          <w:color w:val="000000" w:themeColor="text1"/>
          <w:szCs w:val="21"/>
        </w:rPr>
      </w:pPr>
    </w:p>
    <w:p>
      <w:pPr>
        <w:pStyle w:val="12"/>
        <w:adjustRightInd w:val="0"/>
        <w:snapToGrid w:val="0"/>
        <w:spacing w:after="0" w:line="360" w:lineRule="auto"/>
        <w:ind w:firstLine="0" w:firstLineChars="0"/>
        <w:jc w:val="both"/>
        <w:rPr>
          <w:rFonts w:ascii="Times New Roman" w:hAnsi="Times New Roman" w:eastAsia="宋体" w:cs="Times New Roman"/>
          <w:b/>
          <w:bCs/>
          <w:color w:val="000000" w:themeColor="text1"/>
          <w:szCs w:val="21"/>
        </w:rPr>
      </w:pPr>
    </w:p>
    <w:p>
      <w:pPr>
        <w:pStyle w:val="12"/>
        <w:adjustRightInd w:val="0"/>
        <w:snapToGrid w:val="0"/>
        <w:spacing w:after="0" w:line="360" w:lineRule="auto"/>
        <w:ind w:firstLine="0" w:firstLineChars="0"/>
        <w:jc w:val="both"/>
        <w:rPr>
          <w:rFonts w:ascii="Times New Roman" w:hAnsi="Times New Roman" w:eastAsia="宋体" w:cs="Times New Roman"/>
          <w:b/>
          <w:bCs/>
          <w:color w:val="000000" w:themeColor="text1"/>
          <w:szCs w:val="21"/>
        </w:rPr>
      </w:pPr>
    </w:p>
    <w:p>
      <w:pPr>
        <w:pStyle w:val="12"/>
        <w:adjustRightInd w:val="0"/>
        <w:snapToGrid w:val="0"/>
        <w:spacing w:after="0" w:line="360" w:lineRule="auto"/>
        <w:ind w:firstLine="0" w:firstLineChars="0"/>
        <w:jc w:val="both"/>
        <w:rPr>
          <w:rFonts w:ascii="Times New Roman" w:hAnsi="Times New Roman" w:eastAsia="宋体" w:cs="Times New Roman"/>
          <w:b/>
          <w:bCs/>
          <w:color w:val="000000" w:themeColor="text1"/>
          <w:szCs w:val="21"/>
        </w:rPr>
      </w:pPr>
    </w:p>
    <w:p>
      <w:pPr>
        <w:pStyle w:val="12"/>
        <w:adjustRightInd w:val="0"/>
        <w:snapToGrid w:val="0"/>
        <w:spacing w:after="0" w:line="360" w:lineRule="auto"/>
        <w:ind w:firstLine="0" w:firstLineChars="0"/>
        <w:jc w:val="both"/>
        <w:rPr>
          <w:rFonts w:ascii="Times New Roman" w:hAnsi="Times New Roman" w:eastAsia="宋体" w:cs="Times New Roman"/>
          <w:b/>
          <w:bCs/>
          <w:color w:val="000000" w:themeColor="text1"/>
          <w:szCs w:val="21"/>
        </w:rPr>
      </w:pPr>
    </w:p>
    <w:p>
      <w:pPr>
        <w:pStyle w:val="12"/>
        <w:adjustRightInd w:val="0"/>
        <w:snapToGrid w:val="0"/>
        <w:spacing w:after="0" w:line="360" w:lineRule="auto"/>
        <w:ind w:firstLine="0" w:firstLineChars="0"/>
        <w:jc w:val="both"/>
        <w:rPr>
          <w:rFonts w:ascii="Times New Roman" w:hAnsi="Times New Roman" w:eastAsia="宋体" w:cs="Times New Roman"/>
          <w:b/>
          <w:bCs/>
          <w:color w:val="000000" w:themeColor="text1"/>
          <w:szCs w:val="21"/>
        </w:rPr>
      </w:pPr>
    </w:p>
    <w:p>
      <w:pPr>
        <w:pStyle w:val="3"/>
        <w:keepNext/>
        <w:keepLines/>
        <w:pageBreakBefore w:val="0"/>
        <w:widowControl w:val="0"/>
        <w:kinsoku/>
        <w:wordWrap/>
        <w:overflowPunct/>
        <w:topLinePunct w:val="0"/>
        <w:autoSpaceDE/>
        <w:autoSpaceDN/>
        <w:bidi w:val="0"/>
        <w:adjustRightInd/>
        <w:snapToGrid/>
        <w:spacing w:before="0"/>
        <w:ind w:left="431" w:hanging="431"/>
        <w:textAlignment w:val="auto"/>
        <w:outlineLvl w:val="0"/>
        <w:rPr>
          <w:rFonts w:hint="eastAsia"/>
          <w:color w:val="000000" w:themeColor="text1"/>
        </w:rPr>
      </w:pPr>
      <w:bookmarkStart w:id="278" w:name="_Toc21873_WPSOffice_Level3"/>
      <w:bookmarkStart w:id="279" w:name="_Toc30376"/>
      <w:bookmarkStart w:id="280" w:name="_Toc27778"/>
      <w:r>
        <w:rPr>
          <w:rFonts w:hint="eastAsia"/>
          <w:color w:val="000000" w:themeColor="text1"/>
        </w:rPr>
        <w:t>环境现状调查与评价</w:t>
      </w:r>
      <w:bookmarkEnd w:id="278"/>
      <w:bookmarkEnd w:id="279"/>
      <w:bookmarkEnd w:id="280"/>
    </w:p>
    <w:p>
      <w:pPr>
        <w:pStyle w:val="4"/>
        <w:rPr>
          <w:rFonts w:hint="default"/>
          <w:color w:val="000000" w:themeColor="text1"/>
        </w:rPr>
      </w:pPr>
      <w:bookmarkStart w:id="281" w:name="_Toc500255750"/>
      <w:bookmarkStart w:id="282" w:name="_Toc25772"/>
      <w:bookmarkStart w:id="283" w:name="_Toc9273"/>
      <w:r>
        <w:rPr>
          <w:rFonts w:hint="default"/>
          <w:color w:val="000000" w:themeColor="text1"/>
        </w:rPr>
        <w:t>项目区环境概况</w:t>
      </w:r>
      <w:bookmarkEnd w:id="281"/>
      <w:bookmarkEnd w:id="282"/>
      <w:bookmarkEnd w:id="283"/>
    </w:p>
    <w:p>
      <w:pPr>
        <w:pStyle w:val="5"/>
        <w:rPr>
          <w:rFonts w:hint="default"/>
          <w:color w:val="000000" w:themeColor="text1"/>
        </w:rPr>
      </w:pPr>
      <w:bookmarkStart w:id="284" w:name="_Toc31554"/>
      <w:r>
        <w:rPr>
          <w:rFonts w:hint="default"/>
          <w:color w:val="000000" w:themeColor="text1"/>
        </w:rPr>
        <w:t>地理位置</w:t>
      </w:r>
      <w:bookmarkEnd w:id="284"/>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项目位于旬阳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140°方位，距旬阳直线距离约27km，行政隶属铜钱关镇所辖</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项目地理位置详见附图1。矿区有1.5km简易村级道路与吕河—铜钱县级公路相接，沿吕河—铜钱县级公路西行经赤岩、神河、吕河与316国道安（康）—旬（阳）段、襄渝铁路相接，沿316国道西行1km可达襄渝铁路吕河站，东行7km可达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，交通较为便利。</w:t>
      </w:r>
    </w:p>
    <w:p>
      <w:pPr>
        <w:pStyle w:val="5"/>
        <w:rPr>
          <w:rFonts w:hint="default"/>
          <w:color w:val="000000" w:themeColor="text1"/>
        </w:rPr>
      </w:pPr>
      <w:bookmarkStart w:id="285" w:name="_Toc16689"/>
      <w:r>
        <w:rPr>
          <w:rFonts w:hint="default"/>
          <w:color w:val="000000" w:themeColor="text1"/>
        </w:rPr>
        <w:t>地形地貌</w:t>
      </w:r>
      <w:bookmarkEnd w:id="285"/>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调查区自然地理属巴山北麓。区内地表多为</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V</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型狭谷和斜坡地貌，地形坡度一般为20-35°，地势总体为北低南高，矿区内主要发育有构皮沟、石门沟两条主沟谷，沟谷斜坡部分被残、坡积物覆盖，区内灌木林茂密，藤草丛生，植被发育，且林地分布较广。海拔标高 400-1350m。总体属于低山侵蚀地貌，陡坡地形。</w:t>
      </w:r>
    </w:p>
    <w:p>
      <w:pPr>
        <w:pStyle w:val="5"/>
        <w:rPr>
          <w:rFonts w:hint="default"/>
          <w:color w:val="000000" w:themeColor="text1"/>
          <w:lang w:val="en-US" w:eastAsia="zh-CN"/>
        </w:rPr>
      </w:pPr>
      <w:bookmarkStart w:id="286" w:name="_Toc32127"/>
      <w:r>
        <w:rPr>
          <w:rFonts w:hint="eastAsia"/>
          <w:color w:val="000000" w:themeColor="text1"/>
          <w:lang w:val="en-US" w:eastAsia="zh-CN"/>
        </w:rPr>
        <w:t>植被</w:t>
      </w:r>
      <w:bookmarkEnd w:id="28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天然植被：调查区范围内植被类型为乔木、灌木林地。乔木林地、灌木林地分布面积较大，种类多样，覆盖率达80％以上，郁闭度约为0.65左右，其中植物有油松、槐树、华山松、椿、桐、竹林、蕨类、蒿类、羊胡子草、莎草、苔藓、白茅、马唐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人工植被：分布于构皮沟沟底局部和炸药库四周主要为耕地，以种植玉米、土豆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等为主。</w:t>
      </w:r>
    </w:p>
    <w:p>
      <w:pPr>
        <w:pStyle w:val="5"/>
        <w:rPr>
          <w:rFonts w:hint="default"/>
          <w:color w:val="000000" w:themeColor="text1"/>
          <w:lang w:val="en-US" w:eastAsia="zh-CN"/>
        </w:rPr>
      </w:pPr>
      <w:bookmarkStart w:id="287" w:name="_Toc23728"/>
      <w:r>
        <w:rPr>
          <w:rFonts w:hint="eastAsia"/>
          <w:color w:val="000000" w:themeColor="text1"/>
          <w:lang w:val="en-US" w:eastAsia="zh-CN"/>
        </w:rPr>
        <w:t>土壤</w:t>
      </w:r>
      <w:bookmarkEnd w:id="287"/>
    </w:p>
    <w:p>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矿区属于巴山北麓，根据土壤普查资料，评估区内土壤属黄壤土，为第四系残坡</w:t>
      </w:r>
    </w:p>
    <w:p>
      <w:pPr>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堆积层覆盖，大部分区域基岩裸露地表，少量土壤层。表层上部为黄褐色、灰色粘土、</w:t>
      </w:r>
    </w:p>
    <w:p>
      <w:pPr>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粉砂质粘土，含腐植质及植物根须，厚度0.1～0.3m不等；下部为棕黄色、细腻结构</w:t>
      </w:r>
    </w:p>
    <w:p>
      <w:pPr>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体粘土，由大小不等的岩石碎块或颗粒组成，层理不明显。从垂直剖面看，表层为风</w:t>
      </w:r>
    </w:p>
    <w:p>
      <w:pPr>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化强烈的岩石细屑，下面的岩石矿物分解较差，具有较大棱角碎块。根据矿区及周边</w:t>
      </w:r>
    </w:p>
    <w:p>
      <w:pPr>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开挖面看，覆土层厚度为20～40cm，部分地段岩石裸露，土壤质地中壤或中壤偏重。</w:t>
      </w:r>
    </w:p>
    <w:p>
      <w:pPr>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000000" w:themeColor="text1"/>
          <w:sz w:val="24"/>
          <w:szCs w:val="24"/>
          <w:lang w:val="en-US" w:eastAsia="zh-CN"/>
        </w:rPr>
      </w:pPr>
      <w:r>
        <w:rPr>
          <w:color w:val="000000" w:themeColor="text1"/>
        </w:rPr>
        <w:drawing>
          <wp:inline distT="0" distB="0" distL="114300" distR="114300">
            <wp:extent cx="3524250" cy="3248025"/>
            <wp:effectExtent l="19050" t="19050" r="19050" b="2857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8"/>
                    <a:stretch>
                      <a:fillRect/>
                    </a:stretch>
                  </pic:blipFill>
                  <pic:spPr>
                    <a:xfrm>
                      <a:off x="0" y="0"/>
                      <a:ext cx="3524250" cy="3248025"/>
                    </a:xfrm>
                    <a:prstGeom prst="rect">
                      <a:avLst/>
                    </a:prstGeom>
                    <a:noFill/>
                    <a:ln w="19050">
                      <a:solidFill>
                        <a:schemeClr val="tx1"/>
                      </a:solidFill>
                    </a:ln>
                  </pic:spPr>
                </pic:pic>
              </a:graphicData>
            </a:graphic>
          </wp:inline>
        </w:drawing>
      </w:r>
    </w:p>
    <w:p>
      <w:pPr>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图4.1-1  矿区土壤剖面图</w:t>
      </w:r>
    </w:p>
    <w:p>
      <w:pPr>
        <w:pStyle w:val="5"/>
        <w:rPr>
          <w:rFonts w:hint="default"/>
          <w:color w:val="000000" w:themeColor="text1"/>
        </w:rPr>
      </w:pPr>
      <w:bookmarkStart w:id="288" w:name="_Toc1921"/>
      <w:r>
        <w:rPr>
          <w:rFonts w:hint="default"/>
          <w:color w:val="000000" w:themeColor="text1"/>
        </w:rPr>
        <w:t>地层岩性与地质构造</w:t>
      </w:r>
      <w:bookmarkEnd w:id="288"/>
    </w:p>
    <w:p>
      <w:pPr>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bookmarkStart w:id="289" w:name="_Toc269541383"/>
      <w:r>
        <w:rPr>
          <w:rFonts w:hint="eastAsia" w:ascii="Times New Roman" w:hAnsi="Times New Roman" w:eastAsia="宋体" w:cs="Times New Roman"/>
          <w:b/>
          <w:bCs/>
          <w:color w:val="000000" w:themeColor="text1"/>
          <w:sz w:val="24"/>
          <w:szCs w:val="24"/>
          <w:lang w:val="en-US" w:eastAsia="zh-CN"/>
        </w:rPr>
        <w:t>（1）</w:t>
      </w:r>
      <w:r>
        <w:rPr>
          <w:rFonts w:hint="default" w:ascii="Times New Roman" w:hAnsi="Times New Roman" w:eastAsia="宋体" w:cs="Times New Roman"/>
          <w:b/>
          <w:bCs/>
          <w:color w:val="000000" w:themeColor="text1"/>
          <w:sz w:val="24"/>
          <w:szCs w:val="24"/>
        </w:rPr>
        <w:t>地层</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区位于秦岭印支褶皱带牛山—得胜铺复式背斜南翼，其北侧为山（阳）、柞（水）、旬（阳）泥盆纪沉积盆地，南为北大巴山加里东褶皱带。区域出露地层有震旦系耀岭河群（Zayl）的一套灰绿色基性火山碎屑岩及寒武系—志留系（∈-S1m）a浅变质陆源碎屑岩夹硅质岩、碳酸盐岩、志留系梅子垭组（S1m）浅变质陆源碎屑岩。构造线总体呈北西—南东向展布，断裂构造发育。</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区内出露的地层主要为震旦系耀岭河群（Zayl）、寒武系—志留系（∈-S1）地层。</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现由新到老叙述如下：</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1、第四系全新统残坡积层(Q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edl</w:t>
      </w:r>
      <w:r>
        <w:rPr>
          <w:rFonts w:hint="default" w:ascii="Times New Roman" w:hAnsi="Times New Roman" w:eastAsia="宋体" w:cs="Times New Roman"/>
          <w:color w:val="000000" w:themeColor="text1"/>
          <w:sz w:val="24"/>
          <w:szCs w:val="24"/>
        </w:rPr>
        <w:t>)</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主要分布于矿区边坡低凹地带，为褐黄色含碎石粉质粘土，土体松散，孔隙发育，厚度因地形而异，一般0.5—1m，局部地段大于5m。</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2、第四系全新统冲洪积层(Q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apl</w:t>
      </w:r>
      <w:r>
        <w:rPr>
          <w:rFonts w:hint="default" w:ascii="Times New Roman" w:hAnsi="Times New Roman" w:eastAsia="宋体" w:cs="Times New Roman"/>
          <w:color w:val="000000" w:themeColor="text1"/>
          <w:sz w:val="24"/>
          <w:szCs w:val="24"/>
        </w:rPr>
        <w:t>)</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分布于矿区吕河两岸沟谷地带，该层岩性为含漂石砂卵石层，漂卵石成份主要为火山砾岩、灰岩、板岩等，结构松散，厚度0.5—1.5m。震旦系郧西群下亚段(Z</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yx</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3、志留系梅子垭组（S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m）：分布矿区外围西北部石门沟—付家花屋带，其岩性为绢云石英片岩与石英绢云母片岩互层，夹少量变砂岩。</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地层。</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分布于矿区南部陈家大房—构皮寨一带，其岩性为底部炭质片岩夹结晶灰岩，下部硅质岩，中上部绿泥钠长片岩、绢云母石英片岩互层夹结晶灰岩、炭质硅质岩、硅质岩。</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5、震旦系耀岭河群（Zayl）</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出露于矿区中、北部的石门沟—构皮沟一带，其岩性为灰绿—绿色中基性火山碎屑岩、熔岩，灰绿色绿泥石英片岩、云母石英片岩、钠长斜长片岩。在火山碎岩中可见炭质片岩夹层。 </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构造</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区内褶皱、断裂发育，片理化构造更是广泛见于各类片岩中，主要构造线与区域构造方向一致，均呈北西向展布，大磨沟—王家湾背斜、F1、F2断裂构成了区内构造的基本格架。</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①褶皱</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大磨沟—王家湾背斜：西起大磨沟，东到王家湾，长度大于5公里，幅宽0.5—1.4公里，轴面北倾</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南翼地层倒转为一倒转背斜</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枢扭向北西倾伏</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倾伏角10°-18°</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核部地层为震旦系耀岭河群(Zayl)基性火山碎屑岩、片岩，翼部地层为寒武系—志留系（∈-S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炭质片岩、结晶灰岩、硅质岩、绿泥钠长片岩、绢云母石英片。</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②断裂</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区内断裂发育，其特征如下：</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F1断裂</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位于矿区南部外围的扇子坡—构皮沟脑一带，呈近东西向延伸，长十余公里，断面北倾，断层出露线多为负地形及断层陡坎，该断层造成南、北盘地层东西向错位，破碎带宽20—20米，具强炭化、片理化、角砾岩化，具多期活动特征，断裂产状350°-15°∠68°-75°。</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F2断层：位于矿区外围西北部石门沟—构皮沟口一线，呈北西—南东向延伸，长度大于5公里，断裂宽10-15米，具强炭化、片理化、角砾岩化，具多期活动特征，断层出露线多为负地形及断层陡坎，断层产状45°-50°∠55°-60°。</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③片理</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广泛见于区内各类片岩中，片理产状与岩层层理、构造线的延伸方向基本一致。 </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地震</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据历史记载，旬阳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最大地震为公元788年3月8日发生的6.5级地震，是月河深大断裂带与茶镇—汉王城—水田坝深大断裂带活动的结果。1561年5月发生过一次5.0级地震。2008年5月12日14时28分四川汶川发生8.0级地震时，矿区有震感。从地震的时空分布来看，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地震具有持续活动的特点，但震级一般较低，破坏性不大。矿区属相对稳定的地块，场地稳定性较好。根据《中国地震动参数区划图》（GB18306-2010图A）和国标《建筑抗震设计规范》（GB50011-2010）查知，旬阳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抗震设防裂度为6度，设计基本地震加速度值为0.10g。</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矿体赋存层位</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本区毒重石矿体主要赋存于寒武—志留系（∈-S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地层中，呈似层状或透镜状顺层产出，呈近东西向展布，与区域地层走向线一致</w:t>
      </w:r>
      <w:r>
        <w:rPr>
          <w:rFonts w:hint="eastAsia" w:ascii="Times New Roman" w:hAnsi="Times New Roman" w:eastAsia="宋体" w:cs="Times New Roman"/>
          <w:color w:val="000000" w:themeColor="text1"/>
          <w:sz w:val="24"/>
          <w:szCs w:val="24"/>
          <w:lang w:eastAsia="zh-CN"/>
        </w:rPr>
        <w:t>。</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5</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变质作用</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bookmarkStart w:id="290" w:name="_Toc324167329"/>
      <w:r>
        <w:rPr>
          <w:rFonts w:hint="default" w:ascii="Times New Roman" w:hAnsi="Times New Roman" w:eastAsia="宋体" w:cs="Times New Roman"/>
          <w:color w:val="000000" w:themeColor="text1"/>
          <w:sz w:val="24"/>
          <w:szCs w:val="24"/>
        </w:rPr>
        <w:t>矿区的容矿围岩和含矿岩石以硅质岩类岩石为主，变形较强而变质软弱，属低绿片岩相，主要有以下两类。</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1、埋深变质作用：早期的岩层序列被埋藏到深部，在沉积负载垂向压力下，所发生的变质重结晶作用，形成缺乏片理的板岩，原岩组构保存较好，无变形作用。其新生变质矿物为绢云母、绿泥石雏晶。</w:t>
      </w:r>
    </w:p>
    <w:p>
      <w:pPr>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变形变质作用：埋深变质作用后，受区域伸展构造体制的影响，下部构造层次的岩层在水平分层剪切及固态流变过程中发生的变形变质作用。其新生变质矿物为绢云母+绿泥石。早期形成不对称的小褶皱及顺层剪切带，晚期发育顺层掩卧褶皱，其轴面劈理发育，基本或完全置换了先期面理。反映了变形较强的动力变质作用特征。</w:t>
      </w:r>
    </w:p>
    <w:p>
      <w:pPr>
        <w:pStyle w:val="5"/>
        <w:rPr>
          <w:rFonts w:hint="default"/>
          <w:color w:val="000000" w:themeColor="text1"/>
        </w:rPr>
      </w:pPr>
      <w:bookmarkStart w:id="291" w:name="_Toc24531"/>
      <w:r>
        <w:rPr>
          <w:rFonts w:hint="default"/>
          <w:color w:val="000000" w:themeColor="text1"/>
        </w:rPr>
        <w:t>地下水概况</w:t>
      </w:r>
      <w:bookmarkEnd w:id="291"/>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地下水以大气降水为主要补给来源。大气降水通过各类岩石的孔隙、裂隙及构造破碎带等渗入地下，在不同地质构造、地形地貌等自然条件控制下，做垂直运移和水平径流、汇集。当条件适宜时，以泉的形式排泄于沟谷及地形低洼处，或以水平径流侧向补给邻区地下水。因各种类型地下水的含水性、水文地质特征、所处构造、地形、地貌部位的不同，其补给、径流及排泄条件差异较大。矿区大气降水是地下水补给的唯一来源。因此，大气降水是影响矿床充水的唯一因素。</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矿区含水层主要为基岩强风化层含水层和分布于矿区中下部第四系残坡积碎石土孔隙含水层。</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基岩强风化层含水层(Ⅱ2)：该层厚度5—10m，局部可达30m</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受构造及风化作用影响，岩体破碎，裂隙发育，富水性相对较好，为裂隙含水层。遍布矿区地表。地下水主要受大气降水补给；经裂隙向深部或沟谷迳流排泄。涌水量主要受地形控制，受季节影响较大，一般沟谷地带水量大，山梁或山顶水量小；雨季水量大，旱季水量较小。本次地表调查工作中在矿区范围内均未发现地下水出露点。该层地下水对矿山开采影响不大。从对开采平硐的调查情况看，施工的PD1、PD2、PD3、PD4平硐，标高分别为700.74m、760.08、858.62m、768.36m，平硐内基本无地下水，渗水量很小。</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第四系残坡积碎石土孔隙含水层(Ⅲ2)：该层厚度1.5—5.0m，分布于矿区中下部，由60—70％粉质粘土混合30％—40％碎石、角砾组成，孔隙发育，季节性含水，地下水类型为上层滞水，主要受大气降水补给，以蒸发和向下、向地形较低处缓慢渗透为排泄方式。水量较小。该层地下水对于矿床开采基本无大的影响。</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第四系冲洪积碎石土孔隙含水层(Ⅲ1)：该层厚度1.5—5.0m，分布于矿区以南吕河河漫滩及部分一级阶地，由50—60％卵石、圆砾、30～40%中粗砂组成，孔隙发育，水量较大，地下水类型为孔隙潜水，主要受大气降水和河水的侧向补给，以蒸发和向下、向地形较低处缓慢渗透为排泄方式。该层地下水对于矿床开采基本无大的影响。</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基岩弱风化层虽然也发育有节理裂隙，但总体含水量小，亦为隔水层。</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对矿区所有的开采平硐进行了详细的调查工作。除在PD1平硐个别地地段发现有滴水点外，大部分工程内均呈干燥～潮湿状态。在已采和正在开采的平硐、采硐内未发现有抽排水设备和设施，说明矿区内地下水不发育，地下水水量很小。</w:t>
      </w:r>
    </w:p>
    <w:p>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总之，矿区内隔水层隔水性好，含水层厚度小，含水有限，且矿区内毒重石、重晶石矿体均位于当地侵蚀基准面（500米标高）以上，地形条件有利于自然排水，矿床主要属孔隙、裂隙充水类型，水文地质条件简单。矿区内已施工的PD1、PD2、PD3、PD4探采矿平硐中无涌水现象，仅局部见裂隙、孔隙少量渗、滴水现象，利用平硐自然排出地表。开采前后水文地质条件变化不大。</w:t>
      </w:r>
    </w:p>
    <w:bookmarkEnd w:id="289"/>
    <w:bookmarkEnd w:id="290"/>
    <w:p>
      <w:pPr>
        <w:pStyle w:val="5"/>
        <w:rPr>
          <w:rFonts w:hint="default"/>
          <w:color w:val="000000" w:themeColor="text1"/>
        </w:rPr>
      </w:pPr>
      <w:bookmarkStart w:id="292" w:name="_Toc30399"/>
      <w:r>
        <w:rPr>
          <w:rFonts w:hint="default"/>
          <w:color w:val="000000" w:themeColor="text1"/>
        </w:rPr>
        <w:t>水文地质</w:t>
      </w:r>
      <w:bookmarkEnd w:id="292"/>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outlineLvl w:val="3"/>
        <w:rPr>
          <w:rFonts w:hint="default" w:ascii="Times New Roman" w:hAnsi="Times New Roman" w:eastAsia="宋体" w:cs="Times New Roman"/>
          <w:b/>
          <w:color w:val="000000" w:themeColor="text1"/>
          <w:sz w:val="24"/>
          <w:szCs w:val="24"/>
        </w:rPr>
      </w:pPr>
      <w:r>
        <w:rPr>
          <w:rFonts w:hint="eastAsia" w:ascii="Times New Roman" w:hAnsi="Times New Roman" w:eastAsia="宋体" w:cs="Times New Roman"/>
          <w:b/>
          <w:color w:val="000000" w:themeColor="text1"/>
          <w:sz w:val="24"/>
          <w:szCs w:val="24"/>
          <w:lang w:val="en-US" w:eastAsia="zh-CN"/>
        </w:rPr>
        <w:t xml:space="preserve">4.1.7.1 </w:t>
      </w:r>
      <w:r>
        <w:rPr>
          <w:rFonts w:hint="default" w:ascii="Times New Roman" w:hAnsi="Times New Roman" w:eastAsia="宋体" w:cs="Times New Roman"/>
          <w:b/>
          <w:color w:val="000000" w:themeColor="text1"/>
          <w:sz w:val="24"/>
          <w:szCs w:val="24"/>
        </w:rPr>
        <w:t xml:space="preserve"> 区域水文地质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一、 地层岩性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区位于秦岭印支褶皱带牛山—得胜铺复式背斜南翼，其北侧为山（阳）、柞（水）、旬（阳）泥盆纪沉积盆地，南为北大巴山加里东褶皱带。区域出露地层有震旦系耀岭河群（Zayl）的一套灰绿色基性火山碎屑岩及寒武系—志留系（∈-S1m）a浅变质陆源碎屑岩夹硅质岩、碳酸盐岩、志留系梅子垭组（S1m）浅变质陆源碎屑岩。构造线总体呈北西—南东向展布，断裂构造发育。</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区内出露的地层主要为震旦系耀岭河群（Zayl）、寒武系—志留系（∈-S1）地层。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现由新到老叙述如下：</w:t>
      </w:r>
    </w:p>
    <w:p>
      <w:pPr>
        <w:keepNext w:val="0"/>
        <w:keepLines w:val="0"/>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1、第四系全新统残坡积层(Q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edl</w:t>
      </w:r>
      <w:r>
        <w:rPr>
          <w:rFonts w:hint="default" w:ascii="Times New Roman" w:hAnsi="Times New Roman" w:eastAsia="宋体" w:cs="Times New Roman"/>
          <w:color w:val="000000" w:themeColor="text1"/>
          <w:sz w:val="24"/>
          <w:szCs w:val="24"/>
        </w:rPr>
        <w:t>)</w:t>
      </w:r>
    </w:p>
    <w:p>
      <w:pPr>
        <w:keepNext w:val="0"/>
        <w:keepLines w:val="0"/>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主要分布于矿区边坡低凹地带，为褐黄色含碎石粉质粘土，土体松散，孔隙发育，厚度因地形而异，一般0.5—1m，局部地段大于5m。</w:t>
      </w:r>
    </w:p>
    <w:p>
      <w:pPr>
        <w:keepNext w:val="0"/>
        <w:keepLines w:val="0"/>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2、第四系全新统冲洪积层(Q</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vertAlign w:val="superscript"/>
        </w:rPr>
        <w:t>apl</w:t>
      </w:r>
      <w:r>
        <w:rPr>
          <w:rFonts w:hint="default" w:ascii="Times New Roman" w:hAnsi="Times New Roman" w:eastAsia="宋体" w:cs="Times New Roman"/>
          <w:color w:val="000000" w:themeColor="text1"/>
          <w:sz w:val="24"/>
          <w:szCs w:val="24"/>
        </w:rPr>
        <w:t>)</w:t>
      </w:r>
    </w:p>
    <w:p>
      <w:pPr>
        <w:keepNext w:val="0"/>
        <w:keepLines w:val="0"/>
        <w:pageBreakBefore w:val="0"/>
        <w:widowControl w:val="0"/>
        <w:tabs>
          <w:tab w:val="left" w:pos="14"/>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分布于矿区吕河两岸沟谷地带，该层岩性为含漂石砂卵石层，漂卵石成份主要为火山砾岩、灰岩、板岩等，结构松散，厚度0.5—1.5m。震旦系郧西群下亚段(Z</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yx</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3、志留系梅子垭组（S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m）：分布矿区外围西北部石门沟—付家花屋带，其岩性为绢云石英片岩与石英绢云母片岩互层\，夹少量变砂岩。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4、寒武系—志留系（∈-S</w:t>
      </w:r>
      <w:r>
        <w:rPr>
          <w:rFonts w:hint="default" w:ascii="Times New Roman" w:hAnsi="Times New Roman" w:eastAsia="宋体" w:cs="Times New Roman"/>
          <w:color w:val="000000" w:themeColor="text1"/>
          <w:sz w:val="24"/>
          <w:szCs w:val="24"/>
          <w:vertAlign w:val="subscript"/>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a</w:t>
      </w:r>
      <w:r>
        <w:rPr>
          <w:rFonts w:hint="default" w:ascii="Times New Roman" w:hAnsi="Times New Roman" w:eastAsia="宋体" w:cs="Times New Roman"/>
          <w:color w:val="000000" w:themeColor="text1"/>
          <w:sz w:val="24"/>
          <w:szCs w:val="24"/>
        </w:rPr>
        <w:t>地层。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分布于矿区南部陈家大房—构皮寨一带，其岩性为底部炭质片岩夹结晶灰岩，下部硅质岩，中上部绿泥钠长片岩、绢云母石英片岩互层夹结晶灰岩、炭质硅质岩、硅质岩。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5、震旦系耀岭河群（Zayl）</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出露于矿区中、北部的石门沟—构皮沟一带，其岩性为灰绿—绿色中基性火山碎屑岩、熔岩，灰绿色绿泥石英片岩、云母石英片岩、钠长斜长片岩。在火山碎岩中可见炭质片岩夹层。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二、区域水文地质条件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矿区位于赤岩沟东、扇子坡一带，地形坡度较陡，有利于地表水及地下水的排泄。支沟多为季节性溪流，地表水系水量随大气降水而发生变化，地下水主要靠大气降水补给，其次是地表径流的渗入补给，地下水经岩层、断裂带的渗流在沟谷切割较深处排泄补给地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区内隔水层为震旦系耀岭河群（Zayl）中基性火山碎屑岩、熔岩、绿泥石英片岩、云母石英片岩、钠长斜长片岩及寒武系——志留系（∈-S1m）a炭质片岩硅质岩、绿泥钠长片岩、绢云母石英片岩，在区内大面积分布，其隔水性较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color w:val="FF0000"/>
          <w:sz w:val="24"/>
          <w:szCs w:val="24"/>
        </w:rPr>
      </w:pPr>
      <w:r>
        <w:rPr>
          <w:rFonts w:hint="default" w:ascii="Times New Roman" w:hAnsi="Times New Roman" w:eastAsia="宋体" w:cs="Times New Roman"/>
          <w:color w:val="FF0000"/>
          <w:sz w:val="24"/>
          <w:szCs w:val="24"/>
        </w:rPr>
        <w:t>区内含水层为寒武系——志留系（∈-S1m）a地层中的结晶灰岩夹层、变砂岩夹层，其厚度不大，含水有限。区内第四系残坡积物等孔隙潜水含水层及断裂构造带、层间滑脱构造带、地表风化裂隙带等裂隙潜水含水层含水有限，且区内沟谷发育，地形陡峻，有利于地下水的排泄，因此对矿体的开采影响不大。区内含水层厚度小，含水有限，裂隙潜水类型水平平面上呈带状分布，由于裂隙的不均匀性，局部水量相对较大。坑道内以裂隙潜水为主，具季节性，一般滴、渗水量不大，均可自然排出。总之，矿区内隔水层隔水性好，含水层厚度小，含水有限，且矿区内矿体均位于当地侵蚀基准面（500米标高）以上，地形条件有利于自然排水，矿床主要属孔隙、裂隙充水类型，水文地质条件简单。矿区内已施工的PD1探、采矿平硐中无涌水现象，仅局部见裂隙、孔隙少量渗、滴水现象，利用平硐自然排出地表。开采前后水文地质条件变化不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outlineLvl w:val="3"/>
        <w:rPr>
          <w:rFonts w:hint="default" w:ascii="Times New Roman" w:hAnsi="Times New Roman" w:eastAsia="宋体" w:cs="Times New Roman"/>
          <w:b/>
          <w:color w:val="000000" w:themeColor="text1"/>
          <w:sz w:val="24"/>
          <w:szCs w:val="24"/>
        </w:rPr>
      </w:pPr>
      <w:r>
        <w:rPr>
          <w:rFonts w:hint="eastAsia" w:ascii="Times New Roman" w:hAnsi="Times New Roman" w:eastAsia="宋体" w:cs="Times New Roman"/>
          <w:b/>
          <w:color w:val="000000" w:themeColor="text1"/>
          <w:sz w:val="24"/>
          <w:szCs w:val="24"/>
          <w:lang w:val="en-US" w:eastAsia="zh-CN"/>
        </w:rPr>
        <w:t xml:space="preserve">4.1.7.2 </w:t>
      </w:r>
      <w:r>
        <w:rPr>
          <w:rFonts w:hint="default" w:ascii="Times New Roman" w:hAnsi="Times New Roman" w:eastAsia="宋体" w:cs="Times New Roman"/>
          <w:b/>
          <w:color w:val="000000" w:themeColor="text1"/>
          <w:sz w:val="24"/>
          <w:szCs w:val="24"/>
        </w:rPr>
        <w:t xml:space="preserve"> 评价区水文地质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1、评价区含（隔）水层分布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（1）含水层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全区影响地下水形成因素有岩性、气象、水文、地质构造和地貌。区内共有两种类型的地下水，即层状基岩裂隙水和松散岩类孔隙水。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区内地下水以大气降水为主要补给来源。大气降水通过各类岩石的孔隙、裂隙及构造破碎带等渗入地下，在不同地质构造、地形地貌等自然条件控制下，做垂直运移和水平径流、汇集。当条件适宜时，以泉的形式排泄于沟谷及地形低洼处，或以水平径流侧向补给邻区地下水。因各种类型地下水的含水性、水文地质特征、所处构造、地形、地貌部位的不同，其补给、径流及排泄条件差异较大。矿区大气降水是地下水补给的唯一来源。因此，大气降水是影响矿床充水的唯一因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）第四系松散岩类孔隙水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该含水层主要分布在沟脑、平缓山坡、山麓沟口，沟谷两侧及支谷中。主要成份为粉砂土、碎石及砂砾石。该含水层含水性受季节影响较大，雨季流量明显增大，枯水期则含水量极小或不含水，属弱富水性含水层，对矿床充水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）基岩风化裂隙水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该含水层一般分布在裸露的弱透水片岩、硅质岩的风化壳中。这些岩石经长期构造变动和风化剥蚀作用，风化裂隙较发育，在近地表接受大气降水的补给形成风化裂隙水(大多为潜水)。分布广泛，埋深浅，由于原岩为一套泥质细系碎屑岩，抗风化能力差，风化裂隙中泥化现象严重，因而其水力联系较差，其潜水位随季节和地形变化不大，属极弱富水性。含水层渗透系数引用《陕西省旬阳县赤岩镇水磨河口构皮沟毒重石矿矿山地质环境保护与恢复治理方案》报告中含水层渗透系数0.00115m/d。</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jc w:val="left"/>
        <w:textAlignment w:val="auto"/>
        <w:rPr>
          <w:rFonts w:hint="default" w:ascii="Times New Roman" w:hAnsi="Times New Roman" w:eastAsia="宋体" w:cs="Times New Roman"/>
          <w:bCs/>
          <w:color w:val="000000" w:themeColor="text1"/>
          <w:spacing w:val="-2"/>
          <w:sz w:val="24"/>
          <w:szCs w:val="24"/>
        </w:rPr>
      </w:pPr>
      <w:r>
        <w:rPr>
          <w:rFonts w:hint="default" w:ascii="Times New Roman" w:hAnsi="Times New Roman" w:eastAsia="宋体" w:cs="Times New Roman"/>
          <w:bCs/>
          <w:color w:val="000000" w:themeColor="text1"/>
          <w:spacing w:val="-2"/>
          <w:sz w:val="24"/>
          <w:szCs w:val="24"/>
        </w:rPr>
        <w:t>（</w:t>
      </w:r>
      <w:r>
        <w:rPr>
          <w:rFonts w:hint="eastAsia" w:ascii="Times New Roman" w:hAnsi="Times New Roman" w:eastAsia="宋体" w:cs="Times New Roman"/>
          <w:bCs/>
          <w:color w:val="000000" w:themeColor="text1"/>
          <w:spacing w:val="-2"/>
          <w:sz w:val="24"/>
          <w:szCs w:val="24"/>
          <w:lang w:val="en-US" w:eastAsia="zh-CN"/>
        </w:rPr>
        <w:t>4</w:t>
      </w:r>
      <w:r>
        <w:rPr>
          <w:rFonts w:hint="default" w:ascii="Times New Roman" w:hAnsi="Times New Roman" w:eastAsia="宋体" w:cs="Times New Roman"/>
          <w:bCs/>
          <w:color w:val="000000" w:themeColor="text1"/>
          <w:spacing w:val="-2"/>
          <w:sz w:val="24"/>
          <w:szCs w:val="24"/>
        </w:rPr>
        <w:t>）隔水层</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jc w:val="left"/>
        <w:textAlignment w:val="auto"/>
        <w:rPr>
          <w:rFonts w:hint="default" w:ascii="Times New Roman" w:hAnsi="Times New Roman" w:eastAsia="宋体" w:cs="Times New Roman"/>
          <w:bCs/>
          <w:color w:val="000000" w:themeColor="text1"/>
          <w:spacing w:val="-2"/>
          <w:sz w:val="24"/>
          <w:szCs w:val="24"/>
        </w:rPr>
      </w:pPr>
      <w:r>
        <w:rPr>
          <w:rFonts w:hint="default" w:ascii="Times New Roman" w:hAnsi="Times New Roman" w:eastAsia="宋体" w:cs="Times New Roman"/>
          <w:bCs/>
          <w:color w:val="000000" w:themeColor="text1"/>
          <w:spacing w:val="-2"/>
          <w:sz w:val="24"/>
          <w:szCs w:val="24"/>
        </w:rPr>
        <w:t>区内隔水层为震旦系耀岭河群（Zayl）中基性火山碎屑岩、熔岩、绿泥石英片岩、云母石英片岩、钠长斜长片岩及寒武系——志留系（∈-S1m）</w:t>
      </w:r>
      <w:r>
        <w:rPr>
          <w:rFonts w:hint="default" w:ascii="Times New Roman" w:hAnsi="Times New Roman" w:eastAsia="宋体" w:cs="Times New Roman"/>
          <w:bCs/>
          <w:color w:val="000000" w:themeColor="text1"/>
          <w:spacing w:val="-2"/>
          <w:sz w:val="24"/>
          <w:szCs w:val="24"/>
          <w:vertAlign w:val="superscript"/>
        </w:rPr>
        <w:t>a</w:t>
      </w:r>
      <w:r>
        <w:rPr>
          <w:rFonts w:hint="default" w:ascii="Times New Roman" w:hAnsi="Times New Roman" w:eastAsia="宋体" w:cs="Times New Roman"/>
          <w:bCs/>
          <w:color w:val="000000" w:themeColor="text1"/>
          <w:spacing w:val="-2"/>
          <w:sz w:val="24"/>
          <w:szCs w:val="24"/>
        </w:rPr>
        <w:t>炭质片岩硅质岩、绿泥钠长片岩、绢云母石英片岩，在区内大面积分布，其隔水性较好。</w:t>
      </w:r>
    </w:p>
    <w:p>
      <w:pPr>
        <w:keepNext w:val="0"/>
        <w:keepLines w:val="0"/>
        <w:pageBreakBefore w:val="0"/>
        <w:widowControl w:val="0"/>
        <w:kinsoku/>
        <w:wordWrap/>
        <w:overflowPunct/>
        <w:topLinePunct w:val="0"/>
        <w:autoSpaceDE/>
        <w:autoSpaceDN/>
        <w:bidi w:val="0"/>
        <w:adjustRightInd w:val="0"/>
        <w:snapToGrid w:val="0"/>
        <w:spacing w:line="360" w:lineRule="auto"/>
        <w:ind w:firstLine="474" w:firstLineChars="200"/>
        <w:jc w:val="left"/>
        <w:textAlignment w:val="auto"/>
        <w:rPr>
          <w:rFonts w:hint="default" w:ascii="Times New Roman" w:hAnsi="Times New Roman" w:eastAsia="宋体" w:cs="Times New Roman"/>
          <w:b/>
          <w:bCs w:val="0"/>
          <w:color w:val="000000" w:themeColor="text1"/>
          <w:spacing w:val="-2"/>
          <w:sz w:val="24"/>
          <w:szCs w:val="24"/>
        </w:rPr>
      </w:pPr>
      <w:r>
        <w:rPr>
          <w:rFonts w:hint="default" w:ascii="Times New Roman" w:hAnsi="Times New Roman" w:eastAsia="宋体" w:cs="Times New Roman"/>
          <w:b/>
          <w:bCs w:val="0"/>
          <w:color w:val="000000" w:themeColor="text1"/>
          <w:spacing w:val="-2"/>
          <w:sz w:val="24"/>
          <w:szCs w:val="24"/>
        </w:rPr>
        <w:t>2、地下水的埋藏条件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矿区地下水属于潜水埋藏，断裂带附近局部具承压性质。由于地形高差大，岩石赋水性弱，因而地下水水位高程变化大。</w:t>
      </w:r>
    </w:p>
    <w:p>
      <w:pPr>
        <w:keepNext w:val="0"/>
        <w:keepLines w:val="0"/>
        <w:pageBreakBefore w:val="0"/>
        <w:widowControl w:val="0"/>
        <w:kinsoku/>
        <w:wordWrap/>
        <w:overflowPunct/>
        <w:topLinePunct w:val="0"/>
        <w:autoSpaceDE/>
        <w:autoSpaceDN/>
        <w:bidi w:val="0"/>
        <w:adjustRightInd w:val="0"/>
        <w:snapToGrid w:val="0"/>
        <w:spacing w:line="360" w:lineRule="auto"/>
        <w:ind w:firstLine="474" w:firstLineChars="200"/>
        <w:jc w:val="left"/>
        <w:textAlignment w:val="auto"/>
        <w:rPr>
          <w:rFonts w:hint="default" w:ascii="Times New Roman" w:hAnsi="Times New Roman" w:eastAsia="宋体" w:cs="Times New Roman"/>
          <w:b/>
          <w:bCs w:val="0"/>
          <w:color w:val="000000" w:themeColor="text1"/>
          <w:spacing w:val="-2"/>
          <w:sz w:val="24"/>
          <w:szCs w:val="24"/>
        </w:rPr>
      </w:pPr>
      <w:r>
        <w:rPr>
          <w:rFonts w:hint="default" w:ascii="Times New Roman" w:hAnsi="Times New Roman" w:eastAsia="宋体" w:cs="Times New Roman"/>
          <w:b/>
          <w:bCs w:val="0"/>
          <w:color w:val="000000" w:themeColor="text1"/>
          <w:spacing w:val="-2"/>
          <w:sz w:val="24"/>
          <w:szCs w:val="24"/>
        </w:rPr>
        <w:t>3、地下水的补给、径流、排泄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Cs/>
          <w:color w:val="000000" w:themeColor="text1"/>
          <w:sz w:val="24"/>
          <w:szCs w:val="24"/>
        </w:rPr>
        <w:t>矿区地下水的补给、径流、排泄条件受地形地貌影响作用明显。从宏观条件来看，其径流方向基本与地表水水流方向一</w:t>
      </w:r>
      <w:r>
        <w:rPr>
          <w:rFonts w:hint="default" w:ascii="Times New Roman" w:hAnsi="Times New Roman" w:eastAsia="宋体" w:cs="Times New Roman"/>
          <w:color w:val="000000" w:themeColor="text1"/>
          <w:sz w:val="24"/>
          <w:szCs w:val="24"/>
        </w:rPr>
        <w:t>致，地表水分水岭大体上为地下水分水岭，山岭与山坡地带主要为地下水补给径流区，河谷地带主要为排泄区。由分水岭向河谷区地下水位由深变浅，矿区地下水主要受大气降水补给，局部地段受地表水补给。其补给条件与强度又受次一级地貌条件～山地的切割强度、地形坡度、构造特征～断裂构造发育程度、性质，以及地层岩性和风化程度的严格控制。由于矿区地形切割较深、坡降大，有利于自然排水，绝大多数降水以地表径流的形式排出矿区，只有少数渗入地下，矿区补给区和径流区基本是一致的，地下水水力坡度一般在3%~18%之间。</w:t>
      </w:r>
    </w:p>
    <w:tbl>
      <w:tblPr>
        <w:tblStyle w:val="40"/>
        <w:tblW w:w="9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2" w:hRule="atLeast"/>
          <w:jc w:val="center"/>
        </w:trPr>
        <w:tc>
          <w:tcPr>
            <w:tcW w:w="4520" w:type="dxa"/>
          </w:tcPr>
          <w:p>
            <w:pPr>
              <w:pStyle w:val="114"/>
              <w:adjustRightInd/>
              <w:snapToGrid/>
              <w:ind w:firstLine="0" w:firstLineChars="0"/>
              <w:jc w:val="center"/>
              <w:rPr>
                <w:color w:val="000000" w:themeColor="text1"/>
              </w:rPr>
            </w:pPr>
            <w:r>
              <w:rPr>
                <w:color w:val="000000" w:themeColor="text1"/>
              </w:rPr>
              <w:drawing>
                <wp:inline distT="0" distB="0" distL="114300" distR="114300">
                  <wp:extent cx="2732405" cy="2327910"/>
                  <wp:effectExtent l="0" t="0" r="10795" b="1524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39"/>
                          <a:stretch>
                            <a:fillRect/>
                          </a:stretch>
                        </pic:blipFill>
                        <pic:spPr>
                          <a:xfrm>
                            <a:off x="0" y="0"/>
                            <a:ext cx="2732405" cy="2327910"/>
                          </a:xfrm>
                          <a:prstGeom prst="rect">
                            <a:avLst/>
                          </a:prstGeom>
                          <a:noFill/>
                          <a:ln w="9525">
                            <a:noFill/>
                          </a:ln>
                        </pic:spPr>
                      </pic:pic>
                    </a:graphicData>
                  </a:graphic>
                </wp:inline>
              </w:drawing>
            </w:r>
          </w:p>
        </w:tc>
        <w:tc>
          <w:tcPr>
            <w:tcW w:w="4520" w:type="dxa"/>
          </w:tcPr>
          <w:p>
            <w:pPr>
              <w:pStyle w:val="114"/>
              <w:adjustRightInd/>
              <w:snapToGrid/>
              <w:ind w:firstLine="0" w:firstLineChars="0"/>
              <w:jc w:val="center"/>
              <w:rPr>
                <w:color w:val="000000" w:themeColor="text1"/>
              </w:rPr>
            </w:pPr>
            <w:r>
              <w:rPr>
                <w:color w:val="000000" w:themeColor="text1"/>
              </w:rPr>
              <w:drawing>
                <wp:inline distT="0" distB="0" distL="114300" distR="114300">
                  <wp:extent cx="2731135" cy="2322195"/>
                  <wp:effectExtent l="0" t="0" r="12065" b="1905"/>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40"/>
                          <a:stretch>
                            <a:fillRect/>
                          </a:stretch>
                        </pic:blipFill>
                        <pic:spPr>
                          <a:xfrm>
                            <a:off x="0" y="0"/>
                            <a:ext cx="2731135" cy="23221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4520" w:type="dxa"/>
          </w:tcPr>
          <w:p>
            <w:pPr>
              <w:pStyle w:val="114"/>
              <w:adjustRightInd/>
              <w:snapToGrid/>
              <w:spacing w:line="240" w:lineRule="auto"/>
              <w:ind w:firstLine="0" w:firstLineChars="0"/>
              <w:jc w:val="center"/>
              <w:rPr>
                <w:b/>
                <w:color w:val="000000" w:themeColor="text1"/>
                <w:sz w:val="21"/>
                <w:szCs w:val="21"/>
              </w:rPr>
            </w:pPr>
            <w:r>
              <w:rPr>
                <w:b/>
                <w:color w:val="000000" w:themeColor="text1"/>
                <w:sz w:val="21"/>
                <w:szCs w:val="21"/>
              </w:rPr>
              <w:t>泉</w:t>
            </w:r>
          </w:p>
        </w:tc>
        <w:tc>
          <w:tcPr>
            <w:tcW w:w="4520" w:type="dxa"/>
          </w:tcPr>
          <w:p>
            <w:pPr>
              <w:pStyle w:val="114"/>
              <w:adjustRightInd/>
              <w:snapToGrid/>
              <w:spacing w:line="240" w:lineRule="auto"/>
              <w:ind w:firstLine="0" w:firstLineChars="0"/>
              <w:jc w:val="center"/>
              <w:rPr>
                <w:b/>
                <w:color w:val="000000" w:themeColor="text1"/>
                <w:sz w:val="21"/>
                <w:szCs w:val="21"/>
              </w:rPr>
            </w:pPr>
            <w:r>
              <w:rPr>
                <w:b/>
                <w:color w:val="000000" w:themeColor="text1"/>
                <w:sz w:val="21"/>
                <w:szCs w:val="21"/>
              </w:rPr>
              <w:t>泉</w:t>
            </w:r>
          </w:p>
        </w:tc>
      </w:tr>
    </w:tbl>
    <w:p>
      <w:pPr>
        <w:ind w:firstLine="42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图4.1-2  出露泉现场照片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lang w:val="en-US" w:eastAsia="zh-CN"/>
        </w:rPr>
        <w:t>4、</w:t>
      </w:r>
      <w:r>
        <w:rPr>
          <w:rFonts w:hint="default" w:ascii="Times New Roman" w:hAnsi="Times New Roman" w:eastAsia="宋体" w:cs="Times New Roman"/>
          <w:b/>
          <w:bCs/>
          <w:color w:val="000000" w:themeColor="text1"/>
          <w:sz w:val="24"/>
          <w:szCs w:val="24"/>
        </w:rPr>
        <w:t>地下水污染源调查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aps/>
          <w:snapToGrid w:val="0"/>
          <w:color w:val="000000" w:themeColor="text1"/>
          <w:sz w:val="24"/>
          <w:szCs w:val="24"/>
        </w:rPr>
      </w:pPr>
      <w:r>
        <w:rPr>
          <w:rFonts w:hint="default" w:ascii="Times New Roman" w:hAnsi="Times New Roman" w:eastAsia="宋体" w:cs="Times New Roman"/>
          <w:caps/>
          <w:snapToGrid w:val="0"/>
          <w:color w:val="000000" w:themeColor="text1"/>
          <w:sz w:val="24"/>
          <w:szCs w:val="24"/>
        </w:rPr>
        <w:t>本次评价按照《环境影响评价导则 地下水环境》（HJ610-2016）要求对调查评价区内相关污染源进行了调查。根据现状调查，评价区内分布生活、农业污染源。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①农业污染源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调查区内土地相对贫瘠，土壤表层有机质含量较低。区内以一年一熟的农作制度为主，化肥施放量相对较大，农药施放量相对较小。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农药施放方面，农田地施用的农药种类主要有除草剂和杀虫剂，施用方式以喷施为 主，施放量相对较小。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 xml:space="preserve">②生活污染源调查 </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根据调查结果可知，调查评价区内的生活污染源主要为居民排放的生活污废水，各村单户生活污水排放量较小，一般随地泼洒，自然蒸发下渗。</w:t>
      </w:r>
    </w:p>
    <w:p>
      <w:pPr>
        <w:keepNext w:val="0"/>
        <w:keepLines w:val="0"/>
        <w:pageBreakBefore w:val="0"/>
        <w:widowControl w:val="0"/>
        <w:kinsoku/>
        <w:overflowPunct/>
        <w:topLinePunct w:val="0"/>
        <w:autoSpaceDE/>
        <w:autoSpaceDN/>
        <w:bidi w:val="0"/>
        <w:adjustRightInd w:val="0"/>
        <w:snapToGrid w:val="0"/>
        <w:spacing w:line="360" w:lineRule="auto"/>
        <w:ind w:firstLine="482" w:firstLineChars="200"/>
        <w:jc w:val="left"/>
        <w:textAlignment w:val="auto"/>
        <w:outlineLvl w:val="3"/>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4.1.</w:t>
      </w:r>
      <w:r>
        <w:rPr>
          <w:rFonts w:hint="eastAsia" w:ascii="Times New Roman" w:hAnsi="Times New Roman" w:eastAsia="宋体" w:cs="Times New Roman"/>
          <w:b/>
          <w:color w:val="000000" w:themeColor="text1"/>
          <w:sz w:val="24"/>
          <w:szCs w:val="24"/>
          <w:lang w:val="en-US" w:eastAsia="zh-CN"/>
        </w:rPr>
        <w:t>7</w:t>
      </w:r>
      <w:r>
        <w:rPr>
          <w:rFonts w:hint="default" w:ascii="Times New Roman" w:hAnsi="Times New Roman" w:eastAsia="宋体" w:cs="Times New Roman"/>
          <w:b/>
          <w:color w:val="000000" w:themeColor="text1"/>
          <w:sz w:val="24"/>
          <w:szCs w:val="24"/>
        </w:rPr>
        <w:t>.3 项目场地水文地质条件</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（一）地层岩性</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根据现场踏勘和收集资料显示，调查区地层岩性由上至下叙述如下：</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层状中硬～坚硬岩工程地质岩组：主要为寒武系—志留系（∈-S1m）a，分布于矿区中部，岩性为底部炭质片岩夹结晶灰岩，下部硅质岩，中上部绿泥钠长片岩、绢云母石英片岩互层夹结晶灰岩、炭质硅质岩、硅质岩。</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出露地表的岩石抗风化能力较好，遭受风化后强度降低，遇水后岩石强度基本不变。属硬质岩体，软化系数0.75-0.9，岩体基本质量等级分类属于Ⅱ～Ⅲ类。</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（2）层状软岩工程地质岩组：主要为震旦系耀岭河群旦系（Zayl）和梅子垭组（Sm2），分布于矿区大部。</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震旦系耀岭河群旦系（Zayl）：岩性为灰绿—绿色中基性火山碎屑岩、熔岩，灰绿色绿泥石英片岩、云母石英片岩、钠长斜长片岩。在火山碎岩中可见炭质片岩夹层。 </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梅子垭组（Sm2）：绢云石英片岩与石英绢云母片岩互层，夹少量变砂岩</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出露地表的岩石抗风化能力差，遭受风化后强度降低，遇水后岩石强度降低。属软质岩体，软化系数0.75-0.55，岩体基本质量等级分类属于Ⅲ类。</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松散堆积工程岩组：主要由褐黄色冲洪积砂砾石（Q4apl）和残坡积碎石土（Q4del）组成。冲洪积砂砾石层（Q4apl）分布于沟谷之中，砾石多呈次棱角状、亚圆形，由各类板岩、灰岩和石英脉组成，密实度较大，单粒结构，交错层理构造发育，稳定性良好。残坡积碎石土（Q4del）分布于山梁、鞍部、斜坡及其它负地形等宽缓地带，其中碎石发育，棱角分明，土质疏松，压缩性较强，单粒结构，无层理构造，沿下卧基岩倾斜面易产生滑动现象。</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w:t>
      </w:r>
      <w:r>
        <w:rPr>
          <w:rFonts w:hint="eastAsia" w:ascii="Times New Roman" w:hAnsi="Times New Roman" w:eastAsia="宋体" w:cs="Times New Roman"/>
          <w:b/>
          <w:color w:val="000000" w:themeColor="text1"/>
          <w:sz w:val="24"/>
          <w:szCs w:val="24"/>
          <w:lang w:eastAsia="zh-CN"/>
        </w:rPr>
        <w:t>二</w:t>
      </w:r>
      <w:r>
        <w:rPr>
          <w:rFonts w:hint="default" w:ascii="Times New Roman" w:hAnsi="Times New Roman" w:eastAsia="宋体" w:cs="Times New Roman"/>
          <w:b/>
          <w:color w:val="000000" w:themeColor="text1"/>
          <w:sz w:val="24"/>
          <w:szCs w:val="24"/>
        </w:rPr>
        <w:t>）包气带渗透性及防污性能特征</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污染物从地表进入浅层地下水，必然要经过包气带，包气带的防污性能好坏直接影响着地下水污染程度和状况。通过现场渗水试验获得的包气带渗透系数是评价厂区包气带防污性能所需要的重要参数。</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bookmarkStart w:id="293" w:name="_Toc395256611"/>
      <w:bookmarkStart w:id="294" w:name="_Toc17195"/>
      <w:r>
        <w:rPr>
          <w:rFonts w:hint="default" w:ascii="Times New Roman" w:hAnsi="Times New Roman" w:eastAsia="宋体" w:cs="Times New Roman"/>
          <w:color w:val="000000" w:themeColor="text1"/>
          <w:sz w:val="24"/>
          <w:szCs w:val="24"/>
        </w:rPr>
        <w:t>1、试验方法</w:t>
      </w:r>
      <w:bookmarkEnd w:id="293"/>
      <w:bookmarkEnd w:id="294"/>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渗水试验是野外测定包气带非饱和松散岩层渗透系数的常用简易方法，最常用的是试坑法、单环法和双环法。为排除侧向渗透的影响，提高实验结果的精度，本次试验选用双环法。</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双环渗水试验法具体试验步骤为：先除去表土，在坑底嵌入两个高25cm，直径分别为0.50m和0.25m的铁环，且铁环须压入土层5cm以上。试验时同时往内、外铁环内注水，并保持内外环的水柱都保持在同一高度，控制在10cm，水面高度包括环底铺砾厚度。注水水源以秒表计时，人工量杯定量加注的方式。试验装置如图4.1-9所示。</w:t>
      </w:r>
    </w:p>
    <w:p>
      <w:pPr>
        <w:ind w:firstLine="480"/>
        <w:jc w:val="center"/>
        <w:rPr>
          <w:color w:val="000000" w:themeColor="text1"/>
        </w:rPr>
      </w:pPr>
      <w:r>
        <w:rPr>
          <w:color w:val="000000" w:themeColor="text1"/>
        </w:rPr>
        <w:drawing>
          <wp:inline distT="0" distB="0" distL="0" distR="0">
            <wp:extent cx="3550285" cy="2681605"/>
            <wp:effectExtent l="0" t="0" r="1206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cstate="email"/>
                    <a:srcRect/>
                    <a:stretch>
                      <a:fillRect/>
                    </a:stretch>
                  </pic:blipFill>
                  <pic:spPr>
                    <a:xfrm>
                      <a:off x="0" y="0"/>
                      <a:ext cx="3550781" cy="2682098"/>
                    </a:xfrm>
                    <a:prstGeom prst="rect">
                      <a:avLst/>
                    </a:prstGeom>
                    <a:noFill/>
                    <a:ln>
                      <a:noFill/>
                    </a:ln>
                  </pic:spPr>
                </pic:pic>
              </a:graphicData>
            </a:graphic>
          </wp:inline>
        </w:drawing>
      </w:r>
    </w:p>
    <w:p>
      <w:pPr>
        <w:spacing w:beforeLines="50"/>
        <w:ind w:firstLine="42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图4.1-</w:t>
      </w:r>
      <w:r>
        <w:rPr>
          <w:rFonts w:hint="eastAsia" w:ascii="Times New Roman" w:hAnsi="Times New Roman" w:eastAsia="宋体" w:cs="Times New Roman"/>
          <w:b/>
          <w:color w:val="000000" w:themeColor="text1"/>
          <w:sz w:val="21"/>
          <w:szCs w:val="21"/>
          <w:lang w:val="en-US" w:eastAsia="zh-CN"/>
        </w:rPr>
        <w:t>3</w:t>
      </w:r>
      <w:r>
        <w:rPr>
          <w:rFonts w:hint="default" w:ascii="Times New Roman" w:hAnsi="Times New Roman" w:eastAsia="宋体" w:cs="Times New Roman"/>
          <w:b/>
          <w:color w:val="000000" w:themeColor="text1"/>
          <w:sz w:val="21"/>
          <w:szCs w:val="21"/>
        </w:rPr>
        <w:t xml:space="preserve"> 双环渗水试验示意图</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bookmarkStart w:id="295" w:name="_Toc4037"/>
      <w:bookmarkStart w:id="296" w:name="_Toc395256612"/>
      <w:r>
        <w:rPr>
          <w:rFonts w:hint="default" w:ascii="Times New Roman" w:hAnsi="Times New Roman" w:eastAsia="宋体" w:cs="Times New Roman"/>
          <w:color w:val="000000" w:themeColor="text1"/>
          <w:sz w:val="24"/>
          <w:szCs w:val="24"/>
        </w:rPr>
        <w:t>2、试验过程及结果</w:t>
      </w:r>
      <w:bookmarkEnd w:id="295"/>
      <w:bookmarkEnd w:id="296"/>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各点渗水试验结果统计见表4.1-1。</w:t>
      </w:r>
    </w:p>
    <w:p>
      <w:pPr>
        <w:keepNext w:val="0"/>
        <w:keepLines w:val="0"/>
        <w:pageBreakBefore w:val="0"/>
        <w:widowControl w:val="0"/>
        <w:kinsoku/>
        <w:wordWrap/>
        <w:overflowPunct/>
        <w:topLinePunct w:val="0"/>
        <w:autoSpaceDE/>
        <w:autoSpaceDN/>
        <w:bidi w:val="0"/>
        <w:adjustRightInd w:val="0"/>
        <w:snapToGrid w:val="0"/>
        <w:ind w:firstLine="420"/>
        <w:jc w:val="center"/>
        <w:textAlignment w:val="auto"/>
        <w:outlineLvl w:val="9"/>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表4.1-1  渗水试验结果统计表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671"/>
        <w:gridCol w:w="2403"/>
        <w:gridCol w:w="26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281"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编号</w:t>
            </w:r>
          </w:p>
        </w:tc>
        <w:tc>
          <w:tcPr>
            <w:tcW w:w="2671"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土层名称</w:t>
            </w:r>
          </w:p>
        </w:tc>
        <w:tc>
          <w:tcPr>
            <w:tcW w:w="2403"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稳定流量Q（mL/min）</w:t>
            </w:r>
          </w:p>
        </w:tc>
        <w:tc>
          <w:tcPr>
            <w:tcW w:w="2602"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渗透系数（cm/s）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281"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1#</w:t>
            </w:r>
          </w:p>
        </w:tc>
        <w:tc>
          <w:tcPr>
            <w:tcW w:w="2671"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素填土</w:t>
            </w:r>
          </w:p>
        </w:tc>
        <w:tc>
          <w:tcPr>
            <w:tcW w:w="2403"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425</w:t>
            </w:r>
          </w:p>
        </w:tc>
        <w:tc>
          <w:tcPr>
            <w:tcW w:w="2602" w:type="dxa"/>
            <w:tcBorders>
              <w:tl2br w:val="nil"/>
              <w:tr2bl w:val="nil"/>
            </w:tcBorders>
            <w:shd w:val="clear" w:color="auto" w:fill="auto"/>
            <w:vAlign w:val="center"/>
          </w:tcPr>
          <w:p>
            <w:pPr>
              <w:pStyle w:val="115"/>
              <w:adjustRightInd w:val="0"/>
              <w:snapToGrid w:val="0"/>
              <w:spacing w:line="240" w:lineRule="auto"/>
              <w:ind w:left="0" w:leftChars="0" w:right="0" w:rightChars="0"/>
              <w:rPr>
                <w:rFonts w:ascii="Times New Roman"/>
                <w:color w:val="000000" w:themeColor="text1"/>
              </w:rPr>
            </w:pPr>
            <w:r>
              <w:rPr>
                <w:rFonts w:ascii="Times New Roman"/>
                <w:color w:val="000000" w:themeColor="text1"/>
              </w:rPr>
              <w:t>1.44E-4</w:t>
            </w:r>
          </w:p>
        </w:tc>
      </w:tr>
    </w:tbl>
    <w:p>
      <w:pPr>
        <w:keepNext w:val="0"/>
        <w:keepLines w:val="0"/>
        <w:pageBreakBefore w:val="0"/>
        <w:widowControl w:val="0"/>
        <w:kinsoku/>
        <w:wordWrap/>
        <w:overflowPunct/>
        <w:topLinePunct w:val="0"/>
        <w:autoSpaceDE/>
        <w:autoSpaceDN/>
        <w:bidi w:val="0"/>
        <w:adjustRightInd/>
        <w:snapToGrid/>
        <w:ind w:firstLine="420"/>
        <w:jc w:val="center"/>
        <w:textAlignment w:val="auto"/>
        <w:outlineLvl w:val="9"/>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表4.1-2  包气带防污性能</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08"/>
        <w:gridCol w:w="2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10"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分级</w:t>
            </w:r>
          </w:p>
        </w:tc>
        <w:tc>
          <w:tcPr>
            <w:tcW w:w="5608"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包气带岩土的渗透性能</w:t>
            </w:r>
          </w:p>
        </w:tc>
        <w:tc>
          <w:tcPr>
            <w:tcW w:w="2639"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强</w:t>
            </w:r>
          </w:p>
        </w:tc>
        <w:tc>
          <w:tcPr>
            <w:tcW w:w="5608"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Mb≥1.0m，K≤1.0×10</w:t>
            </w:r>
            <w:r>
              <w:rPr>
                <w:rFonts w:hint="default" w:ascii="Times New Roman" w:hAnsi="Times New Roman" w:eastAsia="宋体" w:cs="Times New Roman"/>
                <w:bCs/>
                <w:color w:val="000000" w:themeColor="text1"/>
                <w:sz w:val="21"/>
                <w:szCs w:val="21"/>
                <w:vertAlign w:val="superscript"/>
              </w:rPr>
              <w:t>-6</w:t>
            </w:r>
            <w:r>
              <w:rPr>
                <w:rFonts w:hint="default" w:ascii="Times New Roman" w:hAnsi="Times New Roman" w:eastAsia="宋体" w:cs="Times New Roman"/>
                <w:bCs/>
                <w:color w:val="000000" w:themeColor="text1"/>
                <w:sz w:val="21"/>
                <w:szCs w:val="21"/>
              </w:rPr>
              <w:t>cm/s，且分布连续、稳定</w:t>
            </w:r>
          </w:p>
        </w:tc>
        <w:tc>
          <w:tcPr>
            <w:tcW w:w="2639" w:type="dxa"/>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本项目包气带垂向渗透系数约1.44×10</w:t>
            </w:r>
            <w:r>
              <w:rPr>
                <w:rFonts w:hint="default" w:ascii="Times New Roman" w:hAnsi="Times New Roman" w:eastAsia="宋体" w:cs="Times New Roman"/>
                <w:bCs/>
                <w:color w:val="000000" w:themeColor="text1"/>
                <w:sz w:val="21"/>
                <w:szCs w:val="21"/>
                <w:vertAlign w:val="superscript"/>
              </w:rPr>
              <w:t>-4</w:t>
            </w:r>
            <w:r>
              <w:rPr>
                <w:rFonts w:hint="default" w:ascii="Times New Roman" w:hAnsi="Times New Roman" w:eastAsia="宋体" w:cs="Times New Roman"/>
                <w:bCs/>
                <w:color w:val="000000" w:themeColor="text1"/>
                <w:sz w:val="21"/>
                <w:szCs w:val="21"/>
              </w:rPr>
              <w:t>cm/s≥1.0×10</w:t>
            </w:r>
            <w:r>
              <w:rPr>
                <w:rFonts w:hint="default" w:ascii="Times New Roman" w:hAnsi="Times New Roman" w:eastAsia="宋体" w:cs="Times New Roman"/>
                <w:bCs/>
                <w:color w:val="000000" w:themeColor="text1"/>
                <w:sz w:val="21"/>
                <w:szCs w:val="21"/>
                <w:vertAlign w:val="superscript"/>
              </w:rPr>
              <w:t>-4</w:t>
            </w:r>
            <w:r>
              <w:rPr>
                <w:rFonts w:hint="default" w:ascii="Times New Roman" w:hAnsi="Times New Roman" w:eastAsia="宋体" w:cs="Times New Roman"/>
                <w:bCs/>
                <w:color w:val="000000" w:themeColor="text1"/>
                <w:sz w:val="21"/>
                <w:szCs w:val="21"/>
              </w:rPr>
              <w:t>cm/s，综上判定评价区包气带防污性能为</w:t>
            </w:r>
            <w:r>
              <w:rPr>
                <w:rFonts w:hint="eastAsia" w:ascii="Times New Roman" w:hAnsi="Times New Roman" w:eastAsia="宋体"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弱</w:t>
            </w:r>
            <w:r>
              <w:rPr>
                <w:rFonts w:hint="eastAsia" w:ascii="Times New Roman" w:hAnsi="Times New Roman" w:eastAsia="宋体" w:cs="Times New Roman"/>
                <w:bCs/>
                <w:color w:val="000000" w:themeColor="text1"/>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中</w:t>
            </w:r>
          </w:p>
        </w:tc>
        <w:tc>
          <w:tcPr>
            <w:tcW w:w="5608"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0.5m≤Mb&lt;1.0m，K≤1.0×10</w:t>
            </w:r>
            <w:r>
              <w:rPr>
                <w:rFonts w:hint="default" w:ascii="Times New Roman" w:hAnsi="Times New Roman" w:eastAsia="宋体" w:cs="Times New Roman"/>
                <w:bCs/>
                <w:color w:val="000000" w:themeColor="text1"/>
                <w:sz w:val="21"/>
                <w:szCs w:val="21"/>
                <w:vertAlign w:val="superscript"/>
              </w:rPr>
              <w:t>-6</w:t>
            </w:r>
            <w:r>
              <w:rPr>
                <w:rFonts w:hint="default" w:ascii="Times New Roman" w:hAnsi="Times New Roman" w:eastAsia="宋体" w:cs="Times New Roman"/>
                <w:bCs/>
                <w:color w:val="000000" w:themeColor="text1"/>
                <w:sz w:val="21"/>
                <w:szCs w:val="21"/>
              </w:rPr>
              <w:t>cm/s，且分布连续、稳定</w:t>
            </w:r>
          </w:p>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Mb≥1.0m，1.0×10</w:t>
            </w:r>
            <w:r>
              <w:rPr>
                <w:rFonts w:hint="default" w:ascii="Times New Roman" w:hAnsi="Times New Roman" w:eastAsia="宋体" w:cs="Times New Roman"/>
                <w:bCs/>
                <w:color w:val="000000" w:themeColor="text1"/>
                <w:sz w:val="21"/>
                <w:szCs w:val="21"/>
                <w:vertAlign w:val="superscript"/>
              </w:rPr>
              <w:t>-6</w:t>
            </w:r>
            <w:r>
              <w:rPr>
                <w:rFonts w:hint="default" w:ascii="Times New Roman" w:hAnsi="Times New Roman" w:eastAsia="宋体" w:cs="Times New Roman"/>
                <w:bCs/>
                <w:color w:val="000000" w:themeColor="text1"/>
                <w:sz w:val="21"/>
                <w:szCs w:val="21"/>
              </w:rPr>
              <w:t>cm/s&lt;K≤1.0×10</w:t>
            </w:r>
            <w:r>
              <w:rPr>
                <w:rFonts w:hint="default" w:ascii="Times New Roman" w:hAnsi="Times New Roman" w:eastAsia="宋体" w:cs="Times New Roman"/>
                <w:bCs/>
                <w:color w:val="000000" w:themeColor="text1"/>
                <w:sz w:val="21"/>
                <w:szCs w:val="21"/>
                <w:vertAlign w:val="superscript"/>
              </w:rPr>
              <w:t>-4</w:t>
            </w:r>
            <w:r>
              <w:rPr>
                <w:rFonts w:hint="default" w:ascii="Times New Roman" w:hAnsi="Times New Roman" w:eastAsia="宋体" w:cs="Times New Roman"/>
                <w:bCs/>
                <w:color w:val="000000" w:themeColor="text1"/>
                <w:sz w:val="21"/>
                <w:szCs w:val="21"/>
              </w:rPr>
              <w:t>cm/s，且分布连续、稳定</w:t>
            </w:r>
          </w:p>
        </w:tc>
        <w:tc>
          <w:tcPr>
            <w:tcW w:w="2639" w:type="dxa"/>
            <w:vMerge w:val="continue"/>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710"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弱</w:t>
            </w:r>
          </w:p>
        </w:tc>
        <w:tc>
          <w:tcPr>
            <w:tcW w:w="5608"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岩（土）层不满足上述“强”和“中”条件</w:t>
            </w:r>
          </w:p>
        </w:tc>
        <w:tc>
          <w:tcPr>
            <w:tcW w:w="2639" w:type="dxa"/>
            <w:vMerge w:val="continue"/>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8" w:type="dxa"/>
            <w:gridSpan w:val="2"/>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Mb：岩土层单层厚度。</w:t>
            </w:r>
          </w:p>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K：渗透系数。</w:t>
            </w:r>
          </w:p>
        </w:tc>
        <w:tc>
          <w:tcPr>
            <w:tcW w:w="2639" w:type="dxa"/>
            <w:vMerge w:val="continue"/>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p>
        </w:tc>
      </w:tr>
    </w:tbl>
    <w:p>
      <w:pPr>
        <w:pStyle w:val="5"/>
        <w:rPr>
          <w:rFonts w:hint="default"/>
          <w:color w:val="000000" w:themeColor="text1"/>
        </w:rPr>
      </w:pPr>
      <w:bookmarkStart w:id="297" w:name="_Toc5062"/>
      <w:r>
        <w:rPr>
          <w:rFonts w:hint="default"/>
          <w:color w:val="000000" w:themeColor="text1"/>
        </w:rPr>
        <w:t>气候气象</w:t>
      </w:r>
      <w:bookmarkEnd w:id="29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ascii="方正姚体" w:hAnsi="宋体" w:eastAsia="方正姚体"/>
          <w:color w:val="000000" w:themeColor="text1"/>
          <w:szCs w:val="21"/>
        </w:rPr>
      </w:pPr>
      <w:r>
        <w:rPr>
          <w:rFonts w:hint="default" w:ascii="Times New Roman" w:hAnsi="Times New Roman" w:eastAsia="宋体" w:cs="Times New Roman"/>
          <w:color w:val="000000" w:themeColor="text1"/>
          <w:sz w:val="24"/>
          <w:szCs w:val="24"/>
        </w:rPr>
        <w:t>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地处北亚热带湿润气候区，具有四季分明，冬夏长，春秋短，雨热同季，垂直差异大等特点。年均气温15.4℃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极端最高气温41.5℃。极端最低气温-10.0℃。旬阳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年均降水量890.3mm</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最高1075.3mm，最低760.5mm。降水空间分布是由北部向南递减（图2-1）。</w:t>
      </w:r>
      <w:r>
        <w:rPr>
          <w:color w:val="000000" w:themeColor="text1"/>
        </w:rPr>
        <w:drawing>
          <wp:inline distT="0" distB="0" distL="0" distR="0">
            <wp:extent cx="5629275" cy="6962775"/>
            <wp:effectExtent l="0" t="0" r="9525" b="9525"/>
            <wp:docPr id="35" name="图片 35" descr="8881副本1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881副本11副本"/>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629275" cy="6962775"/>
                    </a:xfrm>
                    <a:prstGeom prst="rect">
                      <a:avLst/>
                    </a:prstGeom>
                    <a:noFill/>
                    <a:ln>
                      <a:noFill/>
                    </a:ln>
                  </pic:spPr>
                </pic:pic>
              </a:graphicData>
            </a:graphic>
          </wp:inline>
        </w:drawing>
      </w:r>
    </w:p>
    <w:p>
      <w:pPr>
        <w:pStyle w:val="25"/>
        <w:spacing w:before="240" w:after="12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图4.1-4  陕西省旬阳</w:t>
      </w:r>
      <w:r>
        <w:rPr>
          <w:rFonts w:hint="eastAsia" w:ascii="Times New Roman" w:hAnsi="Times New Roman" w:eastAsia="宋体" w:cs="Times New Roman"/>
          <w:b/>
          <w:bCs w:val="0"/>
          <w:color w:val="000000" w:themeColor="text1"/>
          <w:sz w:val="21"/>
          <w:szCs w:val="21"/>
          <w:lang w:eastAsia="zh-CN"/>
        </w:rPr>
        <w:t>市</w:t>
      </w:r>
      <w:r>
        <w:rPr>
          <w:rFonts w:hint="default" w:ascii="Times New Roman" w:hAnsi="Times New Roman" w:eastAsia="宋体" w:cs="Times New Roman"/>
          <w:b/>
          <w:bCs w:val="0"/>
          <w:color w:val="000000" w:themeColor="text1"/>
          <w:sz w:val="21"/>
          <w:szCs w:val="21"/>
        </w:rPr>
        <w:t>降雨量分布图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年内降水的季节性变化也极为明显，年内降水量呈明显的驼峰型，分布极为不均。夏秋两季降水量806mm，占全年降水量的80.42%，降水量最多的月份在7月和9月，分别为145.3mm和136.4mm。该季节是防汛的重要时段，也是崩塌、滑坡、泥石流等地质灾害高发期。旬阳</w:t>
      </w:r>
      <w:r>
        <w:rPr>
          <w:rFonts w:hint="eastAsia" w:ascii="Times New Roman" w:hAnsi="Times New Roman" w:eastAsia="宋体" w:cs="Times New Roman"/>
          <w:color w:val="000000" w:themeColor="text1"/>
          <w:sz w:val="24"/>
          <w:szCs w:val="24"/>
          <w:lang w:eastAsia="zh-CN"/>
        </w:rPr>
        <w:t>市</w:t>
      </w:r>
      <w:r>
        <w:rPr>
          <w:rFonts w:hint="default" w:ascii="Times New Roman" w:hAnsi="Times New Roman" w:eastAsia="宋体" w:cs="Times New Roman"/>
          <w:color w:val="000000" w:themeColor="text1"/>
          <w:sz w:val="24"/>
          <w:szCs w:val="24"/>
        </w:rPr>
        <w:t>与地质灾害关系密切的暴雨与连阴雨，连阴雨一般出现在4-10月，9～10最为集中，最长降雨天数15天。</w:t>
      </w:r>
    </w:p>
    <w:p>
      <w:pPr>
        <w:pStyle w:val="5"/>
        <w:rPr>
          <w:rFonts w:hint="default"/>
          <w:color w:val="000000" w:themeColor="text1"/>
        </w:rPr>
      </w:pPr>
      <w:bookmarkStart w:id="298" w:name="_Toc4861"/>
      <w:r>
        <w:rPr>
          <w:rFonts w:hint="default"/>
          <w:color w:val="000000" w:themeColor="text1"/>
        </w:rPr>
        <w:t>河流水文</w:t>
      </w:r>
      <w:bookmarkEnd w:id="298"/>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Ansi="宋体"/>
          <w:color w:val="000000" w:themeColor="text1"/>
          <w:sz w:val="24"/>
          <w:szCs w:val="24"/>
        </w:rPr>
      </w:pPr>
      <w:r>
        <w:rPr>
          <w:rFonts w:hint="default" w:ascii="Times New Roman" w:hAnsi="Times New Roman" w:eastAsia="宋体" w:cs="Times New Roman"/>
          <w:color w:val="000000" w:themeColor="text1"/>
          <w:sz w:val="24"/>
          <w:szCs w:val="24"/>
        </w:rPr>
        <w:t>矿区位于流构皮沟一带，主要的地表水体为构皮沟、石门沟，沟谷呈</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V</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字形沟谷，矿区范围内沟道长度在800-1600m不等，汇水面积在0.6～2.0km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rPr>
        <w:t>之间。沟谷两侧斜坡坡角35～50°不等，坡面植被以灌木和乔木为主，植被覆盖率达90%以上。构皮沟、石门沟均属长年流水沟谷，纵坡降10.5％～17.0%，正常流量0.3～2.6L/s，流速0.30～0.45m/s，遇暴雨流量及流速激增，暴雨后流量、流速则迅速衰减，构皮沟、石门沟从矿区西部自西向东流过。区内其他次级水系多为季节性流水沟谷。</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Ansi="宋体"/>
          <w:color w:val="000000" w:themeColor="text1"/>
          <w:sz w:val="24"/>
          <w:szCs w:val="24"/>
        </w:rPr>
      </w:pPr>
      <w:r>
        <w:rPr>
          <w:rFonts w:hint="eastAsia" w:ascii="宋体" w:hAnsi="宋体"/>
          <w:color w:val="000000" w:themeColor="text1"/>
          <w:sz w:val="24"/>
          <w:szCs w:val="24"/>
        </w:rPr>
        <w:t>构皮沟两侧支沟多为季节性溪流，地表水系水量随大气降水而发生变化，地下水主要靠大气降水补给，其次是地表径流的渗入补给，地下水经含水层、断裂带的渗流在沟谷切割较深处排泄补给地表水。</w:t>
      </w:r>
    </w:p>
    <w:p>
      <w:pPr>
        <w:pStyle w:val="4"/>
        <w:rPr>
          <w:rFonts w:hint="eastAsia"/>
          <w:color w:val="000000" w:themeColor="text1"/>
          <w:lang w:val="en-US" w:eastAsia="zh-CN"/>
        </w:rPr>
      </w:pPr>
      <w:bookmarkStart w:id="299" w:name="_Toc24414"/>
      <w:bookmarkStart w:id="300" w:name="_Toc500255752"/>
      <w:bookmarkStart w:id="301" w:name="_Toc18247"/>
      <w:r>
        <w:rPr>
          <w:rFonts w:hint="eastAsia"/>
          <w:color w:val="000000" w:themeColor="text1"/>
          <w:lang w:val="en-US" w:eastAsia="zh-CN"/>
        </w:rPr>
        <w:t>环境质量现状与评价</w:t>
      </w:r>
      <w:bookmarkEnd w:id="299"/>
    </w:p>
    <w:p>
      <w:pPr>
        <w:pStyle w:val="5"/>
        <w:rPr>
          <w:rFonts w:hint="eastAsia"/>
          <w:color w:val="000000" w:themeColor="text1"/>
          <w:lang w:val="en-US" w:eastAsia="zh-CN"/>
        </w:rPr>
      </w:pPr>
      <w:bookmarkStart w:id="302" w:name="_Toc30047"/>
      <w:r>
        <w:rPr>
          <w:rFonts w:hint="eastAsia"/>
          <w:color w:val="000000" w:themeColor="text1"/>
          <w:lang w:val="en-US" w:eastAsia="zh-CN"/>
        </w:rPr>
        <w:t>环境空气现状与评价</w:t>
      </w:r>
      <w:bookmarkEnd w:id="302"/>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ind w:leftChars="0" w:firstLine="482" w:firstLineChars="200"/>
        <w:textAlignment w:val="auto"/>
        <w:outlineLvl w:val="1"/>
        <w:rPr>
          <w:rFonts w:hint="eastAsia" w:eastAsia="宋体"/>
          <w:color w:val="000000" w:themeColor="text1"/>
          <w:sz w:val="24"/>
          <w:szCs w:val="24"/>
          <w:lang w:val="en-US" w:eastAsia="zh-CN"/>
        </w:rPr>
      </w:pPr>
      <w:bookmarkStart w:id="303" w:name="_Toc30308"/>
      <w:r>
        <w:rPr>
          <w:rFonts w:hint="eastAsia"/>
          <w:color w:val="000000" w:themeColor="text1"/>
          <w:sz w:val="24"/>
          <w:szCs w:val="24"/>
          <w:lang w:val="en-US" w:eastAsia="zh-CN"/>
        </w:rPr>
        <w:t>4.2.1.1  区域环境空气质量</w:t>
      </w:r>
      <w:bookmarkEnd w:id="3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44"/>
          <w:sz w:val="24"/>
          <w:szCs w:val="24"/>
        </w:rPr>
      </w:pPr>
      <w:r>
        <w:rPr>
          <w:rFonts w:hint="default" w:ascii="Times New Roman" w:hAnsi="Times New Roman" w:eastAsia="宋体" w:cs="Times New Roman"/>
          <w:bCs/>
          <w:color w:val="000000" w:themeColor="text1"/>
          <w:kern w:val="44"/>
          <w:sz w:val="24"/>
          <w:szCs w:val="24"/>
        </w:rPr>
        <w:t>根据陕西省生态环境厅办公室发布的全省环境质量状况，20</w:t>
      </w:r>
      <w:r>
        <w:rPr>
          <w:rFonts w:hint="default" w:ascii="Times New Roman" w:hAnsi="Times New Roman" w:eastAsia="宋体" w:cs="Times New Roman"/>
          <w:bCs/>
          <w:color w:val="000000" w:themeColor="text1"/>
          <w:kern w:val="44"/>
          <w:sz w:val="24"/>
          <w:szCs w:val="24"/>
          <w:lang w:val="en-US" w:eastAsia="zh-CN"/>
        </w:rPr>
        <w:t>2</w:t>
      </w:r>
      <w:r>
        <w:rPr>
          <w:rFonts w:hint="eastAsia" w:ascii="Times New Roman" w:hAnsi="Times New Roman" w:eastAsia="宋体" w:cs="Times New Roman"/>
          <w:bCs/>
          <w:color w:val="000000" w:themeColor="text1"/>
          <w:kern w:val="44"/>
          <w:sz w:val="24"/>
          <w:szCs w:val="24"/>
          <w:lang w:val="en-US" w:eastAsia="zh-CN"/>
        </w:rPr>
        <w:t>1</w:t>
      </w:r>
      <w:r>
        <w:rPr>
          <w:rFonts w:hint="default" w:ascii="Times New Roman" w:hAnsi="Times New Roman" w:eastAsia="宋体" w:cs="Times New Roman"/>
          <w:bCs/>
          <w:color w:val="000000" w:themeColor="text1"/>
          <w:kern w:val="44"/>
          <w:sz w:val="24"/>
          <w:szCs w:val="24"/>
        </w:rPr>
        <w:t>年旬阳</w:t>
      </w:r>
      <w:r>
        <w:rPr>
          <w:rFonts w:hint="eastAsia" w:ascii="Times New Roman" w:hAnsi="Times New Roman" w:eastAsia="宋体" w:cs="Times New Roman"/>
          <w:bCs/>
          <w:color w:val="000000" w:themeColor="text1"/>
          <w:kern w:val="44"/>
          <w:sz w:val="24"/>
          <w:szCs w:val="24"/>
          <w:lang w:eastAsia="zh-CN"/>
        </w:rPr>
        <w:t>市</w:t>
      </w:r>
      <w:r>
        <w:rPr>
          <w:rFonts w:hint="default" w:ascii="Times New Roman" w:hAnsi="Times New Roman" w:eastAsia="宋体" w:cs="Times New Roman"/>
          <w:bCs/>
          <w:color w:val="000000" w:themeColor="text1"/>
          <w:kern w:val="44"/>
          <w:sz w:val="24"/>
          <w:szCs w:val="24"/>
        </w:rPr>
        <w:t>环境空气质量达到优良以上的天数为</w:t>
      </w:r>
      <w:r>
        <w:rPr>
          <w:rFonts w:hint="eastAsia" w:ascii="Times New Roman" w:hAnsi="Times New Roman" w:eastAsia="宋体" w:cs="Times New Roman"/>
          <w:bCs/>
          <w:color w:val="000000" w:themeColor="text1"/>
          <w:kern w:val="44"/>
          <w:sz w:val="24"/>
          <w:szCs w:val="24"/>
          <w:lang w:val="en-US" w:eastAsia="zh-CN"/>
        </w:rPr>
        <w:t>345</w:t>
      </w:r>
      <w:r>
        <w:rPr>
          <w:rFonts w:hint="default" w:ascii="Times New Roman" w:hAnsi="Times New Roman" w:eastAsia="宋体" w:cs="Times New Roman"/>
          <w:bCs/>
          <w:color w:val="000000" w:themeColor="text1"/>
          <w:kern w:val="44"/>
          <w:sz w:val="24"/>
          <w:szCs w:val="24"/>
        </w:rPr>
        <w:t>天。各评价因子年平均浓度、标准及达标判定结果见下表：</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表4.2-1 区域空气质量现状评价表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423"/>
        <w:gridCol w:w="1316"/>
        <w:gridCol w:w="2623"/>
        <w:gridCol w:w="1057"/>
        <w:gridCol w:w="14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w:t>
            </w:r>
          </w:p>
        </w:tc>
        <w:tc>
          <w:tcPr>
            <w:tcW w:w="14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年评价指标</w:t>
            </w: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现状浓度</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（μg/m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评价标准（μg/m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占标率%</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SO</w:t>
            </w:r>
            <w:r>
              <w:rPr>
                <w:rFonts w:hint="default" w:ascii="Times New Roman" w:hAnsi="Times New Roman" w:eastAsia="宋体" w:cs="Times New Roman"/>
                <w:color w:val="000000" w:themeColor="text1"/>
                <w:sz w:val="21"/>
                <w:szCs w:val="21"/>
                <w:vertAlign w:val="subscript"/>
              </w:rPr>
              <w:t>2</w:t>
            </w:r>
          </w:p>
        </w:tc>
        <w:tc>
          <w:tcPr>
            <w:tcW w:w="1423" w:type="dxa"/>
            <w:vMerge w:val="restart"/>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年平均质量浓度</w:t>
            </w: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7</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11.7</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NO</w:t>
            </w:r>
            <w:r>
              <w:rPr>
                <w:rFonts w:hint="default" w:ascii="Times New Roman" w:hAnsi="Times New Roman" w:eastAsia="宋体" w:cs="Times New Roman"/>
                <w:color w:val="000000" w:themeColor="text1"/>
                <w:sz w:val="21"/>
                <w:szCs w:val="21"/>
                <w:vertAlign w:val="subscript"/>
              </w:rPr>
              <w:t>2</w:t>
            </w:r>
          </w:p>
        </w:tc>
        <w:tc>
          <w:tcPr>
            <w:tcW w:w="1423" w:type="dxa"/>
            <w:vMerge w:val="continue"/>
            <w:shd w:val="clear" w:color="auto" w:fill="auto"/>
            <w:vAlign w:val="center"/>
          </w:tcPr>
          <w:p>
            <w:pPr>
              <w:pStyle w:val="42"/>
              <w:rPr>
                <w:rFonts w:hint="default" w:ascii="Times New Roman" w:hAnsi="Times New Roman" w:eastAsia="宋体" w:cs="Times New Roman"/>
                <w:color w:val="000000" w:themeColor="text1"/>
                <w:sz w:val="21"/>
                <w:szCs w:val="21"/>
              </w:rPr>
            </w:pP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37.5</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PM</w:t>
            </w:r>
            <w:r>
              <w:rPr>
                <w:rFonts w:hint="default" w:ascii="Times New Roman" w:hAnsi="Times New Roman" w:eastAsia="宋体" w:cs="Times New Roman"/>
                <w:color w:val="000000" w:themeColor="text1"/>
                <w:sz w:val="21"/>
                <w:szCs w:val="21"/>
                <w:vertAlign w:val="subscript"/>
              </w:rPr>
              <w:t>10</w:t>
            </w:r>
          </w:p>
        </w:tc>
        <w:tc>
          <w:tcPr>
            <w:tcW w:w="1423" w:type="dxa"/>
            <w:vMerge w:val="continue"/>
            <w:shd w:val="clear" w:color="auto" w:fill="auto"/>
            <w:vAlign w:val="center"/>
          </w:tcPr>
          <w:p>
            <w:pPr>
              <w:pStyle w:val="42"/>
              <w:rPr>
                <w:rFonts w:hint="default" w:ascii="Times New Roman" w:hAnsi="Times New Roman" w:eastAsia="宋体" w:cs="Times New Roman"/>
                <w:color w:val="000000" w:themeColor="text1"/>
                <w:sz w:val="21"/>
                <w:szCs w:val="21"/>
              </w:rPr>
            </w:pP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64.3</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PM</w:t>
            </w:r>
            <w:r>
              <w:rPr>
                <w:rFonts w:hint="default" w:ascii="Times New Roman" w:hAnsi="Times New Roman" w:eastAsia="宋体" w:cs="Times New Roman"/>
                <w:color w:val="000000" w:themeColor="text1"/>
                <w:sz w:val="21"/>
                <w:szCs w:val="21"/>
                <w:vertAlign w:val="subscript"/>
              </w:rPr>
              <w:t>2.5</w:t>
            </w:r>
          </w:p>
        </w:tc>
        <w:tc>
          <w:tcPr>
            <w:tcW w:w="1423" w:type="dxa"/>
            <w:vMerge w:val="continue"/>
            <w:shd w:val="clear" w:color="auto" w:fill="auto"/>
            <w:vAlign w:val="center"/>
          </w:tcPr>
          <w:p>
            <w:pPr>
              <w:pStyle w:val="42"/>
              <w:rPr>
                <w:rFonts w:hint="default" w:ascii="Times New Roman" w:hAnsi="Times New Roman" w:eastAsia="宋体" w:cs="Times New Roman"/>
                <w:color w:val="000000" w:themeColor="text1"/>
                <w:sz w:val="21"/>
                <w:szCs w:val="21"/>
              </w:rPr>
            </w:pP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27</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77.1</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达</w:t>
            </w:r>
            <w:r>
              <w:rPr>
                <w:rFonts w:hint="default" w:ascii="Times New Roman" w:hAnsi="Times New Roman" w:eastAsia="宋体" w:cs="Times New Roman"/>
                <w:color w:val="000000" w:themeColor="text1"/>
                <w:sz w:val="21"/>
                <w:szCs w:val="21"/>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CO</w:t>
            </w:r>
          </w:p>
        </w:tc>
        <w:tc>
          <w:tcPr>
            <w:tcW w:w="1423" w:type="dxa"/>
            <w:vMerge w:val="continue"/>
            <w:shd w:val="clear" w:color="auto" w:fill="auto"/>
            <w:vAlign w:val="center"/>
          </w:tcPr>
          <w:p>
            <w:pPr>
              <w:pStyle w:val="42"/>
              <w:rPr>
                <w:rFonts w:hint="default" w:ascii="Times New Roman" w:hAnsi="Times New Roman" w:eastAsia="宋体" w:cs="Times New Roman"/>
                <w:color w:val="000000" w:themeColor="text1"/>
                <w:sz w:val="21"/>
                <w:szCs w:val="21"/>
              </w:rPr>
            </w:pP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0.9</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（24小时平均）</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22.5</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6" w:type="dxa"/>
            <w:shd w:val="clear" w:color="auto" w:fill="auto"/>
            <w:vAlign w:val="center"/>
          </w:tcPr>
          <w:p>
            <w:pPr>
              <w:pStyle w:val="42"/>
              <w:rPr>
                <w:rFonts w:hint="default" w:ascii="Times New Roman" w:hAnsi="Times New Roman" w:eastAsia="宋体" w:cs="Times New Roman"/>
                <w:color w:val="000000" w:themeColor="text1"/>
                <w:sz w:val="21"/>
                <w:szCs w:val="21"/>
                <w:vertAlign w:val="subscript"/>
              </w:rPr>
            </w:pPr>
            <w:r>
              <w:rPr>
                <w:rFonts w:hint="default" w:ascii="Times New Roman" w:hAnsi="Times New Roman" w:eastAsia="宋体" w:cs="Times New Roman"/>
                <w:color w:val="000000" w:themeColor="text1"/>
                <w:sz w:val="21"/>
                <w:szCs w:val="21"/>
              </w:rPr>
              <w:t>O</w:t>
            </w:r>
            <w:r>
              <w:rPr>
                <w:rFonts w:hint="default" w:ascii="Times New Roman" w:hAnsi="Times New Roman" w:eastAsia="宋体" w:cs="Times New Roman"/>
                <w:color w:val="000000" w:themeColor="text1"/>
                <w:sz w:val="21"/>
                <w:szCs w:val="21"/>
                <w:vertAlign w:val="subscript"/>
              </w:rPr>
              <w:t>3</w:t>
            </w:r>
          </w:p>
        </w:tc>
        <w:tc>
          <w:tcPr>
            <w:tcW w:w="1423" w:type="dxa"/>
            <w:vMerge w:val="continue"/>
            <w:shd w:val="clear" w:color="auto" w:fill="auto"/>
            <w:vAlign w:val="center"/>
          </w:tcPr>
          <w:p>
            <w:pPr>
              <w:pStyle w:val="42"/>
              <w:rPr>
                <w:rFonts w:hint="default" w:ascii="Times New Roman" w:hAnsi="Times New Roman" w:eastAsia="宋体" w:cs="Times New Roman"/>
                <w:color w:val="000000" w:themeColor="text1"/>
                <w:sz w:val="21"/>
                <w:szCs w:val="21"/>
              </w:rPr>
            </w:pPr>
          </w:p>
        </w:tc>
        <w:tc>
          <w:tcPr>
            <w:tcW w:w="1316"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110</w:t>
            </w:r>
          </w:p>
        </w:tc>
        <w:tc>
          <w:tcPr>
            <w:tcW w:w="2623"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160ug/m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（日最大8小时平均）</w:t>
            </w:r>
          </w:p>
        </w:tc>
        <w:tc>
          <w:tcPr>
            <w:tcW w:w="1057" w:type="dxa"/>
            <w:shd w:val="clear" w:color="auto" w:fill="auto"/>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68.8</w:t>
            </w:r>
          </w:p>
        </w:tc>
        <w:tc>
          <w:tcPr>
            <w:tcW w:w="1422" w:type="dxa"/>
            <w:shd w:val="clear" w:color="auto" w:fill="auto"/>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line="360" w:lineRule="auto"/>
        <w:ind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评价区域</w:t>
      </w:r>
      <w:r>
        <w:rPr>
          <w:rFonts w:hint="default" w:ascii="Times New Roman" w:hAnsi="Times New Roman" w:eastAsia="宋体" w:cs="Times New Roman"/>
          <w:b w:val="0"/>
          <w:bCs w:val="0"/>
          <w:color w:val="000000" w:themeColor="text1"/>
          <w:sz w:val="24"/>
          <w:szCs w:val="24"/>
          <w:lang w:eastAsia="zh-CN"/>
        </w:rPr>
        <w:t>各因子均</w:t>
      </w:r>
      <w:r>
        <w:rPr>
          <w:rFonts w:hint="default" w:ascii="Times New Roman" w:hAnsi="Times New Roman" w:eastAsia="宋体" w:cs="Times New Roman"/>
          <w:b w:val="0"/>
          <w:bCs w:val="0"/>
          <w:color w:val="000000" w:themeColor="text1"/>
          <w:sz w:val="24"/>
          <w:szCs w:val="24"/>
        </w:rPr>
        <w:t>满足</w:t>
      </w:r>
      <w:r>
        <w:rPr>
          <w:rFonts w:hint="default" w:ascii="Times New Roman" w:hAnsi="Times New Roman" w:eastAsia="宋体" w:cs="Times New Roman"/>
          <w:b w:val="0"/>
          <w:bCs w:val="0"/>
          <w:color w:val="000000" w:themeColor="text1"/>
          <w:kern w:val="44"/>
          <w:sz w:val="24"/>
          <w:szCs w:val="24"/>
        </w:rPr>
        <w:t>《环境空气质量标准》（GB3095-2012）的二级标准要求，属于达标区。</w:t>
      </w:r>
    </w:p>
    <w:bookmarkEnd w:id="300"/>
    <w:bookmarkEnd w:id="301"/>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lang w:eastAsia="zh-CN"/>
        </w:rPr>
      </w:pPr>
      <w:r>
        <w:rPr>
          <w:rFonts w:hint="eastAsia" w:ascii="Times New Roman" w:hAnsi="Times New Roman" w:eastAsia="宋体" w:cs="Times New Roman"/>
          <w:b/>
          <w:bCs/>
          <w:color w:val="000000" w:themeColor="text1"/>
          <w:sz w:val="24"/>
          <w:szCs w:val="24"/>
          <w:lang w:val="en-US" w:eastAsia="zh-CN"/>
        </w:rPr>
        <w:t>4.2.1.2</w:t>
      </w:r>
      <w:r>
        <w:rPr>
          <w:rFonts w:hint="default" w:ascii="Times New Roman" w:hAnsi="Times New Roman" w:eastAsia="宋体" w:cs="Times New Roman"/>
          <w:b/>
          <w:bCs/>
          <w:color w:val="000000" w:themeColor="text1"/>
          <w:sz w:val="24"/>
          <w:szCs w:val="24"/>
          <w:lang w:val="en-US" w:eastAsia="zh-CN"/>
        </w:rPr>
        <w:t xml:space="preserve"> </w:t>
      </w:r>
      <w:r>
        <w:rPr>
          <w:rFonts w:hint="default" w:ascii="Times New Roman" w:hAnsi="Times New Roman" w:eastAsia="宋体" w:cs="Times New Roman"/>
          <w:b/>
          <w:bCs/>
          <w:color w:val="000000" w:themeColor="text1"/>
          <w:sz w:val="24"/>
          <w:szCs w:val="24"/>
          <w:lang w:eastAsia="zh-CN"/>
        </w:rPr>
        <w:t>补充监测</w:t>
      </w:r>
    </w:p>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1</w:t>
      </w:r>
      <w:r>
        <w:rPr>
          <w:rFonts w:hint="default" w:ascii="Times New Roman" w:hAnsi="Times New Roman" w:eastAsia="宋体" w:cs="Times New Roman"/>
          <w:b/>
          <w:bCs/>
          <w:color w:val="000000" w:themeColor="text1"/>
          <w:sz w:val="24"/>
          <w:szCs w:val="24"/>
          <w:lang w:eastAsia="zh-CN"/>
        </w:rPr>
        <w:t>）监测点位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本次空气环境质量现状委托陕西</w:t>
      </w:r>
      <w:r>
        <w:rPr>
          <w:rFonts w:hint="eastAsia" w:ascii="Times New Roman" w:hAnsi="Times New Roman" w:eastAsia="宋体" w:cs="Times New Roman"/>
          <w:color w:val="000000" w:themeColor="text1"/>
          <w:sz w:val="24"/>
          <w:szCs w:val="24"/>
          <w:lang w:eastAsia="zh-CN"/>
        </w:rPr>
        <w:t>速跑环境检测技术研究有限公司</w:t>
      </w:r>
      <w:r>
        <w:rPr>
          <w:rFonts w:hint="default" w:ascii="Times New Roman" w:hAnsi="Times New Roman" w:eastAsia="宋体" w:cs="Times New Roman"/>
          <w:color w:val="000000" w:themeColor="text1"/>
          <w:sz w:val="24"/>
          <w:szCs w:val="24"/>
        </w:rPr>
        <w:t>进行实测，监测报告编号为</w:t>
      </w:r>
      <w:r>
        <w:rPr>
          <w:rFonts w:hint="eastAsia" w:ascii="Times New Roman" w:hAnsi="Times New Roman" w:eastAsia="宋体" w:cs="Times New Roman"/>
          <w:color w:val="000000" w:themeColor="text1"/>
          <w:sz w:val="24"/>
          <w:szCs w:val="24"/>
          <w:lang w:val="en-US" w:eastAsia="zh-CN"/>
        </w:rPr>
        <w:t>NO.SPJC-202203-ZH014</w:t>
      </w:r>
      <w:r>
        <w:rPr>
          <w:rFonts w:hint="default" w:ascii="Times New Roman" w:hAnsi="Times New Roman" w:eastAsia="宋体" w:cs="Times New Roman"/>
          <w:color w:val="000000" w:themeColor="text1"/>
          <w:sz w:val="24"/>
          <w:szCs w:val="24"/>
        </w:rPr>
        <w:t>号，根据本项目评价区域的地形条件、风场特征和居民分布情况以及工程污染物排放特征，本项目环境空气质量现状监测布设</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个点位，分别为</w:t>
      </w:r>
      <w:r>
        <w:rPr>
          <w:rFonts w:hint="eastAsia" w:ascii="Times New Roman" w:hAnsi="Times New Roman" w:eastAsia="宋体" w:cs="Times New Roman"/>
          <w:color w:val="000000" w:themeColor="text1"/>
          <w:sz w:val="24"/>
          <w:szCs w:val="24"/>
          <w:lang w:val="en-US" w:eastAsia="zh-CN"/>
        </w:rPr>
        <w:t>K1矿区和K2矿区</w:t>
      </w:r>
      <w:r>
        <w:rPr>
          <w:rFonts w:hint="default" w:ascii="Times New Roman" w:hAnsi="Times New Roman" w:eastAsia="宋体" w:cs="Times New Roman"/>
          <w:color w:val="000000" w:themeColor="text1"/>
          <w:sz w:val="24"/>
          <w:szCs w:val="24"/>
        </w:rPr>
        <w:t>。</w:t>
      </w:r>
    </w:p>
    <w:p>
      <w:pPr>
        <w:pStyle w:val="25"/>
        <w:spacing w:beforeLines="0" w:afterLine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val="0"/>
          <w:color w:val="000000" w:themeColor="text1"/>
          <w:sz w:val="21"/>
          <w:szCs w:val="21"/>
        </w:rPr>
        <w:t>表4.2-2  环境空气现状监测布点情况</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540"/>
        <w:gridCol w:w="2633"/>
        <w:gridCol w:w="2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 w:hRule="atLeast"/>
          <w:jc w:val="center"/>
        </w:trPr>
        <w:tc>
          <w:tcPr>
            <w:tcW w:w="968"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2540"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监测点名称</w:t>
            </w:r>
          </w:p>
        </w:tc>
        <w:tc>
          <w:tcPr>
            <w:tcW w:w="2633"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监测因子</w:t>
            </w:r>
          </w:p>
        </w:tc>
        <w:tc>
          <w:tcPr>
            <w:tcW w:w="28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相对场址方位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68"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p>
        </w:tc>
        <w:tc>
          <w:tcPr>
            <w:tcW w:w="2540"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p>
        </w:tc>
        <w:tc>
          <w:tcPr>
            <w:tcW w:w="2633"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p>
        </w:tc>
        <w:tc>
          <w:tcPr>
            <w:tcW w:w="28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96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254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K1</w:t>
            </w:r>
          </w:p>
        </w:tc>
        <w:tc>
          <w:tcPr>
            <w:tcW w:w="2633"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TSP</w:t>
            </w:r>
          </w:p>
        </w:tc>
        <w:tc>
          <w:tcPr>
            <w:tcW w:w="28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厂区下风向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96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254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K2</w:t>
            </w:r>
          </w:p>
        </w:tc>
        <w:tc>
          <w:tcPr>
            <w:tcW w:w="2633"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Cs/>
                <w:color w:val="000000" w:themeColor="text1"/>
                <w:sz w:val="21"/>
                <w:szCs w:val="21"/>
              </w:rPr>
            </w:pPr>
          </w:p>
        </w:tc>
        <w:tc>
          <w:tcPr>
            <w:tcW w:w="28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厂区下风向</w:t>
            </w:r>
          </w:p>
        </w:tc>
      </w:tr>
    </w:tbl>
    <w:p>
      <w:pPr>
        <w:ind w:left="0" w:leftChars="0" w:firstLine="0" w:firstLineChars="0"/>
        <w:rPr>
          <w:rFonts w:hint="default" w:ascii="Times New Roman" w:hAnsi="Times New Roman" w:eastAsia="宋体" w:cs="Times New Roman"/>
          <w:color w:val="000000" w:themeColor="text1"/>
          <w:sz w:val="21"/>
          <w:szCs w:val="21"/>
        </w:rPr>
      </w:pPr>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2</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监测项目及分析方法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监测项目为TSP，监测项目分析方法见表4.2-3。</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表4.2-3  环境空气质量现状监测分析方法</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4367"/>
        <w:gridCol w:w="1421"/>
        <w:gridCol w:w="1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69" w:type="dxa"/>
            <w:tcBorders>
              <w:tl2br w:val="nil"/>
              <w:tr2bl w:val="nil"/>
            </w:tcBorders>
            <w:vAlign w:val="center"/>
          </w:tcPr>
          <w:p>
            <w:pPr>
              <w:pStyle w:val="95"/>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监测项目</w:t>
            </w:r>
          </w:p>
        </w:tc>
        <w:tc>
          <w:tcPr>
            <w:tcW w:w="4367" w:type="dxa"/>
            <w:tcBorders>
              <w:tl2br w:val="nil"/>
              <w:tr2bl w:val="nil"/>
            </w:tcBorders>
            <w:vAlign w:val="center"/>
          </w:tcPr>
          <w:p>
            <w:pPr>
              <w:pStyle w:val="95"/>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分析方法</w:t>
            </w:r>
          </w:p>
        </w:tc>
        <w:tc>
          <w:tcPr>
            <w:tcW w:w="1421" w:type="dxa"/>
            <w:tcBorders>
              <w:tl2br w:val="nil"/>
              <w:tr2bl w:val="nil"/>
            </w:tcBorders>
            <w:vAlign w:val="center"/>
          </w:tcPr>
          <w:p>
            <w:pPr>
              <w:pStyle w:val="95"/>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方法检出限</w:t>
            </w:r>
          </w:p>
        </w:tc>
        <w:tc>
          <w:tcPr>
            <w:tcW w:w="1800" w:type="dxa"/>
            <w:tcBorders>
              <w:tl2br w:val="nil"/>
              <w:tr2bl w:val="nil"/>
            </w:tcBorders>
            <w:vAlign w:val="center"/>
          </w:tcPr>
          <w:p>
            <w:pPr>
              <w:pStyle w:val="95"/>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方法来源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1369" w:type="dxa"/>
            <w:tcBorders>
              <w:tl2br w:val="nil"/>
              <w:tr2bl w:val="nil"/>
            </w:tcBorders>
            <w:vAlign w:val="center"/>
          </w:tcPr>
          <w:p>
            <w:pPr>
              <w:pStyle w:val="95"/>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TSP</w:t>
            </w:r>
          </w:p>
        </w:tc>
        <w:tc>
          <w:tcPr>
            <w:tcW w:w="436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环境空气 总悬浮颗粒物的测定</w:t>
            </w:r>
          </w:p>
          <w:p>
            <w:pPr>
              <w:pStyle w:val="95"/>
              <w:rPr>
                <w:rFonts w:hint="eastAsia"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重量法GB/T 15432-1995及其修改单及《生态环境部公告 2018年第31号》</w:t>
            </w:r>
          </w:p>
        </w:tc>
        <w:tc>
          <w:tcPr>
            <w:tcW w:w="1421" w:type="dxa"/>
            <w:tcBorders>
              <w:tl2br w:val="nil"/>
              <w:tr2bl w:val="nil"/>
            </w:tcBorders>
            <w:vAlign w:val="center"/>
          </w:tcPr>
          <w:p>
            <w:pPr>
              <w:pStyle w:val="95"/>
              <w:rPr>
                <w:rFonts w:hint="default" w:ascii="Times New Roman" w:hAnsi="Times New Roman" w:eastAsia="宋体" w:cs="Times New Roman"/>
                <w:snapToGrid w:val="0"/>
                <w:color w:val="000000" w:themeColor="text1"/>
                <w:sz w:val="21"/>
                <w:szCs w:val="21"/>
              </w:rPr>
            </w:pPr>
            <w:r>
              <w:rPr>
                <w:rFonts w:hint="default" w:ascii="Times New Roman" w:hAnsi="Times New Roman" w:eastAsia="宋体" w:cs="Times New Roman"/>
                <w:color w:val="000000" w:themeColor="text1"/>
                <w:sz w:val="21"/>
                <w:szCs w:val="21"/>
              </w:rPr>
              <w:t>0.001mg/m</w:t>
            </w:r>
            <w:r>
              <w:rPr>
                <w:rFonts w:hint="default" w:ascii="Times New Roman" w:hAnsi="Times New Roman" w:eastAsia="宋体" w:cs="Times New Roman"/>
                <w:color w:val="000000" w:themeColor="text1"/>
                <w:sz w:val="21"/>
                <w:szCs w:val="21"/>
                <w:vertAlign w:val="superscript"/>
              </w:rPr>
              <w:t>3</w:t>
            </w:r>
          </w:p>
        </w:tc>
        <w:tc>
          <w:tcPr>
            <w:tcW w:w="1800" w:type="dxa"/>
            <w:tcBorders>
              <w:tl2br w:val="nil"/>
              <w:tr2bl w:val="nil"/>
            </w:tcBorders>
            <w:vAlign w:val="center"/>
          </w:tcPr>
          <w:p>
            <w:pPr>
              <w:pStyle w:val="95"/>
              <w:rPr>
                <w:rFonts w:hint="default" w:ascii="Times New Roman" w:hAnsi="Times New Roman" w:eastAsia="宋体" w:cs="Times New Roman"/>
                <w:color w:val="000000" w:themeColor="text1"/>
                <w:sz w:val="21"/>
                <w:szCs w:val="21"/>
              </w:rPr>
            </w:pPr>
            <w:r>
              <w:rPr>
                <w:rFonts w:hint="default" w:ascii="Times New Roman" w:hAnsi="Times New Roman" w:cs="Times New Roman"/>
                <w:color w:val="000000" w:themeColor="text1"/>
                <w:sz w:val="21"/>
                <w:szCs w:val="21"/>
              </w:rPr>
              <w:t>ME204 /02电子天平（万分之一）/SPS-011</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3</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监测时间及频率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本次委托采样时间为</w:t>
      </w:r>
      <w:r>
        <w:rPr>
          <w:rFonts w:hint="default" w:ascii="Times New Roman" w:hAnsi="Times New Roman" w:eastAsia="宋体" w:cs="Times New Roman"/>
          <w:color w:val="000000" w:themeColor="text1"/>
          <w:sz w:val="24"/>
          <w:szCs w:val="24"/>
          <w:lang w:val="en-US" w:eastAsia="zh-CN"/>
        </w:rPr>
        <w:t>2022</w:t>
      </w:r>
      <w:r>
        <w:rPr>
          <w:rFonts w:hint="default" w:ascii="Times New Roman" w:hAnsi="Times New Roman" w:eastAsia="宋体" w:cs="Times New Roman"/>
          <w:color w:val="000000" w:themeColor="text1"/>
          <w:sz w:val="24"/>
          <w:szCs w:val="24"/>
        </w:rPr>
        <w:t>年</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月</w:t>
      </w:r>
      <w:r>
        <w:rPr>
          <w:rFonts w:hint="default" w:ascii="Times New Roman" w:hAnsi="Times New Roman" w:eastAsia="宋体" w:cs="Times New Roman"/>
          <w:color w:val="000000" w:themeColor="text1"/>
          <w:sz w:val="24"/>
          <w:szCs w:val="24"/>
          <w:lang w:val="en-US" w:eastAsia="zh-CN"/>
        </w:rPr>
        <w:t>11</w:t>
      </w:r>
      <w:r>
        <w:rPr>
          <w:rFonts w:hint="default" w:ascii="Times New Roman" w:hAnsi="Times New Roman" w:eastAsia="宋体" w:cs="Times New Roman"/>
          <w:color w:val="000000" w:themeColor="text1"/>
          <w:sz w:val="24"/>
          <w:szCs w:val="24"/>
        </w:rPr>
        <w:t>日~20</w:t>
      </w:r>
      <w:r>
        <w:rPr>
          <w:rFonts w:hint="default" w:ascii="Times New Roman" w:hAnsi="Times New Roman" w:eastAsia="宋体" w:cs="Times New Roman"/>
          <w:color w:val="000000" w:themeColor="text1"/>
          <w:sz w:val="24"/>
          <w:szCs w:val="24"/>
          <w:lang w:val="en-US" w:eastAsia="zh-CN"/>
        </w:rPr>
        <w:t>22</w:t>
      </w:r>
      <w:r>
        <w:rPr>
          <w:rFonts w:hint="default" w:ascii="Times New Roman" w:hAnsi="Times New Roman" w:eastAsia="宋体" w:cs="Times New Roman"/>
          <w:color w:val="000000" w:themeColor="text1"/>
          <w:sz w:val="24"/>
          <w:szCs w:val="24"/>
        </w:rPr>
        <w:t>年</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月</w:t>
      </w:r>
      <w:r>
        <w:rPr>
          <w:rFonts w:hint="default" w:ascii="Times New Roman" w:hAnsi="Times New Roman" w:eastAsia="宋体" w:cs="Times New Roman"/>
          <w:color w:val="000000" w:themeColor="text1"/>
          <w:sz w:val="24"/>
          <w:szCs w:val="24"/>
          <w:lang w:val="en-US" w:eastAsia="zh-CN"/>
        </w:rPr>
        <w:t>17</w:t>
      </w:r>
      <w:r>
        <w:rPr>
          <w:rFonts w:hint="default" w:ascii="Times New Roman" w:hAnsi="Times New Roman" w:eastAsia="宋体" w:cs="Times New Roman"/>
          <w:color w:val="000000" w:themeColor="text1"/>
          <w:sz w:val="24"/>
          <w:szCs w:val="24"/>
        </w:rPr>
        <w:t>日，有效监测为7天</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1次/天</w:t>
      </w:r>
      <w:r>
        <w:rPr>
          <w:rFonts w:hint="default" w:ascii="Times New Roman" w:hAnsi="Times New Roman" w:eastAsia="宋体" w:cs="Times New Roman"/>
          <w:color w:val="000000" w:themeColor="text1"/>
          <w:sz w:val="24"/>
          <w:szCs w:val="24"/>
        </w:rPr>
        <w:t>。监测频次按照《环境影响评价技术导则 大气环境》、《环境监测技术规范》和《环境空气质量手动监测技术规范》要求执行。</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4</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监测结果</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pacing w:val="4"/>
          <w:sz w:val="24"/>
          <w:szCs w:val="24"/>
        </w:rPr>
      </w:pPr>
      <w:r>
        <w:rPr>
          <w:rFonts w:hint="default" w:ascii="Times New Roman" w:hAnsi="Times New Roman" w:eastAsia="宋体" w:cs="Times New Roman"/>
          <w:color w:val="000000" w:themeColor="text1"/>
          <w:sz w:val="24"/>
          <w:szCs w:val="24"/>
        </w:rPr>
        <w:t>监测结果统计详</w:t>
      </w:r>
      <w:r>
        <w:rPr>
          <w:rFonts w:hint="default" w:ascii="Times New Roman" w:hAnsi="Times New Roman" w:eastAsia="宋体" w:cs="Times New Roman"/>
          <w:color w:val="000000" w:themeColor="text1"/>
          <w:spacing w:val="4"/>
          <w:sz w:val="24"/>
          <w:szCs w:val="24"/>
        </w:rPr>
        <w:t>见表4.2-4。</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22" w:firstLineChars="200"/>
        <w:textAlignment w:val="auto"/>
        <w:outlineLvl w:val="9"/>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表4.2-4  环境空气质量监测结果</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279"/>
        <w:gridCol w:w="1279"/>
        <w:gridCol w:w="1280"/>
        <w:gridCol w:w="1280"/>
        <w:gridCol w:w="1280"/>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7"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lang w:eastAsia="zh-CN"/>
              </w:rPr>
            </w:pPr>
            <w:r>
              <w:rPr>
                <w:rFonts w:hint="default" w:ascii="Times New Roman" w:hAnsi="Times New Roman" w:eastAsia="宋体" w:cs="Times New Roman"/>
                <w:color w:val="000000" w:themeColor="text1"/>
                <w:vertAlign w:val="baseline"/>
                <w:lang w:eastAsia="zh-CN"/>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监测点位</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采样日期</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TSP（ug/m</w:t>
            </w:r>
            <w:r>
              <w:rPr>
                <w:rFonts w:hint="eastAsia" w:ascii="Times New Roman" w:hAnsi="Times New Roman" w:eastAsia="宋体" w:cs="Times New Roman"/>
                <w:color w:val="000000" w:themeColor="text1"/>
                <w:vertAlign w:val="superscript"/>
                <w:lang w:val="en-US" w:eastAsia="zh-CN"/>
              </w:rPr>
              <w:t>3</w:t>
            </w:r>
            <w:r>
              <w:rPr>
                <w:rFonts w:hint="eastAsia" w:ascii="Times New Roman" w:hAnsi="Times New Roman" w:eastAsia="宋体" w:cs="Times New Roman"/>
                <w:color w:val="000000" w:themeColor="text1"/>
                <w:vertAlign w:val="baseline"/>
                <w:lang w:val="en-US" w:eastAsia="zh-CN"/>
              </w:rPr>
              <w:t>）</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气温（</w:t>
            </w:r>
            <w:r>
              <w:rPr>
                <w:rFonts w:hint="eastAsia" w:ascii="宋体" w:hAnsi="宋体" w:eastAsia="宋体" w:cs="宋体"/>
                <w:color w:val="000000" w:themeColor="text1"/>
                <w:vertAlign w:val="baseline"/>
                <w:lang w:val="en-US" w:eastAsia="zh-CN"/>
              </w:rPr>
              <w:t>℃</w:t>
            </w:r>
            <w:r>
              <w:rPr>
                <w:rFonts w:hint="eastAsia" w:ascii="Times New Roman" w:hAnsi="Times New Roman" w:eastAsia="宋体" w:cs="Times New Roman"/>
                <w:color w:val="000000" w:themeColor="text1"/>
                <w:vertAlign w:val="baseline"/>
                <w:lang w:val="en-US" w:eastAsia="zh-CN"/>
              </w:rPr>
              <w:t>）</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气压（</w:t>
            </w:r>
            <w:r>
              <w:rPr>
                <w:rFonts w:hint="eastAsia" w:ascii="Times New Roman" w:hAnsi="Times New Roman" w:eastAsia="宋体" w:cs="Times New Roman"/>
                <w:color w:val="000000" w:themeColor="text1"/>
                <w:vertAlign w:val="baseline"/>
                <w:lang w:val="en-US" w:eastAsia="zh-CN"/>
              </w:rPr>
              <w:t>kpa</w:t>
            </w:r>
            <w:r>
              <w:rPr>
                <w:rFonts w:hint="eastAsia" w:ascii="Times New Roman" w:hAnsi="Times New Roman" w:eastAsia="宋体" w:cs="Times New Roman"/>
                <w:color w:val="000000" w:themeColor="text1"/>
                <w:vertAlign w:val="baseline"/>
                <w:lang w:eastAsia="zh-CN"/>
              </w:rPr>
              <w:t>）</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风速（m/s）</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K1厂区内</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03月11日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127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2.0</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r>
              <w:rPr>
                <w:rFonts w:hint="eastAsia" w:ascii="Times New Roman" w:hAnsi="Times New Roman" w:eastAsia="宋体" w:cs="Times New Roman"/>
                <w:color w:val="000000" w:themeColor="text1"/>
                <w:vertAlign w:val="baseline"/>
                <w:lang w:val="en-US" w:eastAsia="zh-CN"/>
              </w:rPr>
              <w:t>03月12日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114</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8.2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97.6</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r>
              <w:rPr>
                <w:rFonts w:hint="eastAsia" w:ascii="Times New Roman" w:hAnsi="Times New Roman" w:eastAsia="宋体" w:cs="Times New Roman"/>
                <w:color w:val="000000" w:themeColor="text1"/>
                <w:vertAlign w:val="baseline"/>
                <w:lang w:val="en-US" w:eastAsia="zh-CN"/>
              </w:rPr>
              <w:t>03月13日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133</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2.0</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r>
              <w:rPr>
                <w:rFonts w:hint="eastAsia" w:ascii="Times New Roman" w:hAnsi="Times New Roman" w:eastAsia="宋体" w:cs="Times New Roman"/>
                <w:color w:val="000000" w:themeColor="text1"/>
                <w:vertAlign w:val="baseline"/>
                <w:lang w:val="en-US" w:eastAsia="zh-CN"/>
              </w:rPr>
              <w:t>03月14日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121</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1.9</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r>
              <w:rPr>
                <w:rFonts w:hint="eastAsia" w:ascii="Times New Roman" w:hAnsi="Times New Roman" w:eastAsia="宋体" w:cs="Times New Roman"/>
                <w:color w:val="000000" w:themeColor="text1"/>
                <w:vertAlign w:val="baseline"/>
                <w:lang w:val="en-US" w:eastAsia="zh-CN"/>
              </w:rPr>
              <w:t>03月15日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121</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r>
              <w:rPr>
                <w:rFonts w:hint="eastAsia" w:ascii="Times New Roman" w:hAnsi="Times New Roman" w:eastAsia="宋体" w:cs="Times New Roman"/>
                <w:color w:val="000000" w:themeColor="text1"/>
                <w:vertAlign w:val="baseline"/>
                <w:lang w:val="en-US" w:eastAsia="zh-CN"/>
              </w:rPr>
              <w:t>03月16日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110</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7.4</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1.9</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03月17日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163</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8.2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97.6</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2.1</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r>
              <w:rPr>
                <w:rFonts w:hint="eastAsia" w:ascii="Times New Roman" w:hAnsi="Times New Roman" w:eastAsia="宋体" w:cs="Times New Roman"/>
                <w:color w:val="000000" w:themeColor="text1"/>
                <w:vertAlign w:val="baseline"/>
                <w:lang w:val="en-US" w:eastAsia="zh-CN"/>
              </w:rPr>
              <w:t>K2厂区内</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03月11日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145</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2.0</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03月12日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186</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8.2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97.6</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03月13日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159</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2.0</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03月14日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136</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1.9</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03月15日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118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97.7</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03月16日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7.4</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1.9</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vertAlign w:val="baseline"/>
              </w:rPr>
            </w:pP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03月17日</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71</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8.2</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97.6</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2.1</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vertAlign w:val="baseline"/>
                <w:lang w:eastAsia="zh-CN"/>
              </w:rPr>
            </w:pPr>
            <w:r>
              <w:rPr>
                <w:rFonts w:hint="eastAsia" w:ascii="Times New Roman" w:hAnsi="Times New Roman" w:eastAsia="宋体" w:cs="Times New Roman"/>
                <w:color w:val="000000" w:themeColor="text1"/>
                <w:vertAlign w:val="baseline"/>
                <w:lang w:eastAsia="zh-CN"/>
              </w:rPr>
              <w:t>东南</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w:t>
      </w:r>
      <w:r>
        <w:rPr>
          <w:rFonts w:hint="eastAsia" w:ascii="Times New Roman" w:hAnsi="Times New Roman" w:eastAsia="宋体" w:cs="Times New Roman"/>
          <w:b/>
          <w:bCs/>
          <w:color w:val="000000" w:themeColor="text1"/>
          <w:sz w:val="24"/>
          <w:szCs w:val="24"/>
          <w:lang w:val="en-US" w:eastAsia="zh-CN"/>
        </w:rPr>
        <w:t>5</w:t>
      </w:r>
      <w:r>
        <w:rPr>
          <w:rFonts w:hint="default" w:ascii="Times New Roman" w:hAnsi="Times New Roman" w:eastAsia="宋体" w:cs="Times New Roman"/>
          <w:b/>
          <w:bCs/>
          <w:color w:val="000000" w:themeColor="text1"/>
          <w:sz w:val="24"/>
          <w:szCs w:val="24"/>
        </w:rPr>
        <w:t>）评价方法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采用占标率进行环境空气质量现状评价。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I</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 xml:space="preserve"> = C</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/C</w:t>
      </w:r>
      <w:r>
        <w:rPr>
          <w:rFonts w:hint="default" w:ascii="Times New Roman" w:hAnsi="Times New Roman" w:eastAsia="宋体" w:cs="Times New Roman"/>
          <w:color w:val="000000" w:themeColor="text1"/>
          <w:sz w:val="24"/>
          <w:szCs w:val="24"/>
          <w:vertAlign w:val="subscript"/>
        </w:rPr>
        <w:t>0i</w:t>
      </w:r>
      <w:r>
        <w:rPr>
          <w:rFonts w:hint="default" w:ascii="Times New Roman" w:hAnsi="Times New Roman" w:eastAsia="宋体" w:cs="Times New Roman"/>
          <w:color w:val="000000" w:themeColor="text1"/>
          <w:sz w:val="24"/>
          <w:szCs w:val="24"/>
        </w:rPr>
        <w:t>×100%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式中：I</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——为第i种污染物的占标率；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C</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——为第i种污染物的实测浓度，ug/m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C</w:t>
      </w:r>
      <w:r>
        <w:rPr>
          <w:rFonts w:hint="default" w:ascii="Times New Roman" w:hAnsi="Times New Roman" w:eastAsia="宋体" w:cs="Times New Roman"/>
          <w:color w:val="000000" w:themeColor="text1"/>
          <w:sz w:val="24"/>
          <w:szCs w:val="24"/>
          <w:vertAlign w:val="subscript"/>
        </w:rPr>
        <w:t>oi</w:t>
      </w:r>
      <w:r>
        <w:rPr>
          <w:rFonts w:hint="default" w:ascii="Times New Roman" w:hAnsi="Times New Roman" w:eastAsia="宋体" w:cs="Times New Roman"/>
          <w:color w:val="000000" w:themeColor="text1"/>
          <w:sz w:val="24"/>
          <w:szCs w:val="24"/>
        </w:rPr>
        <w:t>——为第i种污染物的评价标准，ug/m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各监测点不同污染物单因子占标率计算结果列于表4.2-5。</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0"/>
        <w:textAlignment w:val="auto"/>
        <w:outlineLvl w:val="9"/>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表4.2-5 环境空气污染物占标率统计表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004"/>
        <w:gridCol w:w="1237"/>
        <w:gridCol w:w="1120"/>
        <w:gridCol w:w="1122"/>
        <w:gridCol w:w="1364"/>
        <w:gridCol w:w="876"/>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1120"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default" w:ascii="Times New Roman" w:hAnsi="Times New Roman" w:eastAsia="宋体" w:cs="Times New Roman"/>
                <w:b w:val="0"/>
                <w:bCs w:val="0"/>
                <w:color w:val="000000" w:themeColor="text1"/>
                <w:sz w:val="21"/>
                <w:szCs w:val="21"/>
                <w:vertAlign w:val="baseline"/>
                <w:lang w:eastAsia="zh-CN"/>
              </w:rPr>
            </w:pPr>
            <w:bookmarkStart w:id="304" w:name="_Toc19691"/>
            <w:r>
              <w:rPr>
                <w:rFonts w:hint="default" w:ascii="Times New Roman" w:hAnsi="Times New Roman" w:eastAsia="宋体" w:cs="Times New Roman"/>
                <w:b w:val="0"/>
                <w:bCs w:val="0"/>
                <w:color w:val="000000" w:themeColor="text1"/>
                <w:sz w:val="21"/>
                <w:szCs w:val="21"/>
                <w:vertAlign w:val="baseline"/>
                <w:lang w:eastAsia="zh-CN"/>
              </w:rPr>
              <w:t>监测点位</w:t>
            </w:r>
            <w:bookmarkEnd w:id="304"/>
          </w:p>
        </w:tc>
        <w:tc>
          <w:tcPr>
            <w:tcW w:w="100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05" w:name="_Toc5253"/>
            <w:r>
              <w:rPr>
                <w:rFonts w:hint="eastAsia" w:ascii="Times New Roman" w:hAnsi="Times New Roman" w:eastAsia="宋体" w:cs="Times New Roman"/>
                <w:b w:val="0"/>
                <w:bCs w:val="0"/>
                <w:color w:val="000000" w:themeColor="text1"/>
                <w:sz w:val="21"/>
                <w:szCs w:val="21"/>
                <w:vertAlign w:val="baseline"/>
                <w:lang w:eastAsia="zh-CN"/>
              </w:rPr>
              <w:t>污染物</w:t>
            </w:r>
            <w:bookmarkEnd w:id="305"/>
          </w:p>
        </w:tc>
        <w:tc>
          <w:tcPr>
            <w:tcW w:w="1237"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06" w:name="_Toc5207"/>
            <w:r>
              <w:rPr>
                <w:rFonts w:hint="eastAsia" w:ascii="Times New Roman" w:hAnsi="Times New Roman" w:eastAsia="宋体" w:cs="Times New Roman"/>
                <w:b w:val="0"/>
                <w:bCs w:val="0"/>
                <w:color w:val="000000" w:themeColor="text1"/>
                <w:sz w:val="21"/>
                <w:szCs w:val="21"/>
                <w:vertAlign w:val="baseline"/>
                <w:lang w:eastAsia="zh-CN"/>
              </w:rPr>
              <w:t>监测结果浓度范围（ug/m</w:t>
            </w:r>
            <w:r>
              <w:rPr>
                <w:rFonts w:hint="eastAsia" w:ascii="Times New Roman" w:hAnsi="Times New Roman" w:eastAsia="宋体" w:cs="Times New Roman"/>
                <w:b w:val="0"/>
                <w:bCs w:val="0"/>
                <w:color w:val="000000" w:themeColor="text1"/>
                <w:sz w:val="21"/>
                <w:szCs w:val="21"/>
                <w:vertAlign w:val="superscript"/>
                <w:lang w:eastAsia="zh-CN"/>
              </w:rPr>
              <w:t>3</w:t>
            </w:r>
            <w:r>
              <w:rPr>
                <w:rFonts w:hint="eastAsia" w:ascii="Times New Roman" w:hAnsi="Times New Roman" w:eastAsia="宋体" w:cs="Times New Roman"/>
                <w:b w:val="0"/>
                <w:bCs w:val="0"/>
                <w:color w:val="000000" w:themeColor="text1"/>
                <w:sz w:val="21"/>
                <w:szCs w:val="21"/>
                <w:vertAlign w:val="baseline"/>
                <w:lang w:eastAsia="zh-CN"/>
              </w:rPr>
              <w:t>）</w:t>
            </w:r>
            <w:bookmarkEnd w:id="306"/>
          </w:p>
        </w:tc>
        <w:tc>
          <w:tcPr>
            <w:tcW w:w="1120"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07" w:name="_Toc10354"/>
            <w:r>
              <w:rPr>
                <w:rFonts w:hint="eastAsia" w:cs="Times New Roman"/>
                <w:b w:val="0"/>
                <w:bCs w:val="0"/>
                <w:color w:val="000000" w:themeColor="text1"/>
                <w:sz w:val="21"/>
                <w:szCs w:val="21"/>
                <w:vertAlign w:val="baseline"/>
                <w:lang w:eastAsia="zh-CN"/>
              </w:rPr>
              <w:t>监测结果最大值</w:t>
            </w:r>
            <w:r>
              <w:rPr>
                <w:rFonts w:hint="eastAsia" w:ascii="Times New Roman" w:hAnsi="Times New Roman" w:eastAsia="宋体" w:cs="Times New Roman"/>
                <w:b w:val="0"/>
                <w:bCs w:val="0"/>
                <w:color w:val="000000" w:themeColor="text1"/>
                <w:sz w:val="21"/>
                <w:szCs w:val="21"/>
                <w:vertAlign w:val="baseline"/>
                <w:lang w:eastAsia="zh-CN"/>
              </w:rPr>
              <w:t>（ug/m</w:t>
            </w:r>
            <w:r>
              <w:rPr>
                <w:rFonts w:hint="eastAsia" w:ascii="Times New Roman" w:hAnsi="Times New Roman" w:eastAsia="宋体" w:cs="Times New Roman"/>
                <w:b w:val="0"/>
                <w:bCs w:val="0"/>
                <w:color w:val="000000" w:themeColor="text1"/>
                <w:sz w:val="21"/>
                <w:szCs w:val="21"/>
                <w:vertAlign w:val="superscript"/>
                <w:lang w:eastAsia="zh-CN"/>
              </w:rPr>
              <w:t>3</w:t>
            </w:r>
            <w:r>
              <w:rPr>
                <w:rFonts w:hint="eastAsia" w:ascii="Times New Roman" w:hAnsi="Times New Roman" w:eastAsia="宋体" w:cs="Times New Roman"/>
                <w:b w:val="0"/>
                <w:bCs w:val="0"/>
                <w:color w:val="000000" w:themeColor="text1"/>
                <w:sz w:val="21"/>
                <w:szCs w:val="21"/>
                <w:vertAlign w:val="baseline"/>
                <w:lang w:eastAsia="zh-CN"/>
              </w:rPr>
              <w:t>）</w:t>
            </w:r>
            <w:bookmarkEnd w:id="307"/>
          </w:p>
        </w:tc>
        <w:tc>
          <w:tcPr>
            <w:tcW w:w="1122"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08" w:name="_Toc11033"/>
            <w:r>
              <w:rPr>
                <w:rFonts w:hint="eastAsia" w:ascii="Times New Roman" w:hAnsi="Times New Roman" w:eastAsia="宋体" w:cs="Times New Roman"/>
                <w:b w:val="0"/>
                <w:bCs w:val="0"/>
                <w:color w:val="000000" w:themeColor="text1"/>
                <w:sz w:val="21"/>
                <w:szCs w:val="21"/>
                <w:vertAlign w:val="baseline"/>
                <w:lang w:eastAsia="zh-CN"/>
              </w:rPr>
              <w:t>评价标准（ug/m</w:t>
            </w:r>
            <w:r>
              <w:rPr>
                <w:rFonts w:hint="eastAsia" w:ascii="Times New Roman" w:hAnsi="Times New Roman" w:eastAsia="宋体" w:cs="Times New Roman"/>
                <w:b w:val="0"/>
                <w:bCs w:val="0"/>
                <w:color w:val="000000" w:themeColor="text1"/>
                <w:sz w:val="21"/>
                <w:szCs w:val="21"/>
                <w:vertAlign w:val="superscript"/>
                <w:lang w:eastAsia="zh-CN"/>
              </w:rPr>
              <w:t>3</w:t>
            </w:r>
            <w:r>
              <w:rPr>
                <w:rFonts w:hint="eastAsia" w:ascii="Times New Roman" w:hAnsi="Times New Roman" w:eastAsia="宋体" w:cs="Times New Roman"/>
                <w:b w:val="0"/>
                <w:bCs w:val="0"/>
                <w:color w:val="000000" w:themeColor="text1"/>
                <w:sz w:val="21"/>
                <w:szCs w:val="21"/>
                <w:vertAlign w:val="baseline"/>
                <w:lang w:eastAsia="zh-CN"/>
              </w:rPr>
              <w:t>）</w:t>
            </w:r>
            <w:bookmarkEnd w:id="308"/>
          </w:p>
        </w:tc>
        <w:tc>
          <w:tcPr>
            <w:tcW w:w="136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09" w:name="_Toc14636"/>
            <w:r>
              <w:rPr>
                <w:rFonts w:hint="eastAsia" w:ascii="Times New Roman" w:hAnsi="Times New Roman" w:eastAsia="宋体" w:cs="Times New Roman"/>
                <w:b w:val="0"/>
                <w:bCs w:val="0"/>
                <w:color w:val="000000" w:themeColor="text1"/>
                <w:sz w:val="21"/>
                <w:szCs w:val="21"/>
                <w:vertAlign w:val="baseline"/>
                <w:lang w:eastAsia="zh-CN"/>
              </w:rPr>
              <w:t>最大浓度占标率（%）</w:t>
            </w:r>
            <w:bookmarkEnd w:id="309"/>
          </w:p>
        </w:tc>
        <w:tc>
          <w:tcPr>
            <w:tcW w:w="876"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10" w:name="_Toc5130"/>
            <w:r>
              <w:rPr>
                <w:rFonts w:hint="eastAsia" w:ascii="Times New Roman" w:hAnsi="Times New Roman" w:eastAsia="宋体" w:cs="Times New Roman"/>
                <w:b w:val="0"/>
                <w:bCs w:val="0"/>
                <w:color w:val="000000" w:themeColor="text1"/>
                <w:sz w:val="21"/>
                <w:szCs w:val="21"/>
                <w:vertAlign w:val="baseline"/>
                <w:lang w:eastAsia="zh-CN"/>
              </w:rPr>
              <w:t>超标率（%）</w:t>
            </w:r>
            <w:bookmarkEnd w:id="310"/>
          </w:p>
        </w:tc>
        <w:tc>
          <w:tcPr>
            <w:tcW w:w="111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11" w:name="_Toc24217"/>
            <w:r>
              <w:rPr>
                <w:rFonts w:hint="eastAsia" w:ascii="Times New Roman" w:hAnsi="Times New Roman" w:eastAsia="宋体" w:cs="Times New Roman"/>
                <w:b w:val="0"/>
                <w:bCs w:val="0"/>
                <w:color w:val="000000" w:themeColor="text1"/>
                <w:sz w:val="21"/>
                <w:szCs w:val="21"/>
                <w:vertAlign w:val="baseline"/>
                <w:lang w:eastAsia="zh-CN"/>
              </w:rPr>
              <w:t>达标情况</w:t>
            </w:r>
            <w:bookmarkEnd w:id="31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20"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2" w:name="_Toc28196"/>
            <w:r>
              <w:rPr>
                <w:rFonts w:hint="eastAsia" w:ascii="Times New Roman" w:hAnsi="Times New Roman" w:eastAsia="宋体" w:cs="Times New Roman"/>
                <w:b w:val="0"/>
                <w:bCs w:val="0"/>
                <w:color w:val="000000" w:themeColor="text1"/>
                <w:sz w:val="21"/>
                <w:szCs w:val="21"/>
                <w:vertAlign w:val="baseline"/>
                <w:lang w:val="en-US" w:eastAsia="zh-CN"/>
              </w:rPr>
              <w:t>K1</w:t>
            </w:r>
            <w:bookmarkEnd w:id="312"/>
          </w:p>
        </w:tc>
        <w:tc>
          <w:tcPr>
            <w:tcW w:w="1004" w:type="dxa"/>
            <w:vMerge w:val="restart"/>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3" w:name="_Toc12238"/>
            <w:r>
              <w:rPr>
                <w:rFonts w:hint="eastAsia" w:ascii="Times New Roman" w:hAnsi="Times New Roman" w:eastAsia="宋体" w:cs="Times New Roman"/>
                <w:b w:val="0"/>
                <w:bCs w:val="0"/>
                <w:color w:val="000000" w:themeColor="text1"/>
                <w:sz w:val="21"/>
                <w:szCs w:val="21"/>
                <w:vertAlign w:val="baseline"/>
                <w:lang w:val="en-US" w:eastAsia="zh-CN"/>
              </w:rPr>
              <w:t>TSP</w:t>
            </w:r>
            <w:bookmarkEnd w:id="313"/>
          </w:p>
        </w:tc>
        <w:tc>
          <w:tcPr>
            <w:tcW w:w="1237"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4" w:name="_Toc8220"/>
            <w:r>
              <w:rPr>
                <w:rFonts w:hint="eastAsia" w:ascii="Times New Roman" w:hAnsi="Times New Roman" w:eastAsia="宋体" w:cs="Times New Roman"/>
                <w:b w:val="0"/>
                <w:bCs w:val="0"/>
                <w:color w:val="000000" w:themeColor="text1"/>
                <w:sz w:val="21"/>
                <w:szCs w:val="21"/>
                <w:vertAlign w:val="baseline"/>
                <w:lang w:val="en-US" w:eastAsia="zh-CN"/>
              </w:rPr>
              <w:t>110-163</w:t>
            </w:r>
            <w:bookmarkEnd w:id="314"/>
          </w:p>
        </w:tc>
        <w:tc>
          <w:tcPr>
            <w:tcW w:w="1120"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5" w:name="_Toc23741"/>
            <w:r>
              <w:rPr>
                <w:rFonts w:hint="eastAsia" w:cs="Times New Roman"/>
                <w:b w:val="0"/>
                <w:bCs w:val="0"/>
                <w:color w:val="000000" w:themeColor="text1"/>
                <w:sz w:val="21"/>
                <w:szCs w:val="21"/>
                <w:vertAlign w:val="baseline"/>
                <w:lang w:val="en-US" w:eastAsia="zh-CN"/>
              </w:rPr>
              <w:t>163</w:t>
            </w:r>
            <w:bookmarkEnd w:id="315"/>
          </w:p>
        </w:tc>
        <w:tc>
          <w:tcPr>
            <w:tcW w:w="1122"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6" w:name="_Toc13803"/>
            <w:r>
              <w:rPr>
                <w:rFonts w:hint="eastAsia" w:cs="Times New Roman"/>
                <w:b w:val="0"/>
                <w:bCs w:val="0"/>
                <w:color w:val="000000" w:themeColor="text1"/>
                <w:sz w:val="21"/>
                <w:szCs w:val="21"/>
                <w:vertAlign w:val="baseline"/>
                <w:lang w:val="en-US" w:eastAsia="zh-CN"/>
              </w:rPr>
              <w:t>300</w:t>
            </w:r>
            <w:bookmarkEnd w:id="316"/>
          </w:p>
        </w:tc>
        <w:tc>
          <w:tcPr>
            <w:tcW w:w="136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7" w:name="_Toc5661"/>
            <w:r>
              <w:rPr>
                <w:rFonts w:hint="eastAsia" w:cs="Times New Roman"/>
                <w:b w:val="0"/>
                <w:bCs w:val="0"/>
                <w:color w:val="000000" w:themeColor="text1"/>
                <w:sz w:val="21"/>
                <w:szCs w:val="21"/>
                <w:vertAlign w:val="baseline"/>
                <w:lang w:val="en-US" w:eastAsia="zh-CN"/>
              </w:rPr>
              <w:t>54</w:t>
            </w:r>
            <w:bookmarkEnd w:id="317"/>
          </w:p>
        </w:tc>
        <w:tc>
          <w:tcPr>
            <w:tcW w:w="876"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18" w:name="_Toc10116"/>
            <w:r>
              <w:rPr>
                <w:rFonts w:hint="eastAsia" w:ascii="Times New Roman" w:hAnsi="Times New Roman" w:eastAsia="宋体" w:cs="Times New Roman"/>
                <w:b w:val="0"/>
                <w:bCs w:val="0"/>
                <w:color w:val="000000" w:themeColor="text1"/>
                <w:sz w:val="21"/>
                <w:szCs w:val="21"/>
                <w:vertAlign w:val="baseline"/>
                <w:lang w:val="en-US" w:eastAsia="zh-CN"/>
              </w:rPr>
              <w:t>0</w:t>
            </w:r>
            <w:bookmarkEnd w:id="318"/>
          </w:p>
        </w:tc>
        <w:tc>
          <w:tcPr>
            <w:tcW w:w="111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19" w:name="_Toc15816"/>
            <w:r>
              <w:rPr>
                <w:rFonts w:hint="eastAsia" w:ascii="Times New Roman" w:hAnsi="Times New Roman" w:eastAsia="宋体" w:cs="Times New Roman"/>
                <w:b w:val="0"/>
                <w:bCs w:val="0"/>
                <w:color w:val="000000" w:themeColor="text1"/>
                <w:sz w:val="21"/>
                <w:szCs w:val="21"/>
                <w:vertAlign w:val="baseline"/>
                <w:lang w:eastAsia="zh-CN"/>
              </w:rPr>
              <w:t>达标</w:t>
            </w:r>
            <w:bookmarkEnd w:id="31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120"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20" w:name="_Toc14915"/>
            <w:r>
              <w:rPr>
                <w:rFonts w:hint="eastAsia" w:ascii="Times New Roman" w:hAnsi="Times New Roman" w:eastAsia="宋体" w:cs="Times New Roman"/>
                <w:b w:val="0"/>
                <w:bCs w:val="0"/>
                <w:color w:val="000000" w:themeColor="text1"/>
                <w:sz w:val="21"/>
                <w:szCs w:val="21"/>
                <w:vertAlign w:val="baseline"/>
                <w:lang w:val="en-US" w:eastAsia="zh-CN"/>
              </w:rPr>
              <w:t>K2</w:t>
            </w:r>
            <w:bookmarkEnd w:id="320"/>
          </w:p>
        </w:tc>
        <w:tc>
          <w:tcPr>
            <w:tcW w:w="1004" w:type="dxa"/>
            <w:vMerge w:val="continue"/>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default" w:ascii="Times New Roman" w:hAnsi="Times New Roman" w:eastAsia="宋体" w:cs="Times New Roman"/>
                <w:b w:val="0"/>
                <w:bCs w:val="0"/>
                <w:color w:val="000000" w:themeColor="text1"/>
                <w:sz w:val="21"/>
                <w:szCs w:val="21"/>
                <w:vertAlign w:val="baseline"/>
              </w:rPr>
            </w:pPr>
          </w:p>
        </w:tc>
        <w:tc>
          <w:tcPr>
            <w:tcW w:w="1237"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21" w:name="_Toc27369"/>
            <w:r>
              <w:rPr>
                <w:rFonts w:hint="eastAsia" w:ascii="Times New Roman" w:hAnsi="Times New Roman" w:eastAsia="宋体" w:cs="Times New Roman"/>
                <w:b w:val="0"/>
                <w:bCs w:val="0"/>
                <w:color w:val="000000" w:themeColor="text1"/>
                <w:sz w:val="21"/>
                <w:szCs w:val="21"/>
                <w:vertAlign w:val="baseline"/>
                <w:lang w:val="en-US" w:eastAsia="zh-CN"/>
              </w:rPr>
              <w:t>71-186</w:t>
            </w:r>
            <w:bookmarkEnd w:id="321"/>
          </w:p>
        </w:tc>
        <w:tc>
          <w:tcPr>
            <w:tcW w:w="1120"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22" w:name="_Toc31458"/>
            <w:r>
              <w:rPr>
                <w:rFonts w:hint="eastAsia" w:cs="Times New Roman"/>
                <w:b w:val="0"/>
                <w:bCs w:val="0"/>
                <w:color w:val="000000" w:themeColor="text1"/>
                <w:sz w:val="21"/>
                <w:szCs w:val="21"/>
                <w:vertAlign w:val="baseline"/>
                <w:lang w:val="en-US" w:eastAsia="zh-CN"/>
              </w:rPr>
              <w:t>186</w:t>
            </w:r>
            <w:bookmarkEnd w:id="322"/>
          </w:p>
        </w:tc>
        <w:tc>
          <w:tcPr>
            <w:tcW w:w="1122"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23" w:name="_Toc26794"/>
            <w:r>
              <w:rPr>
                <w:rFonts w:hint="eastAsia" w:cs="Times New Roman"/>
                <w:b w:val="0"/>
                <w:bCs w:val="0"/>
                <w:color w:val="000000" w:themeColor="text1"/>
                <w:sz w:val="21"/>
                <w:szCs w:val="21"/>
                <w:vertAlign w:val="baseline"/>
                <w:lang w:val="en-US" w:eastAsia="zh-CN"/>
              </w:rPr>
              <w:t>300</w:t>
            </w:r>
            <w:bookmarkEnd w:id="323"/>
          </w:p>
        </w:tc>
        <w:tc>
          <w:tcPr>
            <w:tcW w:w="136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24" w:name="_Toc31725"/>
            <w:r>
              <w:rPr>
                <w:rFonts w:hint="eastAsia" w:cs="Times New Roman"/>
                <w:b w:val="0"/>
                <w:bCs w:val="0"/>
                <w:color w:val="000000" w:themeColor="text1"/>
                <w:sz w:val="21"/>
                <w:szCs w:val="21"/>
                <w:vertAlign w:val="baseline"/>
                <w:lang w:val="en-US" w:eastAsia="zh-CN"/>
              </w:rPr>
              <w:t>62</w:t>
            </w:r>
            <w:bookmarkEnd w:id="324"/>
          </w:p>
        </w:tc>
        <w:tc>
          <w:tcPr>
            <w:tcW w:w="876"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val="en-US" w:eastAsia="zh-CN"/>
              </w:rPr>
            </w:pPr>
            <w:bookmarkStart w:id="325" w:name="_Toc19267"/>
            <w:r>
              <w:rPr>
                <w:rFonts w:hint="eastAsia" w:ascii="Times New Roman" w:hAnsi="Times New Roman" w:eastAsia="宋体" w:cs="Times New Roman"/>
                <w:b w:val="0"/>
                <w:bCs w:val="0"/>
                <w:color w:val="000000" w:themeColor="text1"/>
                <w:sz w:val="21"/>
                <w:szCs w:val="21"/>
                <w:vertAlign w:val="baseline"/>
                <w:lang w:val="en-US" w:eastAsia="zh-CN"/>
              </w:rPr>
              <w:t>0</w:t>
            </w:r>
            <w:bookmarkEnd w:id="325"/>
          </w:p>
        </w:tc>
        <w:tc>
          <w:tcPr>
            <w:tcW w:w="1114" w:type="dxa"/>
            <w:tcBorders>
              <w:tl2br w:val="nil"/>
              <w:tr2bl w:val="nil"/>
            </w:tcBorders>
            <w:vAlign w:val="center"/>
          </w:tcPr>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ascii="Times New Roman" w:hAnsi="Times New Roman" w:eastAsia="宋体" w:cs="Times New Roman"/>
                <w:b w:val="0"/>
                <w:bCs w:val="0"/>
                <w:color w:val="000000" w:themeColor="text1"/>
                <w:sz w:val="21"/>
                <w:szCs w:val="21"/>
                <w:vertAlign w:val="baseline"/>
                <w:lang w:eastAsia="zh-CN"/>
              </w:rPr>
            </w:pPr>
            <w:bookmarkStart w:id="326" w:name="_Toc9490"/>
            <w:r>
              <w:rPr>
                <w:rFonts w:hint="eastAsia" w:ascii="Times New Roman" w:hAnsi="Times New Roman" w:eastAsia="宋体" w:cs="Times New Roman"/>
                <w:b w:val="0"/>
                <w:bCs w:val="0"/>
                <w:color w:val="000000" w:themeColor="text1"/>
                <w:sz w:val="21"/>
                <w:szCs w:val="21"/>
                <w:vertAlign w:val="baseline"/>
                <w:lang w:eastAsia="zh-CN"/>
              </w:rPr>
              <w:t>达标</w:t>
            </w:r>
            <w:bookmarkEnd w:id="326"/>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lang w:eastAsia="zh-CN"/>
        </w:rPr>
      </w:pPr>
      <w:r>
        <w:rPr>
          <w:rFonts w:hint="default" w:ascii="Times New Roman" w:hAnsi="Times New Roman" w:eastAsia="宋体" w:cs="Times New Roman"/>
          <w:b/>
          <w:bCs/>
          <w:color w:val="000000" w:themeColor="text1"/>
          <w:sz w:val="24"/>
          <w:szCs w:val="24"/>
        </w:rPr>
        <w:t>（</w:t>
      </w:r>
      <w:r>
        <w:rPr>
          <w:rFonts w:hint="eastAsia" w:ascii="Times New Roman" w:hAnsi="Times New Roman" w:eastAsia="宋体" w:cs="Times New Roman"/>
          <w:b/>
          <w:bCs/>
          <w:color w:val="000000" w:themeColor="text1"/>
          <w:sz w:val="24"/>
          <w:szCs w:val="24"/>
          <w:lang w:val="en-US" w:eastAsia="zh-CN"/>
        </w:rPr>
        <w:t>6</w:t>
      </w:r>
      <w:r>
        <w:rPr>
          <w:rFonts w:hint="default" w:ascii="Times New Roman" w:hAnsi="Times New Roman" w:eastAsia="宋体" w:cs="Times New Roman"/>
          <w:b/>
          <w:bCs/>
          <w:color w:val="000000" w:themeColor="text1"/>
          <w:sz w:val="24"/>
          <w:szCs w:val="24"/>
        </w:rPr>
        <w:t>）评价结果</w:t>
      </w:r>
      <w:r>
        <w:rPr>
          <w:rFonts w:hint="default" w:ascii="Times New Roman" w:hAnsi="Times New Roman" w:eastAsia="宋体" w:cs="Times New Roman"/>
          <w:b/>
          <w:bCs/>
          <w:color w:val="000000" w:themeColor="text1"/>
          <w:sz w:val="24"/>
          <w:szCs w:val="24"/>
          <w:lang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评价区域各环境空气监测点TSP符合《环境空气质量标准》（GB3095-2012）二级标准浓度限值。</w:t>
      </w:r>
    </w:p>
    <w:p>
      <w:pPr>
        <w:pStyle w:val="5"/>
        <w:rPr>
          <w:rFonts w:hint="eastAsia"/>
          <w:color w:val="000000" w:themeColor="text1"/>
          <w:lang w:val="en-US" w:eastAsia="zh-CN"/>
        </w:rPr>
      </w:pPr>
      <w:bookmarkStart w:id="327" w:name="_Toc22174"/>
      <w:r>
        <w:rPr>
          <w:rFonts w:hint="eastAsia"/>
          <w:color w:val="000000" w:themeColor="text1"/>
        </w:rPr>
        <w:t>地下水环境质量现状监测与评价</w:t>
      </w:r>
      <w:bookmarkEnd w:id="327"/>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1</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点位的布设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地下水埋藏特征、地下水流向以及周边敏感点分布状况，采用控制性布点和功能性布点结合的原则，在充分分析存储、装卸、运输、生产过程、污染处理设施等潜在污染源位置和保证生产安全的基础上，参照《环境影响评价技术导则地下水环境》（HJ610-2016）和《地下水环境监测技术规范》</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HJ/T164-2004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要求布设监测点。</w:t>
      </w:r>
    </w:p>
    <w:p>
      <w:pPr>
        <w:keepNext w:val="0"/>
        <w:keepLines w:val="0"/>
        <w:pageBreakBefore w:val="0"/>
        <w:widowControl w:val="0"/>
        <w:kinsoku/>
        <w:wordWrap/>
        <w:overflowPunct/>
        <w:topLinePunct w:val="0"/>
        <w:bidi w:val="0"/>
        <w:adjustRightInd w:val="0"/>
        <w:snapToGrid w:val="0"/>
        <w:spacing w:line="360" w:lineRule="auto"/>
        <w:ind w:firstLine="482"/>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000000" w:themeColor="text1"/>
          <w:sz w:val="24"/>
          <w:szCs w:val="24"/>
        </w:rPr>
        <w:t>由于本项目位基岩山区，地下水监测点难以布设，根据《环境影响评价技术导则地下水环境》（HJ610-2016）中地8.3.3.3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在包气带厚度超过100m的评价区或者监测井较难布置的基岩山区，地下水监测点数无法满足要求时，可视情况调整数量。一般情况下，该类地区一、二级评价项目至少设置3个监测点</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。本次结合评价区内调查结果，项目位于基岩山区，周边居民较少，水源井较少，</w:t>
      </w:r>
      <w:r>
        <w:rPr>
          <w:rFonts w:hint="eastAsia" w:ascii="Times New Roman" w:hAnsi="Times New Roman" w:eastAsia="宋体" w:cs="Times New Roman"/>
          <w:color w:val="000000" w:themeColor="text1"/>
          <w:sz w:val="24"/>
          <w:szCs w:val="24"/>
          <w:lang w:val="en-US" w:eastAsia="zh-CN"/>
        </w:rPr>
        <w:t>周边居民现在全部饮用自来水，水源井已全部废弃，不存在集中水源地和分散水源地，</w:t>
      </w:r>
      <w:r>
        <w:rPr>
          <w:rFonts w:hint="default" w:ascii="Times New Roman" w:hAnsi="Times New Roman" w:eastAsia="宋体" w:cs="Times New Roman"/>
          <w:color w:val="000000" w:themeColor="text1"/>
          <w:sz w:val="24"/>
          <w:szCs w:val="24"/>
        </w:rPr>
        <w:t>共布设了</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个地下水质及水位监测点位，各监测点信息见表4.2-6</w:t>
      </w:r>
      <w:r>
        <w:rPr>
          <w:rFonts w:hint="default" w:ascii="Times New Roman" w:hAnsi="Times New Roman" w:eastAsia="宋体" w:cs="Times New Roman"/>
          <w:color w:val="FF0000"/>
          <w:sz w:val="24"/>
          <w:szCs w:val="24"/>
        </w:rPr>
        <w:t>。</w:t>
      </w:r>
    </w:p>
    <w:p>
      <w:pPr>
        <w:snapToGrid w:val="0"/>
        <w:ind w:firstLine="0" w:firstLineChars="0"/>
        <w:jc w:val="center"/>
        <w:rPr>
          <w:color w:val="000000" w:themeColor="text1"/>
          <w:sz w:val="21"/>
          <w:szCs w:val="21"/>
        </w:rPr>
      </w:pPr>
      <w:r>
        <w:rPr>
          <w:rFonts w:hint="default" w:ascii="Times New Roman" w:hAnsi="Times New Roman" w:eastAsia="宋体" w:cs="Times New Roman"/>
          <w:b/>
          <w:color w:val="000000" w:themeColor="text1"/>
          <w:sz w:val="21"/>
          <w:szCs w:val="21"/>
        </w:rPr>
        <w:t>表4.2-6  评价区内地下水监测布点情况一览表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61"/>
        <w:gridCol w:w="1385"/>
        <w:gridCol w:w="1151"/>
        <w:gridCol w:w="1181"/>
        <w:gridCol w:w="1705"/>
        <w:gridCol w:w="991"/>
        <w:gridCol w:w="7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blHeader/>
          <w:jc w:val="center"/>
        </w:trPr>
        <w:tc>
          <w:tcPr>
            <w:tcW w:w="800"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序号</w:t>
            </w:r>
          </w:p>
        </w:tc>
        <w:tc>
          <w:tcPr>
            <w:tcW w:w="96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位置</w:t>
            </w:r>
          </w:p>
        </w:tc>
        <w:tc>
          <w:tcPr>
            <w:tcW w:w="1385"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点位说明</w:t>
            </w:r>
          </w:p>
        </w:tc>
        <w:tc>
          <w:tcPr>
            <w:tcW w:w="115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FF0000"/>
                <w:sz w:val="21"/>
                <w:szCs w:val="21"/>
                <w:lang w:eastAsia="zh-CN"/>
              </w:rPr>
            </w:pPr>
            <w:r>
              <w:rPr>
                <w:rFonts w:hint="eastAsia" w:ascii="Times New Roman" w:hAnsi="Times New Roman" w:eastAsia="宋体" w:cs="Times New Roman"/>
                <w:bCs/>
                <w:color w:val="FF0000"/>
                <w:sz w:val="21"/>
                <w:szCs w:val="21"/>
                <w:lang w:eastAsia="zh-CN"/>
              </w:rPr>
              <w:t>监测层位</w:t>
            </w:r>
          </w:p>
        </w:tc>
        <w:tc>
          <w:tcPr>
            <w:tcW w:w="118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FF0000"/>
                <w:sz w:val="21"/>
                <w:szCs w:val="21"/>
                <w:lang w:eastAsia="zh-CN"/>
              </w:rPr>
            </w:pPr>
            <w:r>
              <w:rPr>
                <w:rFonts w:hint="eastAsia" w:ascii="Times New Roman" w:hAnsi="Times New Roman" w:eastAsia="宋体" w:cs="Times New Roman"/>
                <w:bCs/>
                <w:color w:val="FF0000"/>
                <w:sz w:val="21"/>
                <w:szCs w:val="21"/>
                <w:lang w:eastAsia="zh-CN"/>
              </w:rPr>
              <w:t>使用功能</w:t>
            </w:r>
          </w:p>
        </w:tc>
        <w:tc>
          <w:tcPr>
            <w:tcW w:w="1705"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坐标</w:t>
            </w:r>
          </w:p>
        </w:tc>
        <w:tc>
          <w:tcPr>
            <w:tcW w:w="99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监测项目</w:t>
            </w:r>
          </w:p>
        </w:tc>
        <w:tc>
          <w:tcPr>
            <w:tcW w:w="783"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00"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w:t>
            </w:r>
          </w:p>
        </w:tc>
        <w:tc>
          <w:tcPr>
            <w:tcW w:w="96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W01</w:t>
            </w:r>
          </w:p>
        </w:tc>
        <w:tc>
          <w:tcPr>
            <w:tcW w:w="13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羊须沟</w:t>
            </w:r>
            <w:r>
              <w:rPr>
                <w:rFonts w:hint="eastAsia" w:ascii="Times New Roman" w:hAnsi="Times New Roman" w:eastAsia="宋体" w:cs="Times New Roman"/>
                <w:bCs/>
                <w:color w:val="000000" w:themeColor="text1"/>
                <w:sz w:val="21"/>
                <w:szCs w:val="21"/>
                <w:lang w:val="en-US" w:eastAsia="zh-CN"/>
              </w:rPr>
              <w:t>1号泉眼</w:t>
            </w:r>
          </w:p>
        </w:tc>
        <w:tc>
          <w:tcPr>
            <w:tcW w:w="115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w:t>
            </w:r>
          </w:p>
        </w:tc>
        <w:tc>
          <w:tcPr>
            <w:tcW w:w="118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w:t>
            </w:r>
          </w:p>
        </w:tc>
        <w:tc>
          <w:tcPr>
            <w:tcW w:w="17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53.63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34.4</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99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水位、水质</w:t>
            </w:r>
          </w:p>
        </w:tc>
        <w:tc>
          <w:tcPr>
            <w:tcW w:w="783" w:type="dxa"/>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监测一天，一次</w:t>
            </w:r>
            <w:r>
              <w:rPr>
                <w:rFonts w:hint="default" w:ascii="Times New Roman" w:hAnsi="Times New Roman" w:eastAsia="宋体" w:cs="Times New Roman"/>
                <w:bCs/>
                <w:color w:val="000000" w:themeColor="text1"/>
                <w:sz w:val="21"/>
                <w:szCs w:val="21"/>
                <w:lang w:val="en-US" w:eastAsia="zh-CN"/>
              </w:rPr>
              <w:t>1</w:t>
            </w:r>
            <w:r>
              <w:rPr>
                <w:rFonts w:hint="default" w:ascii="Times New Roman" w:hAnsi="Times New Roman" w:eastAsia="宋体" w:cs="Times New Roman"/>
                <w:bCs/>
                <w:color w:val="000000" w:themeColor="text1"/>
                <w:sz w:val="21"/>
                <w:szCs w:val="21"/>
              </w:rPr>
              <w:t>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800"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w:t>
            </w:r>
          </w:p>
        </w:tc>
        <w:tc>
          <w:tcPr>
            <w:tcW w:w="96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W02</w:t>
            </w:r>
          </w:p>
        </w:tc>
        <w:tc>
          <w:tcPr>
            <w:tcW w:w="13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羊须沟</w:t>
            </w:r>
            <w:r>
              <w:rPr>
                <w:rFonts w:hint="eastAsia" w:ascii="Times New Roman" w:hAnsi="Times New Roman" w:eastAsia="宋体" w:cs="Times New Roman"/>
                <w:bCs/>
                <w:color w:val="000000" w:themeColor="text1"/>
                <w:sz w:val="21"/>
                <w:szCs w:val="21"/>
                <w:lang w:val="en-US" w:eastAsia="zh-CN"/>
              </w:rPr>
              <w:t>2号泉眼</w:t>
            </w:r>
          </w:p>
        </w:tc>
        <w:tc>
          <w:tcPr>
            <w:tcW w:w="115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w:t>
            </w:r>
          </w:p>
        </w:tc>
        <w:tc>
          <w:tcPr>
            <w:tcW w:w="118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w:t>
            </w:r>
          </w:p>
        </w:tc>
        <w:tc>
          <w:tcPr>
            <w:tcW w:w="17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57.68</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31.36</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99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水位、水质</w:t>
            </w:r>
          </w:p>
        </w:tc>
        <w:tc>
          <w:tcPr>
            <w:tcW w:w="783" w:type="dxa"/>
            <w:vMerge w:val="continue"/>
            <w:tcBorders>
              <w:tl2br w:val="nil"/>
              <w:tr2bl w:val="nil"/>
            </w:tcBorders>
            <w:shd w:val="clear" w:color="auto" w:fill="auto"/>
            <w:vAlign w:val="center"/>
          </w:tcPr>
          <w:p>
            <w:pPr>
              <w:adjustRightInd w:val="0"/>
              <w:snapToGrid w:val="0"/>
              <w:spacing w:line="240" w:lineRule="auto"/>
              <w:ind w:firstLine="420"/>
              <w:jc w:val="center"/>
              <w:rPr>
                <w:rFonts w:hint="default" w:ascii="Times New Roman" w:hAnsi="Times New Roman" w:eastAsia="宋体" w:cs="Times New Roman"/>
                <w:bCs/>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800"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w:t>
            </w:r>
          </w:p>
        </w:tc>
        <w:tc>
          <w:tcPr>
            <w:tcW w:w="96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W03</w:t>
            </w:r>
          </w:p>
        </w:tc>
        <w:tc>
          <w:tcPr>
            <w:tcW w:w="13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构皮沟</w:t>
            </w:r>
            <w:r>
              <w:rPr>
                <w:rFonts w:hint="eastAsia" w:ascii="Times New Roman" w:hAnsi="Times New Roman" w:eastAsia="宋体" w:cs="Times New Roman"/>
                <w:bCs/>
                <w:color w:val="000000" w:themeColor="text1"/>
                <w:sz w:val="21"/>
                <w:szCs w:val="21"/>
                <w:lang w:val="en-US" w:eastAsia="zh-CN"/>
              </w:rPr>
              <w:t>1号水井</w:t>
            </w:r>
          </w:p>
        </w:tc>
        <w:tc>
          <w:tcPr>
            <w:tcW w:w="115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eastAsia="zh-CN"/>
              </w:rPr>
            </w:pPr>
            <w:r>
              <w:rPr>
                <w:rFonts w:hint="eastAsia" w:ascii="Times New Roman" w:hAnsi="Times New Roman" w:eastAsia="宋体" w:cs="Times New Roman"/>
                <w:bCs/>
                <w:color w:val="FF0000"/>
                <w:sz w:val="21"/>
                <w:szCs w:val="21"/>
                <w:lang w:eastAsia="zh-CN"/>
              </w:rPr>
              <w:t>浅层地下水</w:t>
            </w:r>
          </w:p>
        </w:tc>
        <w:tc>
          <w:tcPr>
            <w:tcW w:w="118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eastAsia="zh-CN"/>
              </w:rPr>
            </w:pPr>
            <w:r>
              <w:rPr>
                <w:rFonts w:hint="eastAsia" w:ascii="Times New Roman" w:hAnsi="Times New Roman" w:eastAsia="宋体" w:cs="Times New Roman"/>
                <w:bCs/>
                <w:color w:val="FF0000"/>
                <w:sz w:val="21"/>
                <w:szCs w:val="21"/>
                <w:lang w:eastAsia="zh-CN"/>
              </w:rPr>
              <w:t>已废弃</w:t>
            </w:r>
          </w:p>
        </w:tc>
        <w:tc>
          <w:tcPr>
            <w:tcW w:w="17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35.94</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28.27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99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水位、水质</w:t>
            </w:r>
          </w:p>
        </w:tc>
        <w:tc>
          <w:tcPr>
            <w:tcW w:w="783" w:type="dxa"/>
            <w:vMerge w:val="continue"/>
            <w:tcBorders>
              <w:tl2br w:val="nil"/>
              <w:tr2bl w:val="nil"/>
            </w:tcBorders>
            <w:shd w:val="clear" w:color="auto" w:fill="auto"/>
            <w:vAlign w:val="center"/>
          </w:tcPr>
          <w:p>
            <w:pPr>
              <w:adjustRightInd w:val="0"/>
              <w:snapToGrid w:val="0"/>
              <w:spacing w:line="240" w:lineRule="auto"/>
              <w:ind w:firstLine="420"/>
              <w:jc w:val="center"/>
              <w:rPr>
                <w:rFonts w:hint="default" w:ascii="Times New Roman" w:hAnsi="Times New Roman" w:eastAsia="宋体" w:cs="Times New Roman"/>
                <w:bCs/>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800"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w:t>
            </w:r>
          </w:p>
        </w:tc>
        <w:tc>
          <w:tcPr>
            <w:tcW w:w="96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W04</w:t>
            </w:r>
          </w:p>
        </w:tc>
        <w:tc>
          <w:tcPr>
            <w:tcW w:w="13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构皮沟</w:t>
            </w:r>
            <w:r>
              <w:rPr>
                <w:rFonts w:hint="eastAsia" w:ascii="Times New Roman" w:hAnsi="Times New Roman" w:eastAsia="宋体" w:cs="Times New Roman"/>
                <w:bCs/>
                <w:color w:val="000000" w:themeColor="text1"/>
                <w:sz w:val="21"/>
                <w:szCs w:val="21"/>
                <w:lang w:val="en-US" w:eastAsia="zh-CN"/>
              </w:rPr>
              <w:t>2号水井</w:t>
            </w:r>
          </w:p>
        </w:tc>
        <w:tc>
          <w:tcPr>
            <w:tcW w:w="115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eastAsia="zh-CN"/>
              </w:rPr>
            </w:pPr>
            <w:r>
              <w:rPr>
                <w:rFonts w:hint="eastAsia" w:ascii="Times New Roman" w:hAnsi="Times New Roman" w:eastAsia="宋体" w:cs="Times New Roman"/>
                <w:bCs/>
                <w:color w:val="FF0000"/>
                <w:sz w:val="21"/>
                <w:szCs w:val="21"/>
                <w:lang w:eastAsia="zh-CN"/>
              </w:rPr>
              <w:t>浅层地下水</w:t>
            </w:r>
          </w:p>
        </w:tc>
        <w:tc>
          <w:tcPr>
            <w:tcW w:w="118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eastAsia="zh-CN"/>
              </w:rPr>
            </w:pPr>
            <w:r>
              <w:rPr>
                <w:rFonts w:hint="eastAsia" w:ascii="Times New Roman" w:hAnsi="Times New Roman" w:eastAsia="宋体" w:cs="Times New Roman"/>
                <w:bCs/>
                <w:color w:val="FF0000"/>
                <w:sz w:val="21"/>
                <w:szCs w:val="21"/>
                <w:lang w:eastAsia="zh-CN"/>
              </w:rPr>
              <w:t>已废弃</w:t>
            </w:r>
          </w:p>
        </w:tc>
        <w:tc>
          <w:tcPr>
            <w:tcW w:w="17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3.23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18.23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99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水位、水质</w:t>
            </w:r>
          </w:p>
        </w:tc>
        <w:tc>
          <w:tcPr>
            <w:tcW w:w="783" w:type="dxa"/>
            <w:vMerge w:val="continue"/>
            <w:tcBorders>
              <w:tl2br w:val="nil"/>
              <w:tr2bl w:val="nil"/>
            </w:tcBorders>
            <w:shd w:val="clear" w:color="auto" w:fill="auto"/>
            <w:vAlign w:val="center"/>
          </w:tcPr>
          <w:p>
            <w:pPr>
              <w:adjustRightInd w:val="0"/>
              <w:snapToGrid w:val="0"/>
              <w:spacing w:line="240" w:lineRule="auto"/>
              <w:ind w:firstLine="420"/>
              <w:jc w:val="center"/>
              <w:rPr>
                <w:rFonts w:hint="default" w:ascii="Times New Roman" w:hAnsi="Times New Roman" w:eastAsia="宋体" w:cs="Times New Roman"/>
                <w:bCs/>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800"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lang w:val="en-US" w:eastAsia="zh-CN"/>
              </w:rPr>
              <w:t>5</w:t>
            </w:r>
          </w:p>
        </w:tc>
        <w:tc>
          <w:tcPr>
            <w:tcW w:w="96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bCs/>
                <w:color w:val="000000" w:themeColor="text1"/>
                <w:sz w:val="21"/>
                <w:szCs w:val="21"/>
              </w:rPr>
              <w:t>W0</w:t>
            </w:r>
            <w:r>
              <w:rPr>
                <w:rFonts w:hint="eastAsia" w:ascii="Times New Roman" w:hAnsi="Times New Roman" w:eastAsia="宋体" w:cs="Times New Roman"/>
                <w:bCs/>
                <w:color w:val="000000" w:themeColor="text1"/>
                <w:sz w:val="21"/>
                <w:szCs w:val="21"/>
                <w:lang w:val="en-US" w:eastAsia="zh-CN"/>
              </w:rPr>
              <w:t>5</w:t>
            </w:r>
          </w:p>
        </w:tc>
        <w:tc>
          <w:tcPr>
            <w:tcW w:w="13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矿山自用泉眼</w:t>
            </w:r>
          </w:p>
        </w:tc>
        <w:tc>
          <w:tcPr>
            <w:tcW w:w="115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w:t>
            </w:r>
          </w:p>
        </w:tc>
        <w:tc>
          <w:tcPr>
            <w:tcW w:w="118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w:t>
            </w:r>
          </w:p>
        </w:tc>
        <w:tc>
          <w:tcPr>
            <w:tcW w:w="17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36</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54.88</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41.26</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991"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水位、水质</w:t>
            </w:r>
          </w:p>
        </w:tc>
        <w:tc>
          <w:tcPr>
            <w:tcW w:w="783" w:type="dxa"/>
            <w:vMerge w:val="continue"/>
            <w:tcBorders>
              <w:tl2br w:val="nil"/>
              <w:tr2bl w:val="nil"/>
            </w:tcBorders>
            <w:shd w:val="clear" w:color="auto" w:fill="auto"/>
            <w:vAlign w:val="center"/>
          </w:tcPr>
          <w:p>
            <w:pPr>
              <w:adjustRightInd w:val="0"/>
              <w:snapToGrid w:val="0"/>
              <w:spacing w:line="240" w:lineRule="auto"/>
              <w:ind w:firstLine="420"/>
              <w:jc w:val="center"/>
              <w:rPr>
                <w:rFonts w:hint="default" w:ascii="Times New Roman" w:hAnsi="Times New Roman" w:eastAsia="宋体" w:cs="Times New Roman"/>
                <w:bCs/>
                <w:color w:val="000000" w:themeColor="text1"/>
                <w:sz w:val="21"/>
                <w:szCs w:val="21"/>
              </w:rPr>
            </w:pP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2</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监测时段与监测频次</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202</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年3月</w:t>
      </w:r>
      <w:r>
        <w:rPr>
          <w:rFonts w:hint="eastAsia" w:ascii="Times New Roman" w:hAnsi="Times New Roman" w:eastAsia="宋体" w:cs="Times New Roman"/>
          <w:color w:val="000000" w:themeColor="text1"/>
          <w:sz w:val="24"/>
          <w:szCs w:val="24"/>
          <w:lang w:val="en-US" w:eastAsia="zh-CN"/>
        </w:rPr>
        <w:t>11</w:t>
      </w:r>
      <w:r>
        <w:rPr>
          <w:rFonts w:hint="default" w:ascii="Times New Roman" w:hAnsi="Times New Roman" w:eastAsia="宋体" w:cs="Times New Roman"/>
          <w:color w:val="000000" w:themeColor="text1"/>
          <w:sz w:val="24"/>
          <w:szCs w:val="24"/>
        </w:rPr>
        <w:t>日进行取样监测，监测一天，一次</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天。</w:t>
      </w:r>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color w:val="000000" w:themeColor="text1"/>
          <w:sz w:val="24"/>
          <w:szCs w:val="24"/>
          <w:lang w:val="de-DE"/>
        </w:rPr>
      </w:pP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3</w:t>
      </w:r>
      <w:r>
        <w:rPr>
          <w:rFonts w:hint="eastAsia" w:ascii="Times New Roman" w:hAnsi="Times New Roman" w:eastAsia="宋体" w:cs="Times New Roman"/>
          <w:b/>
          <w:bCs/>
          <w:color w:val="000000" w:themeColor="text1"/>
          <w:sz w:val="24"/>
          <w:szCs w:val="24"/>
          <w:lang w:eastAsia="zh-CN"/>
        </w:rPr>
        <w:t>）监测项目及采样分析方法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de-DE"/>
        </w:rPr>
      </w:pPr>
      <w:r>
        <w:rPr>
          <w:rFonts w:hint="default" w:ascii="Times New Roman" w:hAnsi="Times New Roman" w:eastAsia="宋体" w:cs="Times New Roman"/>
          <w:color w:val="000000" w:themeColor="text1"/>
          <w:sz w:val="24"/>
          <w:szCs w:val="24"/>
          <w:lang w:val="de-DE"/>
        </w:rPr>
        <w:t>水质样品的管理、分析化验和质量控制按《地下水环境监测技术规范》（</w:t>
      </w:r>
      <w:r>
        <w:rPr>
          <w:rFonts w:hint="default" w:ascii="Times New Roman" w:hAnsi="Times New Roman" w:eastAsia="宋体" w:cs="Times New Roman"/>
          <w:color w:val="000000" w:themeColor="text1"/>
          <w:sz w:val="24"/>
          <w:szCs w:val="24"/>
        </w:rPr>
        <w:t>HJ/T 164-20</w:t>
      </w:r>
      <w:r>
        <w:rPr>
          <w:rFonts w:hint="eastAsia" w:ascii="Times New Roman" w:hAnsi="Times New Roman" w:eastAsia="宋体" w:cs="Times New Roman"/>
          <w:color w:val="000000" w:themeColor="text1"/>
          <w:sz w:val="24"/>
          <w:szCs w:val="24"/>
          <w:lang w:val="en-US" w:eastAsia="zh-CN"/>
        </w:rPr>
        <w:t>20</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de-DE"/>
        </w:rPr>
        <w:t>进行，</w:t>
      </w:r>
      <w:r>
        <w:rPr>
          <w:rFonts w:hint="default" w:ascii="Times New Roman" w:hAnsi="Times New Roman" w:eastAsia="宋体" w:cs="Times New Roman"/>
          <w:color w:val="000000" w:themeColor="text1"/>
          <w:sz w:val="24"/>
          <w:szCs w:val="24"/>
        </w:rPr>
        <w:t>监测项目分析方法见表4.2-7</w:t>
      </w:r>
      <w:r>
        <w:rPr>
          <w:rFonts w:hint="default" w:ascii="Times New Roman" w:hAnsi="Times New Roman" w:eastAsia="宋体" w:cs="Times New Roman"/>
          <w:color w:val="000000" w:themeColor="text1"/>
          <w:sz w:val="24"/>
          <w:szCs w:val="24"/>
          <w:lang w:val="de-DE"/>
        </w:rPr>
        <w:t>。</w:t>
      </w:r>
    </w:p>
    <w:p>
      <w:pPr>
        <w:pStyle w:val="25"/>
        <w:spacing w:beforeLines="0" w:afterLines="0"/>
        <w:rPr>
          <w:rFonts w:hint="default" w:ascii="Times New Roman" w:hAnsi="Times New Roman" w:eastAsia="宋体" w:cs="Times New Roman"/>
          <w:b/>
          <w:bCs w:val="0"/>
          <w:color w:val="000000" w:themeColor="text1"/>
          <w:sz w:val="21"/>
          <w:szCs w:val="21"/>
          <w:vertAlign w:val="baseline"/>
        </w:rPr>
      </w:pPr>
      <w:r>
        <w:rPr>
          <w:rFonts w:hint="default" w:ascii="Times New Roman" w:hAnsi="Times New Roman" w:eastAsia="宋体" w:cs="Times New Roman"/>
          <w:b/>
          <w:bCs w:val="0"/>
          <w:color w:val="000000" w:themeColor="text1"/>
          <w:sz w:val="21"/>
          <w:szCs w:val="21"/>
        </w:rPr>
        <w:t>表4.2-7  地下水监测分析方法</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3711"/>
        <w:gridCol w:w="1352"/>
        <w:gridCol w:w="22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6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分析项目</w:t>
            </w:r>
          </w:p>
        </w:tc>
        <w:tc>
          <w:tcPr>
            <w:tcW w:w="371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分析依据及方法</w:t>
            </w:r>
          </w:p>
        </w:tc>
        <w:tc>
          <w:tcPr>
            <w:tcW w:w="13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lang w:val="en-US" w:eastAsia="zh-CN"/>
              </w:rPr>
              <w:t>检</w:t>
            </w:r>
            <w:r>
              <w:rPr>
                <w:rFonts w:hint="default" w:ascii="Times New Roman" w:hAnsi="Times New Roman" w:cs="Times New Roman"/>
                <w:b/>
                <w:bCs/>
                <w:color w:val="000000" w:themeColor="text1"/>
                <w:sz w:val="21"/>
                <w:szCs w:val="21"/>
              </w:rPr>
              <w:t>出限</w:t>
            </w:r>
          </w:p>
        </w:tc>
        <w:tc>
          <w:tcPr>
            <w:tcW w:w="22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仪器设备及编号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pH值</w:t>
            </w:r>
          </w:p>
        </w:tc>
        <w:tc>
          <w:tcPr>
            <w:tcW w:w="3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 xml:space="preserve">水质 pH值的测定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vertAlign w:val="baseline"/>
                <w:lang w:val="en-US" w:eastAsia="zh-CN"/>
              </w:rPr>
              <w:t>电极法</w:t>
            </w:r>
            <w:r>
              <w:rPr>
                <w:rFonts w:hint="eastAsia" w:ascii="Times New Roman" w:hAnsi="Times New Roman" w:cs="Times New Roman"/>
                <w:color w:val="000000" w:themeColor="text1"/>
                <w:sz w:val="21"/>
                <w:szCs w:val="21"/>
                <w:vertAlign w:val="baseline"/>
                <w:lang w:val="en-US" w:eastAsia="zh-CN"/>
              </w:rPr>
              <w:t xml:space="preserve"> </w:t>
            </w:r>
            <w:r>
              <w:rPr>
                <w:rFonts w:hint="default" w:ascii="Times New Roman" w:hAnsi="Times New Roman" w:cs="Times New Roman"/>
                <w:color w:val="000000" w:themeColor="text1"/>
                <w:sz w:val="21"/>
                <w:szCs w:val="21"/>
                <w:vertAlign w:val="baseline"/>
                <w:lang w:val="en-US" w:eastAsia="zh-CN"/>
              </w:rPr>
              <w:t>HJ 1147-2020</w:t>
            </w:r>
          </w:p>
        </w:tc>
        <w:tc>
          <w:tcPr>
            <w:tcW w:w="13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vertAlign w:val="baseline"/>
                <w:lang w:val="en-US" w:eastAsia="zh-CN"/>
              </w:rPr>
              <w:t>/</w:t>
            </w:r>
          </w:p>
        </w:tc>
        <w:tc>
          <w:tcPr>
            <w:tcW w:w="2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testo206-pH1</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vertAlign w:val="baseline"/>
                <w:lang w:val="en-US" w:eastAsia="zh-CN"/>
              </w:rPr>
              <w:t>便携式pH计/SPC-025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eastAsia" w:ascii="Times New Roman" w:hAnsi="Times New Roman" w:cs="Times New Roman"/>
                <w:color w:val="000000" w:themeColor="text1"/>
                <w:sz w:val="21"/>
                <w:szCs w:val="21"/>
                <w:highlight w:val="none"/>
                <w:vertAlign w:val="baseline"/>
                <w:lang w:val="en-US" w:eastAsia="zh-CN"/>
              </w:rPr>
              <w:t>钾（K</w:t>
            </w:r>
            <w:r>
              <w:rPr>
                <w:rFonts w:hint="eastAsia" w:ascii="Times New Roman" w:hAnsi="Times New Roman" w:cs="Times New Roman"/>
                <w:color w:val="000000" w:themeColor="text1"/>
                <w:sz w:val="21"/>
                <w:szCs w:val="21"/>
                <w:highlight w:val="none"/>
                <w:vertAlign w:val="superscript"/>
                <w:lang w:val="en-US" w:eastAsia="zh-CN"/>
              </w:rPr>
              <w:t>+</w:t>
            </w:r>
            <w:r>
              <w:rPr>
                <w:rFonts w:hint="eastAsia" w:ascii="Times New Roman" w:hAnsi="Times New Roman" w:cs="Times New Roman"/>
                <w:color w:val="000000" w:themeColor="text1"/>
                <w:sz w:val="21"/>
                <w:szCs w:val="21"/>
                <w:highlight w:val="none"/>
                <w:vertAlign w:val="baseline"/>
                <w:lang w:val="en-US" w:eastAsia="zh-CN"/>
              </w:rPr>
              <w:t>）</w:t>
            </w:r>
          </w:p>
        </w:tc>
        <w:tc>
          <w:tcPr>
            <w:tcW w:w="371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水质 可溶性阳离子的测定</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离子色谱法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HJ 812-2016</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rPr>
            </w:pPr>
            <w:r>
              <w:rPr>
                <w:rFonts w:hint="default" w:ascii="Times New Roman" w:hAnsi="Times New Roman" w:cs="Times New Roman"/>
                <w:color w:val="000000" w:themeColor="text1"/>
                <w:sz w:val="21"/>
                <w:szCs w:val="21"/>
                <w:vertAlign w:val="baseline"/>
                <w:lang w:val="en-US" w:eastAsia="zh-CN"/>
              </w:rPr>
              <w:t>0.02mg/L</w:t>
            </w:r>
          </w:p>
        </w:tc>
        <w:tc>
          <w:tcPr>
            <w:tcW w:w="22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PIC-10A离子色谱仪/SPS-008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lang w:val="en-US" w:eastAsia="zh-CN"/>
              </w:rPr>
              <w:t>钠（</w:t>
            </w:r>
            <w:r>
              <w:rPr>
                <w:rFonts w:hint="default" w:ascii="Times New Roman" w:hAnsi="Times New Roman" w:cs="Times New Roman"/>
                <w:color w:val="000000" w:themeColor="text1"/>
                <w:sz w:val="21"/>
                <w:szCs w:val="21"/>
                <w:highlight w:val="none"/>
              </w:rPr>
              <w:t>Na</w:t>
            </w:r>
            <w:r>
              <w:rPr>
                <w:rFonts w:hint="default" w:ascii="Times New Roman" w:hAnsi="Times New Roman" w:cs="Times New Roman"/>
                <w:color w:val="000000" w:themeColor="text1"/>
                <w:sz w:val="21"/>
                <w:szCs w:val="21"/>
                <w:highlight w:val="none"/>
                <w:vertAlign w:val="superscript"/>
              </w:rPr>
              <w:t>+</w:t>
            </w:r>
            <w:r>
              <w:rPr>
                <w:rFonts w:hint="eastAsia" w:ascii="Times New Roman" w:hAnsi="Times New Roman" w:cs="Times New Roman"/>
                <w:color w:val="000000" w:themeColor="text1"/>
                <w:sz w:val="21"/>
                <w:szCs w:val="21"/>
                <w:highlight w:val="none"/>
                <w:lang w:val="en-US"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0.02mg/L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lang w:val="en-US" w:eastAsia="zh-CN"/>
              </w:rPr>
              <w:t>钙（</w:t>
            </w:r>
            <w:r>
              <w:rPr>
                <w:rFonts w:hint="default" w:ascii="Times New Roman" w:hAnsi="Times New Roman" w:cs="Times New Roman"/>
                <w:color w:val="000000" w:themeColor="text1"/>
                <w:sz w:val="21"/>
                <w:szCs w:val="21"/>
                <w:highlight w:val="none"/>
              </w:rPr>
              <w:t>Ca</w:t>
            </w:r>
            <w:r>
              <w:rPr>
                <w:rFonts w:hint="default" w:ascii="Times New Roman" w:hAnsi="Times New Roman" w:cs="Times New Roman"/>
                <w:color w:val="000000" w:themeColor="text1"/>
                <w:sz w:val="21"/>
                <w:szCs w:val="21"/>
                <w:highlight w:val="none"/>
                <w:vertAlign w:val="superscript"/>
              </w:rPr>
              <w:t>2+</w:t>
            </w:r>
            <w:r>
              <w:rPr>
                <w:rFonts w:hint="eastAsia" w:ascii="Times New Roman" w:hAnsi="Times New Roman" w:cs="Times New Roman"/>
                <w:color w:val="000000" w:themeColor="text1"/>
                <w:sz w:val="21"/>
                <w:szCs w:val="21"/>
                <w:highlight w:val="none"/>
                <w:lang w:val="en-US"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0.03mg/L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lang w:val="en-US" w:eastAsia="zh-CN"/>
              </w:rPr>
              <w:t>镁（</w:t>
            </w:r>
            <w:r>
              <w:rPr>
                <w:rFonts w:hint="default" w:ascii="Times New Roman" w:hAnsi="Times New Roman" w:cs="Times New Roman"/>
                <w:color w:val="000000" w:themeColor="text1"/>
                <w:sz w:val="21"/>
                <w:szCs w:val="21"/>
                <w:highlight w:val="none"/>
              </w:rPr>
              <w:t>Mg</w:t>
            </w:r>
            <w:r>
              <w:rPr>
                <w:rFonts w:hint="default" w:ascii="Times New Roman" w:hAnsi="Times New Roman" w:cs="Times New Roman"/>
                <w:color w:val="000000" w:themeColor="text1"/>
                <w:sz w:val="21"/>
                <w:szCs w:val="21"/>
                <w:highlight w:val="none"/>
                <w:vertAlign w:val="superscript"/>
              </w:rPr>
              <w:t>2+</w:t>
            </w:r>
            <w:r>
              <w:rPr>
                <w:rFonts w:hint="eastAsia" w:ascii="Times New Roman" w:hAnsi="Times New Roman" w:cs="Times New Roman"/>
                <w:color w:val="000000" w:themeColor="text1"/>
                <w:sz w:val="21"/>
                <w:szCs w:val="21"/>
                <w:highlight w:val="none"/>
                <w:lang w:val="en-US"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0.02mg/L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砷</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水质 汞、砷、硒、铋和锑的测定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原子荧光法 HJ 694-2014</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red"/>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0.0003mg/L </w:t>
            </w:r>
          </w:p>
        </w:tc>
        <w:tc>
          <w:tcPr>
            <w:tcW w:w="22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vertAlign w:val="baseline"/>
                <w:lang w:val="en-US" w:eastAsia="zh-CN"/>
              </w:rPr>
              <w:t>AFS-9750原子荧光分光光度计/SPS-002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汞</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水质 汞、砷、硒、铋和锑的测定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原子荧光法 HJ 694-2014</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red"/>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0.00004mg/L </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铅</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vertAlign w:val="baseline"/>
                <w:lang w:val="en-US" w:eastAsia="zh-CN"/>
              </w:rPr>
              <w:t>生活饮用水标准检验方法</w:t>
            </w:r>
            <w:r>
              <w:rPr>
                <w:rFonts w:hint="default" w:ascii="Times New Roman" w:hAnsi="Times New Roman" w:cs="Times New Roman"/>
                <w:color w:val="000000" w:themeColor="text1"/>
                <w:sz w:val="21"/>
                <w:szCs w:val="21"/>
                <w:highlight w:val="none"/>
                <w:vertAlign w:val="baseline"/>
                <w:lang w:val="en-US" w:eastAsia="zh-CN"/>
              </w:rPr>
              <w:t>金属指标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（11.1无火焰原子吸收分光光度法）GB/T 5750.6-2006</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 xml:space="preserve">0.0025mg/L </w:t>
            </w:r>
          </w:p>
        </w:tc>
        <w:tc>
          <w:tcPr>
            <w:tcW w:w="22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SP-3803AA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原子吸收分光光度计/SPS-001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镉</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vertAlign w:val="baseline"/>
                <w:lang w:val="en-US" w:eastAsia="zh-CN"/>
              </w:rPr>
              <w:t>生活饮用水标准检验方法</w:t>
            </w:r>
            <w:r>
              <w:rPr>
                <w:rFonts w:hint="default" w:ascii="Times New Roman" w:hAnsi="Times New Roman" w:cs="Times New Roman"/>
                <w:color w:val="000000" w:themeColor="text1"/>
                <w:sz w:val="21"/>
                <w:szCs w:val="21"/>
                <w:highlight w:val="none"/>
                <w:vertAlign w:val="baseline"/>
                <w:lang w:val="en-US" w:eastAsia="zh-CN"/>
              </w:rPr>
              <w:t>金属指标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（9.1无火焰原子吸收分光光度法）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GB/T 5750.6-2006</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vertAlign w:val="baseline"/>
                <w:lang w:val="en-US" w:eastAsia="zh-CN"/>
              </w:rPr>
              <w:t xml:space="preserve">0.0005mg/L </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铁</w:t>
            </w:r>
          </w:p>
        </w:tc>
        <w:tc>
          <w:tcPr>
            <w:tcW w:w="371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 xml:space="preserve">水质 铁、锰的测定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 xml:space="preserve">火焰原子吸收分光光度法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GB 11911-1989</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0.03mg/L</w:t>
            </w:r>
          </w:p>
        </w:tc>
        <w:tc>
          <w:tcPr>
            <w:tcW w:w="22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SP-3803AA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原子吸收分光光度计/SPS-001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锰</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0.01mg/L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vertAlign w:val="baseline"/>
                <w:lang w:val="en-US" w:eastAsia="zh-CN"/>
              </w:rPr>
              <w:t>碳酸根（CO</w:t>
            </w:r>
            <w:r>
              <w:rPr>
                <w:rFonts w:hint="default" w:ascii="Times New Roman" w:hAnsi="Times New Roman" w:cs="Times New Roman"/>
                <w:color w:val="000000" w:themeColor="text1"/>
                <w:sz w:val="21"/>
                <w:szCs w:val="21"/>
                <w:highlight w:val="none"/>
                <w:vertAlign w:val="subscript"/>
                <w:lang w:val="en-US" w:eastAsia="zh-CN"/>
              </w:rPr>
              <w:t>3</w:t>
            </w:r>
            <w:r>
              <w:rPr>
                <w:rFonts w:hint="default" w:ascii="Times New Roman" w:hAnsi="Times New Roman" w:cs="Times New Roman"/>
                <w:color w:val="000000" w:themeColor="text1"/>
                <w:sz w:val="21"/>
                <w:szCs w:val="21"/>
                <w:highlight w:val="none"/>
                <w:vertAlign w:val="superscript"/>
                <w:lang w:val="en-US" w:eastAsia="zh-CN"/>
              </w:rPr>
              <w:t>2-</w:t>
            </w:r>
            <w:r>
              <w:rPr>
                <w:rFonts w:hint="default" w:ascii="Times New Roman" w:hAnsi="Times New Roman" w:cs="Times New Roman"/>
                <w:color w:val="000000" w:themeColor="text1"/>
                <w:sz w:val="21"/>
                <w:szCs w:val="21"/>
                <w:highlight w:val="none"/>
                <w:vertAlign w:val="baseline"/>
                <w:lang w:val="en-US" w:eastAsia="zh-CN"/>
              </w:rPr>
              <w:t>）</w:t>
            </w:r>
          </w:p>
        </w:tc>
        <w:tc>
          <w:tcPr>
            <w:tcW w:w="37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rPr>
              <w:t>地下水质</w:t>
            </w:r>
            <w:r>
              <w:rPr>
                <w:rFonts w:hint="default" w:ascii="Times New Roman" w:hAnsi="Times New Roman" w:cs="Times New Roman"/>
                <w:color w:val="000000" w:themeColor="text1"/>
                <w:sz w:val="21"/>
                <w:szCs w:val="21"/>
                <w:highlight w:val="none"/>
                <w:lang w:val="en-US" w:eastAsia="zh-CN"/>
              </w:rPr>
              <w:t>分析</w:t>
            </w:r>
            <w:r>
              <w:rPr>
                <w:rFonts w:hint="default" w:ascii="Times New Roman" w:hAnsi="Times New Roman" w:cs="Times New Roman"/>
                <w:color w:val="000000" w:themeColor="text1"/>
                <w:sz w:val="21"/>
                <w:szCs w:val="21"/>
                <w:highlight w:val="none"/>
              </w:rPr>
              <w:t xml:space="preserve">方法 </w:t>
            </w:r>
            <w:r>
              <w:rPr>
                <w:rFonts w:hint="default" w:ascii="Times New Roman" w:hAnsi="Times New Roman" w:cs="Times New Roman"/>
                <w:color w:val="000000" w:themeColor="text1"/>
                <w:sz w:val="21"/>
                <w:szCs w:val="21"/>
                <w:highlight w:val="none"/>
                <w:lang w:val="en-US" w:eastAsia="zh-CN"/>
              </w:rPr>
              <w:t>第49部分：</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rPr>
              <w:t>碳酸根、重碳酸根和氢氧根</w:t>
            </w:r>
            <w:r>
              <w:rPr>
                <w:rFonts w:hint="default" w:ascii="Times New Roman" w:hAnsi="Times New Roman" w:cs="Times New Roman"/>
                <w:color w:val="000000" w:themeColor="text1"/>
                <w:sz w:val="21"/>
                <w:szCs w:val="21"/>
                <w:highlight w:val="none"/>
                <w:lang w:val="en-US" w:eastAsia="zh-CN"/>
              </w:rPr>
              <w:t>离子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val="en-US" w:eastAsia="zh-CN"/>
              </w:rPr>
              <w:t>的测定</w:t>
            </w:r>
            <w:r>
              <w:rPr>
                <w:rFonts w:hint="default" w:ascii="Times New Roman" w:hAnsi="Times New Roman" w:cs="Times New Roman"/>
                <w:color w:val="000000" w:themeColor="text1"/>
                <w:sz w:val="21"/>
                <w:szCs w:val="21"/>
                <w:highlight w:val="none"/>
              </w:rPr>
              <w:t>滴定法DZ/T 0064.49-</w:t>
            </w:r>
            <w:r>
              <w:rPr>
                <w:rFonts w:hint="default" w:ascii="Times New Roman" w:hAnsi="Times New Roman" w:cs="Times New Roman"/>
                <w:color w:val="000000" w:themeColor="text1"/>
                <w:sz w:val="21"/>
                <w:szCs w:val="21"/>
                <w:highlight w:val="none"/>
                <w:lang w:val="en-US" w:eastAsia="zh-CN"/>
              </w:rPr>
              <w:t>2021</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1.25mg/L</w:t>
            </w:r>
          </w:p>
        </w:tc>
        <w:tc>
          <w:tcPr>
            <w:tcW w:w="22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25m</w:t>
            </w:r>
            <w:r>
              <w:rPr>
                <w:rFonts w:hint="eastAsia" w:ascii="Times New Roman" w:hAnsi="Times New Roman" w:cs="Times New Roman"/>
                <w:color w:val="000000" w:themeColor="text1"/>
                <w:sz w:val="21"/>
                <w:szCs w:val="21"/>
                <w:vertAlign w:val="baseline"/>
                <w:lang w:val="en-US" w:eastAsia="zh-CN"/>
              </w:rPr>
              <w:t>L</w:t>
            </w:r>
            <w:r>
              <w:rPr>
                <w:rFonts w:hint="default" w:ascii="Times New Roman" w:hAnsi="Times New Roman" w:cs="Times New Roman"/>
                <w:color w:val="000000" w:themeColor="text1"/>
                <w:sz w:val="21"/>
                <w:szCs w:val="21"/>
                <w:vertAlign w:val="baseline"/>
                <w:lang w:val="en-US" w:eastAsia="zh-CN"/>
              </w:rPr>
              <w:t>酸式滴定管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vertAlign w:val="baseline"/>
                <w:lang w:val="en-US" w:eastAsia="zh-CN"/>
              </w:rPr>
              <w:t>重碳酸根（HCO</w:t>
            </w:r>
            <w:r>
              <w:rPr>
                <w:rFonts w:hint="default" w:ascii="Times New Roman" w:hAnsi="Times New Roman" w:cs="Times New Roman"/>
                <w:color w:val="000000" w:themeColor="text1"/>
                <w:sz w:val="21"/>
                <w:szCs w:val="21"/>
                <w:highlight w:val="none"/>
                <w:vertAlign w:val="subscript"/>
                <w:lang w:val="en-US" w:eastAsia="zh-CN"/>
              </w:rPr>
              <w:t>3</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vertAlign w:val="baseline"/>
                <w:lang w:val="en-US"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1.25mg/L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总硬度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（以CaCO</w:t>
            </w:r>
            <w:r>
              <w:rPr>
                <w:rFonts w:hint="default" w:ascii="Times New Roman" w:hAnsi="Times New Roman" w:cs="Times New Roman"/>
                <w:color w:val="000000" w:themeColor="text1"/>
                <w:sz w:val="21"/>
                <w:szCs w:val="21"/>
                <w:highlight w:val="none"/>
                <w:vertAlign w:val="subscript"/>
                <w:lang w:val="en-US" w:eastAsia="zh-CN"/>
              </w:rPr>
              <w:t>3</w:t>
            </w:r>
            <w:r>
              <w:rPr>
                <w:rFonts w:hint="default" w:ascii="Times New Roman" w:hAnsi="Times New Roman" w:cs="Times New Roman"/>
                <w:color w:val="000000" w:themeColor="text1"/>
                <w:sz w:val="21"/>
                <w:szCs w:val="21"/>
                <w:highlight w:val="none"/>
                <w:vertAlign w:val="baseline"/>
                <w:lang w:val="en-US" w:eastAsia="zh-CN"/>
              </w:rPr>
              <w:t>计）</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vertAlign w:val="baseline"/>
                <w:lang w:val="en-US" w:eastAsia="zh-CN"/>
              </w:rPr>
              <w:t>生活饮用水标准检验方法</w:t>
            </w:r>
            <w:r>
              <w:rPr>
                <w:rFonts w:hint="default" w:ascii="Times New Roman" w:hAnsi="Times New Roman" w:cs="Times New Roman"/>
                <w:color w:val="000000" w:themeColor="text1"/>
                <w:sz w:val="21"/>
                <w:szCs w:val="21"/>
                <w:highlight w:val="none"/>
                <w:vertAlign w:val="baseline"/>
                <w:lang w:val="en-US" w:eastAsia="zh-CN"/>
              </w:rPr>
              <w:t>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感官性状和物理指标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（7.1乙二胺四乙酸二钠滴定法）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GB/T 5750.4-2006</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1.0mg/L</w:t>
            </w:r>
          </w:p>
        </w:tc>
        <w:tc>
          <w:tcPr>
            <w:tcW w:w="22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25m</w:t>
            </w:r>
            <w:r>
              <w:rPr>
                <w:rFonts w:hint="eastAsia" w:ascii="Times New Roman" w:hAnsi="Times New Roman" w:cs="Times New Roman"/>
                <w:color w:val="000000" w:themeColor="text1"/>
                <w:sz w:val="21"/>
                <w:szCs w:val="21"/>
                <w:vertAlign w:val="baseline"/>
                <w:lang w:val="en-US" w:eastAsia="zh-CN"/>
              </w:rPr>
              <w:t>L</w:t>
            </w:r>
            <w:r>
              <w:rPr>
                <w:rFonts w:hint="default" w:ascii="Times New Roman" w:hAnsi="Times New Roman" w:cs="Times New Roman"/>
                <w:color w:val="000000" w:themeColor="text1"/>
                <w:sz w:val="21"/>
                <w:szCs w:val="21"/>
                <w:vertAlign w:val="baseline"/>
                <w:lang w:val="en-US" w:eastAsia="zh-CN"/>
              </w:rPr>
              <w:t>酸式滴定管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6"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氨氮</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水质 氨氮的测定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纳氏试剂分光光度法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HJ 535-2009</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 xml:space="preserve">0.025 mg/L </w:t>
            </w:r>
          </w:p>
        </w:tc>
        <w:tc>
          <w:tcPr>
            <w:tcW w:w="22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rPr>
            </w:pPr>
            <w:r>
              <w:rPr>
                <w:rFonts w:hint="default" w:ascii="Times New Roman" w:hAnsi="Times New Roman" w:cs="Times New Roman"/>
                <w:color w:val="000000" w:themeColor="text1"/>
                <w:sz w:val="21"/>
                <w:szCs w:val="21"/>
                <w:vertAlign w:val="baseline"/>
                <w:lang w:val="en-US" w:eastAsia="zh-CN"/>
              </w:rPr>
              <w:t>SP-723可见分光光度计/SPS-005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16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氰化物</w:t>
            </w:r>
          </w:p>
        </w:tc>
        <w:tc>
          <w:tcPr>
            <w:tcW w:w="37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lang w:eastAsia="zh-CN"/>
              </w:rPr>
              <w:t>生活饮用水标准检验方法</w:t>
            </w:r>
            <w:r>
              <w:rPr>
                <w:rFonts w:hint="default" w:ascii="Times New Roman" w:hAnsi="Times New Roman" w:cs="Times New Roman"/>
                <w:color w:val="000000" w:themeColor="text1"/>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无机非金属指标</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（4.1异烟酸-吡唑酮分光光度法）</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rPr>
              <w:t>GB/T 5750.5-2006</w:t>
            </w:r>
          </w:p>
        </w:tc>
        <w:tc>
          <w:tcPr>
            <w:tcW w:w="13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rPr>
            </w:pPr>
            <w:r>
              <w:rPr>
                <w:rFonts w:hint="default" w:ascii="Times New Roman" w:hAnsi="Times New Roman" w:cs="Times New Roman"/>
                <w:color w:val="000000" w:themeColor="text1"/>
                <w:sz w:val="21"/>
                <w:szCs w:val="21"/>
              </w:rPr>
              <w:t>0.002mg/L</w:t>
            </w:r>
          </w:p>
        </w:tc>
        <w:tc>
          <w:tcPr>
            <w:tcW w:w="2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SP-723</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可见分光光度计/SPS-005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挥发酚</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ab/>
            </w:r>
            <w:r>
              <w:rPr>
                <w:rFonts w:hint="default" w:ascii="Times New Roman" w:hAnsi="Times New Roman" w:cs="Times New Roman"/>
                <w:color w:val="000000" w:themeColor="text1"/>
                <w:sz w:val="21"/>
                <w:szCs w:val="21"/>
                <w:highlight w:val="none"/>
                <w:vertAlign w:val="baseline"/>
                <w:lang w:val="en-US" w:eastAsia="zh-CN"/>
              </w:rPr>
              <w:t xml:space="preserve">水质 挥发酚的测定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4-氨基安替比林分光光度法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HJ 503-2009</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0.0003mg/L</w:t>
            </w:r>
          </w:p>
        </w:tc>
        <w:tc>
          <w:tcPr>
            <w:tcW w:w="2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SP-723</w:t>
            </w:r>
          </w:p>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可见分光光度计/SPS-005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六价铬</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vertAlign w:val="baseline"/>
                <w:lang w:val="en-US" w:eastAsia="zh-CN"/>
              </w:rPr>
              <w:t>生活饮用水标准检验方法</w:t>
            </w:r>
            <w:r>
              <w:rPr>
                <w:rFonts w:hint="default" w:ascii="Times New Roman" w:hAnsi="Times New Roman" w:cs="Times New Roman"/>
                <w:color w:val="000000" w:themeColor="text1"/>
                <w:sz w:val="21"/>
                <w:szCs w:val="21"/>
                <w:highlight w:val="none"/>
                <w:vertAlign w:val="baseli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金属指标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（10.1二苯碳酰二肼分光光度法）GB/T 5750.6-2006 </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 xml:space="preserve">0.004mg/L  </w:t>
            </w:r>
          </w:p>
        </w:tc>
        <w:tc>
          <w:tcPr>
            <w:tcW w:w="22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SP-723可见分光光度计/SPS-005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亚硝酸盐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（以</w:t>
            </w:r>
            <w:r>
              <w:rPr>
                <w:rFonts w:hint="default" w:ascii="Times New Roman" w:hAnsi="Times New Roman" w:cs="Times New Roman"/>
                <w:color w:val="000000" w:themeColor="text1"/>
                <w:sz w:val="21"/>
                <w:szCs w:val="21"/>
                <w:highlight w:val="none"/>
                <w:lang w:val="en-US" w:eastAsia="zh-CN"/>
              </w:rPr>
              <w:t>N计</w:t>
            </w:r>
            <w:r>
              <w:rPr>
                <w:rFonts w:hint="default" w:ascii="Times New Roman" w:hAnsi="Times New Roman" w:cs="Times New Roman"/>
                <w:color w:val="000000" w:themeColor="text1"/>
                <w:sz w:val="21"/>
                <w:szCs w:val="21"/>
                <w:highlight w:val="none"/>
                <w:lang w:eastAsia="zh-CN"/>
              </w:rPr>
              <w:t>）</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kern w:val="0"/>
                <w:sz w:val="21"/>
                <w:szCs w:val="21"/>
                <w:lang w:val="en-US" w:eastAsia="zh-CN" w:bidi="ar"/>
              </w:rPr>
              <w:t>水</w:t>
            </w:r>
            <w:r>
              <w:rPr>
                <w:rFonts w:hint="default" w:ascii="Times New Roman" w:hAnsi="Times New Roman" w:cs="Times New Roman"/>
                <w:color w:val="000000" w:themeColor="text1"/>
                <w:sz w:val="21"/>
                <w:szCs w:val="21"/>
                <w:highlight w:val="none"/>
                <w:vertAlign w:val="baseline"/>
                <w:lang w:val="en-US" w:eastAsia="zh-CN"/>
              </w:rPr>
              <w:t xml:space="preserve">质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亚硝酸盐氮的测定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分光光度法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yellow"/>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 GB/T 7493-1987</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 xml:space="preserve">0.003mg/L </w:t>
            </w:r>
          </w:p>
        </w:tc>
        <w:tc>
          <w:tcPr>
            <w:tcW w:w="22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SP-723可见分光光度计/SPS-005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lang w:eastAsia="zh-CN"/>
              </w:rPr>
            </w:pPr>
            <w:r>
              <w:rPr>
                <w:rFonts w:hint="default" w:ascii="Times New Roman" w:hAnsi="Times New Roman" w:cs="Times New Roman"/>
                <w:color w:val="000000" w:themeColor="text1"/>
                <w:sz w:val="21"/>
                <w:szCs w:val="21"/>
                <w:highlight w:val="none"/>
                <w:lang w:eastAsia="zh-CN"/>
              </w:rPr>
              <w:t>溶解性</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总固体</w:t>
            </w:r>
          </w:p>
        </w:tc>
        <w:tc>
          <w:tcPr>
            <w:tcW w:w="37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vertAlign w:val="baseline"/>
                <w:lang w:val="en-US" w:eastAsia="zh-CN"/>
              </w:rPr>
              <w:t>生活饮用水标准检验方法</w:t>
            </w:r>
            <w:r>
              <w:rPr>
                <w:rFonts w:hint="default" w:ascii="Times New Roman" w:hAnsi="Times New Roman" w:cs="Times New Roman"/>
                <w:color w:val="000000" w:themeColor="text1"/>
                <w:sz w:val="21"/>
                <w:szCs w:val="21"/>
                <w:highlight w:val="none"/>
                <w:vertAlign w:val="baseli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感官性状和物理指标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 xml:space="preserve">（8.1称量法）GB/T 5750.4-2006 </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vertAlign w:val="baseline"/>
                <w:lang w:val="en-US" w:eastAsia="zh-CN"/>
              </w:rPr>
              <w:t>/</w:t>
            </w:r>
          </w:p>
        </w:tc>
        <w:tc>
          <w:tcPr>
            <w:tcW w:w="22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ME204 /02电子天平（万分之一）/SPS-011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氟</w:t>
            </w:r>
            <w:r>
              <w:rPr>
                <w:rFonts w:hint="default" w:ascii="Times New Roman" w:hAnsi="Times New Roman" w:cs="Times New Roman"/>
                <w:color w:val="000000" w:themeColor="text1"/>
                <w:sz w:val="21"/>
                <w:szCs w:val="21"/>
                <w:highlight w:val="none"/>
                <w:lang w:val="en-US" w:eastAsia="zh-CN"/>
              </w:rPr>
              <w:t>化物（F</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val="en-US" w:eastAsia="zh-CN"/>
              </w:rPr>
              <w:t>）</w:t>
            </w:r>
          </w:p>
        </w:tc>
        <w:tc>
          <w:tcPr>
            <w:tcW w:w="371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eastAsia="宋体" w:cs="Times New Roman"/>
                <w:color w:val="000000" w:themeColor="text1"/>
                <w:kern w:val="0"/>
                <w:sz w:val="21"/>
                <w:szCs w:val="21"/>
                <w:highlight w:val="none"/>
                <w:lang w:val="en-US" w:eastAsia="zh-CN" w:bidi="ar"/>
              </w:rPr>
              <w:t>水质 无极阴离子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96" w:lineRule="exact"/>
              <w:ind w:left="720" w:hanging="630" w:hangingChars="300"/>
              <w:jc w:val="both"/>
              <w:textAlignment w:val="auto"/>
              <w:rPr>
                <w:rFonts w:hint="default" w:ascii="Times New Roman" w:hAnsi="Times New Roman" w:eastAsia="宋体" w:cs="Times New Roman"/>
                <w:color w:val="000000" w:themeColor="text1"/>
                <w:kern w:val="0"/>
                <w:sz w:val="21"/>
                <w:szCs w:val="21"/>
                <w:highlight w:val="none"/>
                <w:lang w:val="en-US" w:eastAsia="zh-CN" w:bidi="ar"/>
              </w:rPr>
            </w:pPr>
            <w:r>
              <w:rPr>
                <w:rFonts w:hint="default" w:ascii="Times New Roman" w:hAnsi="Times New Roman" w:cs="Times New Roman"/>
                <w:color w:val="000000" w:themeColor="text1"/>
                <w:kern w:val="0"/>
                <w:sz w:val="21"/>
                <w:szCs w:val="21"/>
                <w:highlight w:val="none"/>
                <w:lang w:val="en-US" w:eastAsia="zh-CN" w:bidi="ar"/>
              </w:rPr>
              <w:t>（F</w:t>
            </w:r>
            <w:r>
              <w:rPr>
                <w:rFonts w:hint="default" w:ascii="Times New Roman" w:hAnsi="Times New Roman" w:cs="Times New Roman"/>
                <w:color w:val="000000" w:themeColor="text1"/>
                <w:kern w:val="0"/>
                <w:sz w:val="21"/>
                <w:szCs w:val="21"/>
                <w:highlight w:val="none"/>
                <w:vertAlign w:val="superscript"/>
                <w:lang w:val="en-US" w:eastAsia="zh-CN" w:bidi="ar"/>
              </w:rPr>
              <w:t>-</w:t>
            </w:r>
            <w:r>
              <w:rPr>
                <w:rFonts w:hint="default" w:ascii="Times New Roman" w:hAnsi="Times New Roman" w:eastAsia="宋体" w:cs="Times New Roman"/>
                <w:color w:val="000000" w:themeColor="text1"/>
                <w:kern w:val="0"/>
                <w:sz w:val="21"/>
                <w:szCs w:val="21"/>
                <w:highlight w:val="none"/>
                <w:lang w:val="en-US" w:eastAsia="zh-CN" w:bidi="ar"/>
              </w:rPr>
              <w:t>、Cl</w:t>
            </w:r>
            <w:r>
              <w:rPr>
                <w:rFonts w:hint="default" w:ascii="Times New Roman" w:hAnsi="Times New Roman" w:eastAsia="宋体" w:cs="Times New Roman"/>
                <w:color w:val="000000" w:themeColor="text1"/>
                <w:kern w:val="0"/>
                <w:sz w:val="21"/>
                <w:szCs w:val="21"/>
                <w:highlight w:val="none"/>
                <w:vertAlign w:val="superscript"/>
                <w:lang w:val="en-US" w:eastAsia="zh-CN" w:bidi="ar"/>
              </w:rPr>
              <w:t>-</w:t>
            </w:r>
            <w:r>
              <w:rPr>
                <w:rFonts w:hint="default" w:ascii="Times New Roman" w:hAnsi="Times New Roman" w:eastAsia="宋体" w:cs="Times New Roman"/>
                <w:color w:val="000000" w:themeColor="text1"/>
                <w:kern w:val="0"/>
                <w:sz w:val="21"/>
                <w:szCs w:val="21"/>
                <w:highlight w:val="none"/>
                <w:lang w:val="en-US" w:eastAsia="zh-CN" w:bidi="ar"/>
              </w:rPr>
              <w:t>、NO</w:t>
            </w:r>
            <w:r>
              <w:rPr>
                <w:rFonts w:hint="default" w:ascii="Times New Roman" w:hAnsi="Times New Roman" w:eastAsia="宋体" w:cs="Times New Roman"/>
                <w:color w:val="000000" w:themeColor="text1"/>
                <w:kern w:val="0"/>
                <w:sz w:val="21"/>
                <w:szCs w:val="21"/>
                <w:highlight w:val="none"/>
                <w:vertAlign w:val="subscript"/>
                <w:lang w:val="en-US" w:eastAsia="zh-CN" w:bidi="ar"/>
              </w:rPr>
              <w:t>2</w:t>
            </w:r>
            <w:r>
              <w:rPr>
                <w:rFonts w:hint="default" w:ascii="Times New Roman" w:hAnsi="Times New Roman" w:eastAsia="宋体" w:cs="Times New Roman"/>
                <w:color w:val="000000" w:themeColor="text1"/>
                <w:kern w:val="0"/>
                <w:sz w:val="21"/>
                <w:szCs w:val="21"/>
                <w:highlight w:val="none"/>
                <w:vertAlign w:val="superscript"/>
                <w:lang w:val="en-US" w:eastAsia="zh-CN" w:bidi="ar"/>
              </w:rPr>
              <w:t>-</w:t>
            </w:r>
            <w:r>
              <w:rPr>
                <w:rFonts w:hint="default" w:ascii="Times New Roman" w:hAnsi="Times New Roman" w:eastAsia="宋体" w:cs="Times New Roman"/>
                <w:color w:val="000000" w:themeColor="text1"/>
                <w:kern w:val="0"/>
                <w:sz w:val="21"/>
                <w:szCs w:val="21"/>
                <w:highlight w:val="none"/>
                <w:lang w:val="en-US" w:eastAsia="zh-CN" w:bidi="ar"/>
              </w:rPr>
              <w:t>、Br</w:t>
            </w:r>
            <w:r>
              <w:rPr>
                <w:rFonts w:hint="default" w:ascii="Times New Roman" w:hAnsi="Times New Roman" w:eastAsia="宋体" w:cs="Times New Roman"/>
                <w:color w:val="000000" w:themeColor="text1"/>
                <w:kern w:val="0"/>
                <w:sz w:val="21"/>
                <w:szCs w:val="21"/>
                <w:highlight w:val="none"/>
                <w:vertAlign w:val="superscript"/>
                <w:lang w:val="en-US" w:eastAsia="zh-CN" w:bidi="ar"/>
              </w:rPr>
              <w:t>-</w:t>
            </w:r>
            <w:r>
              <w:rPr>
                <w:rFonts w:hint="default" w:ascii="Times New Roman" w:hAnsi="Times New Roman" w:eastAsia="宋体" w:cs="Times New Roman"/>
                <w:color w:val="000000" w:themeColor="text1"/>
                <w:kern w:val="0"/>
                <w:sz w:val="21"/>
                <w:szCs w:val="21"/>
                <w:highlight w:val="none"/>
                <w:lang w:val="en-US" w:eastAsia="zh-CN" w:bidi="ar"/>
              </w:rPr>
              <w:t>、NO</w:t>
            </w:r>
            <w:r>
              <w:rPr>
                <w:rFonts w:hint="default" w:ascii="Times New Roman" w:hAnsi="Times New Roman" w:eastAsia="宋体" w:cs="Times New Roman"/>
                <w:color w:val="000000" w:themeColor="text1"/>
                <w:kern w:val="0"/>
                <w:sz w:val="21"/>
                <w:szCs w:val="21"/>
                <w:highlight w:val="none"/>
                <w:vertAlign w:val="subscript"/>
                <w:lang w:val="en-US" w:eastAsia="zh-CN" w:bidi="ar"/>
              </w:rPr>
              <w:t>3</w:t>
            </w:r>
            <w:r>
              <w:rPr>
                <w:rFonts w:hint="default" w:ascii="Times New Roman" w:hAnsi="Times New Roman" w:eastAsia="宋体" w:cs="Times New Roman"/>
                <w:color w:val="000000" w:themeColor="text1"/>
                <w:kern w:val="0"/>
                <w:sz w:val="21"/>
                <w:szCs w:val="21"/>
                <w:highlight w:val="none"/>
                <w:vertAlign w:val="superscript"/>
                <w:lang w:val="en-US" w:eastAsia="zh-CN" w:bidi="ar"/>
              </w:rPr>
              <w:t>-</w:t>
            </w:r>
            <w:r>
              <w:rPr>
                <w:rFonts w:hint="default" w:ascii="Times New Roman" w:hAnsi="Times New Roman" w:eastAsia="宋体" w:cs="Times New Roman"/>
                <w:color w:val="000000" w:themeColor="text1"/>
                <w:kern w:val="0"/>
                <w:sz w:val="21"/>
                <w:szCs w:val="21"/>
                <w:highlight w:val="none"/>
                <w:lang w:val="en-US" w:eastAsia="zh-CN" w:bidi="ar"/>
              </w:rPr>
              <w:t>、PO</w:t>
            </w:r>
            <w:r>
              <w:rPr>
                <w:rFonts w:hint="default" w:ascii="Times New Roman" w:hAnsi="Times New Roman" w:eastAsia="宋体" w:cs="Times New Roman"/>
                <w:color w:val="000000" w:themeColor="text1"/>
                <w:kern w:val="0"/>
                <w:sz w:val="21"/>
                <w:szCs w:val="21"/>
                <w:highlight w:val="none"/>
                <w:vertAlign w:val="subscript"/>
                <w:lang w:val="en-US" w:eastAsia="zh-CN" w:bidi="ar"/>
              </w:rPr>
              <w:t>4</w:t>
            </w:r>
            <w:r>
              <w:rPr>
                <w:rFonts w:hint="default" w:ascii="Times New Roman" w:hAnsi="Times New Roman" w:eastAsia="宋体" w:cs="Times New Roman"/>
                <w:color w:val="000000" w:themeColor="text1"/>
                <w:kern w:val="0"/>
                <w:sz w:val="21"/>
                <w:szCs w:val="21"/>
                <w:highlight w:val="none"/>
                <w:vertAlign w:val="superscript"/>
                <w:lang w:val="en-US" w:eastAsia="zh-CN" w:bidi="ar"/>
              </w:rPr>
              <w:t>3-</w:t>
            </w:r>
            <w:r>
              <w:rPr>
                <w:rFonts w:hint="default" w:ascii="Times New Roman" w:hAnsi="Times New Roman" w:eastAsia="宋体" w:cs="Times New Roman"/>
                <w:color w:val="000000" w:themeColor="text1"/>
                <w:kern w:val="0"/>
                <w:sz w:val="21"/>
                <w:szCs w:val="21"/>
                <w:highlight w:val="none"/>
                <w:lang w:val="en-US" w:eastAsia="zh-CN" w:bidi="ar"/>
              </w:rPr>
              <w:t>、SO</w:t>
            </w:r>
            <w:r>
              <w:rPr>
                <w:rFonts w:hint="default" w:ascii="Times New Roman" w:hAnsi="Times New Roman" w:eastAsia="宋体" w:cs="Times New Roman"/>
                <w:color w:val="000000" w:themeColor="text1"/>
                <w:kern w:val="0"/>
                <w:sz w:val="21"/>
                <w:szCs w:val="21"/>
                <w:highlight w:val="none"/>
                <w:vertAlign w:val="subscript"/>
                <w:lang w:val="en-US" w:eastAsia="zh-CN" w:bidi="ar"/>
              </w:rPr>
              <w:t>3</w:t>
            </w:r>
            <w:r>
              <w:rPr>
                <w:rFonts w:hint="default" w:ascii="Times New Roman" w:hAnsi="Times New Roman" w:eastAsia="宋体" w:cs="Times New Roman"/>
                <w:color w:val="000000" w:themeColor="text1"/>
                <w:kern w:val="0"/>
                <w:sz w:val="21"/>
                <w:szCs w:val="21"/>
                <w:highlight w:val="none"/>
                <w:vertAlign w:val="superscript"/>
                <w:lang w:val="en-US" w:eastAsia="zh-CN" w:bidi="ar"/>
              </w:rPr>
              <w:t>2-</w:t>
            </w:r>
            <w:r>
              <w:rPr>
                <w:rFonts w:hint="default" w:ascii="Times New Roman" w:hAnsi="Times New Roman" w:eastAsia="宋体" w:cs="Times New Roman"/>
                <w:color w:val="000000" w:themeColor="text1"/>
                <w:kern w:val="0"/>
                <w:sz w:val="21"/>
                <w:szCs w:val="21"/>
                <w:highlight w:val="none"/>
                <w:lang w:val="en-US" w:eastAsia="zh-CN" w:bidi="ar"/>
              </w:rPr>
              <w:t>、SO</w:t>
            </w:r>
            <w:r>
              <w:rPr>
                <w:rFonts w:hint="default" w:ascii="Times New Roman" w:hAnsi="Times New Roman" w:eastAsia="宋体" w:cs="Times New Roman"/>
                <w:color w:val="000000" w:themeColor="text1"/>
                <w:kern w:val="0"/>
                <w:sz w:val="21"/>
                <w:szCs w:val="21"/>
                <w:highlight w:val="none"/>
                <w:vertAlign w:val="subscript"/>
                <w:lang w:val="en-US" w:eastAsia="zh-CN" w:bidi="ar"/>
              </w:rPr>
              <w:t>4</w:t>
            </w:r>
            <w:r>
              <w:rPr>
                <w:rFonts w:hint="default" w:ascii="Times New Roman" w:hAnsi="Times New Roman" w:eastAsia="宋体" w:cs="Times New Roman"/>
                <w:color w:val="000000" w:themeColor="text1"/>
                <w:kern w:val="0"/>
                <w:sz w:val="21"/>
                <w:szCs w:val="21"/>
                <w:highlight w:val="none"/>
                <w:vertAlign w:val="superscript"/>
                <w:lang w:val="en-US" w:eastAsia="zh-CN" w:bidi="ar"/>
              </w:rPr>
              <w:t>2-</w:t>
            </w:r>
            <w:r>
              <w:rPr>
                <w:rFonts w:hint="default" w:ascii="Times New Roman" w:hAnsi="Times New Roman" w:eastAsia="宋体" w:cs="Times New Roman"/>
                <w:color w:val="000000" w:themeColor="text1"/>
                <w:kern w:val="0"/>
                <w:sz w:val="21"/>
                <w:szCs w:val="21"/>
                <w:highlight w:val="none"/>
                <w:lang w:val="en-US" w:eastAsia="zh-CN" w:bidi="ar"/>
              </w:rPr>
              <w:t>）的测定</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r>
              <w:rPr>
                <w:rFonts w:hint="default" w:ascii="Times New Roman" w:hAnsi="Times New Roman" w:eastAsia="宋体" w:cs="Times New Roman"/>
                <w:color w:val="000000" w:themeColor="text1"/>
                <w:kern w:val="0"/>
                <w:sz w:val="21"/>
                <w:szCs w:val="21"/>
                <w:highlight w:val="none"/>
                <w:lang w:val="en-US" w:eastAsia="zh-CN" w:bidi="ar"/>
              </w:rPr>
              <w:t>离子色谱法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kern w:val="0"/>
                <w:sz w:val="21"/>
                <w:szCs w:val="21"/>
                <w:highlight w:val="none"/>
                <w:lang w:val="en-US" w:eastAsia="zh-CN" w:bidi="ar"/>
              </w:rPr>
              <w:t>HJ 84-2016</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0.006</w:t>
            </w:r>
            <w:r>
              <w:rPr>
                <w:rFonts w:hint="default" w:ascii="Times New Roman" w:hAnsi="Times New Roman" w:cs="Times New Roman"/>
                <w:color w:val="000000" w:themeColor="text1"/>
                <w:sz w:val="21"/>
                <w:szCs w:val="21"/>
                <w:highlight w:val="none"/>
                <w:vertAlign w:val="baseline"/>
                <w:lang w:val="en-US" w:eastAsia="zh-CN"/>
              </w:rPr>
              <w:t>mg/L</w:t>
            </w:r>
          </w:p>
        </w:tc>
        <w:tc>
          <w:tcPr>
            <w:tcW w:w="22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PIC-10A离子色谱仪/SPS-008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rPr>
              <w:t>硝酸盐</w:t>
            </w:r>
            <w:r>
              <w:rPr>
                <w:rFonts w:hint="default" w:ascii="Times New Roman" w:hAnsi="Times New Roman" w:cs="Times New Roman"/>
                <w:color w:val="000000" w:themeColor="text1"/>
                <w:sz w:val="21"/>
                <w:szCs w:val="21"/>
                <w:highlight w:val="none"/>
                <w:lang w:eastAsia="zh-CN"/>
              </w:rPr>
              <w:t>（以</w:t>
            </w:r>
            <w:r>
              <w:rPr>
                <w:rFonts w:hint="default" w:ascii="Times New Roman" w:hAnsi="Times New Roman" w:cs="Times New Roman"/>
                <w:color w:val="000000" w:themeColor="text1"/>
                <w:sz w:val="21"/>
                <w:szCs w:val="21"/>
                <w:highlight w:val="none"/>
                <w:lang w:val="en-US" w:eastAsia="zh-CN"/>
              </w:rPr>
              <w:t>N计</w:t>
            </w:r>
            <w:r>
              <w:rPr>
                <w:rFonts w:hint="default" w:ascii="Times New Roman" w:hAnsi="Times New Roman" w:cs="Times New Roman"/>
                <w:color w:val="000000" w:themeColor="text1"/>
                <w:sz w:val="21"/>
                <w:szCs w:val="21"/>
                <w:highlight w:val="none"/>
                <w:lang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rPr>
            </w:pPr>
            <w:r>
              <w:rPr>
                <w:rFonts w:hint="default" w:ascii="Times New Roman" w:hAnsi="Times New Roman" w:cs="Times New Roman"/>
                <w:color w:val="000000" w:themeColor="text1"/>
                <w:kern w:val="2"/>
                <w:sz w:val="21"/>
                <w:szCs w:val="21"/>
                <w:vertAlign w:val="baseline"/>
                <w:lang w:val="en-US" w:eastAsia="zh-CN" w:bidi="ar-SA"/>
              </w:rPr>
              <w:t>0.016</w:t>
            </w:r>
            <w:r>
              <w:rPr>
                <w:rFonts w:hint="default" w:ascii="Times New Roman" w:hAnsi="Times New Roman" w:cs="Times New Roman"/>
                <w:color w:val="000000" w:themeColor="text1"/>
                <w:sz w:val="21"/>
                <w:szCs w:val="21"/>
                <w:highlight w:val="none"/>
                <w:vertAlign w:val="baseline"/>
                <w:lang w:val="en-US" w:eastAsia="zh-CN"/>
              </w:rPr>
              <w:t>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硫酸盐（</w:t>
            </w:r>
            <w:r>
              <w:rPr>
                <w:rFonts w:hint="default" w:ascii="Times New Roman" w:hAnsi="Times New Roman" w:cs="Times New Roman"/>
                <w:color w:val="000000" w:themeColor="text1"/>
                <w:sz w:val="21"/>
                <w:szCs w:val="21"/>
                <w:highlight w:val="none"/>
                <w:lang w:val="en-US" w:eastAsia="zh-CN"/>
              </w:rPr>
              <w:t>SO</w:t>
            </w:r>
            <w:r>
              <w:rPr>
                <w:rFonts w:hint="default" w:ascii="Times New Roman" w:hAnsi="Times New Roman" w:cs="Times New Roman"/>
                <w:color w:val="000000" w:themeColor="text1"/>
                <w:sz w:val="21"/>
                <w:szCs w:val="21"/>
                <w:highlight w:val="none"/>
                <w:vertAlign w:val="subscript"/>
                <w:lang w:val="en-US" w:eastAsia="zh-CN"/>
              </w:rPr>
              <w:t>4</w:t>
            </w:r>
            <w:r>
              <w:rPr>
                <w:rFonts w:hint="default" w:ascii="Times New Roman" w:hAnsi="Times New Roman" w:cs="Times New Roman"/>
                <w:color w:val="000000" w:themeColor="text1"/>
                <w:sz w:val="21"/>
                <w:szCs w:val="21"/>
                <w:highlight w:val="none"/>
                <w:vertAlign w:val="superscript"/>
                <w:lang w:val="en-US" w:eastAsia="zh-CN"/>
              </w:rPr>
              <w:t>2-</w:t>
            </w:r>
            <w:r>
              <w:rPr>
                <w:rFonts w:hint="default" w:ascii="Times New Roman" w:hAnsi="Times New Roman" w:cs="Times New Roman"/>
                <w:color w:val="000000" w:themeColor="text1"/>
                <w:sz w:val="21"/>
                <w:szCs w:val="21"/>
                <w:highlight w:val="none"/>
                <w:lang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0.018</w:t>
            </w:r>
            <w:r>
              <w:rPr>
                <w:rFonts w:hint="default" w:ascii="Times New Roman" w:hAnsi="Times New Roman" w:cs="Times New Roman"/>
                <w:color w:val="000000" w:themeColor="text1"/>
                <w:sz w:val="21"/>
                <w:szCs w:val="21"/>
                <w:highlight w:val="none"/>
                <w:vertAlign w:val="baseline"/>
                <w:lang w:val="en-US" w:eastAsia="zh-CN"/>
              </w:rPr>
              <w:t>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氯化物（</w:t>
            </w:r>
            <w:r>
              <w:rPr>
                <w:rFonts w:hint="default" w:ascii="Times New Roman" w:hAnsi="Times New Roman" w:cs="Times New Roman"/>
                <w:color w:val="000000" w:themeColor="text1"/>
                <w:sz w:val="21"/>
                <w:szCs w:val="21"/>
                <w:highlight w:val="none"/>
                <w:lang w:val="en-US" w:eastAsia="zh-CN"/>
              </w:rPr>
              <w:t>Cl</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eastAsia="zh-CN"/>
              </w:rPr>
              <w:t>）</w:t>
            </w:r>
          </w:p>
        </w:tc>
        <w:tc>
          <w:tcPr>
            <w:tcW w:w="37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vertAlign w:val="baseline"/>
                <w:lang w:val="en-US" w:eastAsia="zh-CN"/>
              </w:rPr>
            </w:pP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0.007mg/L</w:t>
            </w:r>
          </w:p>
        </w:tc>
        <w:tc>
          <w:tcPr>
            <w:tcW w:w="22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sz w:val="21"/>
                <w:szCs w:val="21"/>
                <w:highlight w:val="none"/>
                <w:vertAlign w:val="baseline"/>
                <w:lang w:val="en-US" w:eastAsia="zh-CN"/>
              </w:rPr>
              <w:t>钡</w:t>
            </w:r>
          </w:p>
        </w:tc>
        <w:tc>
          <w:tcPr>
            <w:tcW w:w="3711"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水质 65</w:t>
            </w:r>
            <w:r>
              <w:rPr>
                <w:rFonts w:hint="eastAsia" w:ascii="Times New Roman" w:hAnsi="Times New Roman" w:eastAsia="宋体" w:cs="Times New Roman"/>
                <w:color w:val="000000" w:themeColor="text1"/>
                <w:kern w:val="0"/>
                <w:sz w:val="21"/>
                <w:szCs w:val="21"/>
                <w:highlight w:val="none"/>
                <w:lang w:val="en-US" w:eastAsia="zh-CN" w:bidi="ar"/>
              </w:rPr>
              <w:t xml:space="preserve">种元素的测定 电感耦合等离子体质谱法 </w:t>
            </w:r>
            <w:r>
              <w:rPr>
                <w:rFonts w:hint="default" w:ascii="Times New Roman" w:hAnsi="Times New Roman" w:eastAsia="宋体" w:cs="Times New Roman"/>
                <w:color w:val="000000" w:themeColor="text1"/>
                <w:kern w:val="0"/>
                <w:sz w:val="21"/>
                <w:szCs w:val="21"/>
                <w:highlight w:val="none"/>
                <w:lang w:val="en-US" w:eastAsia="zh-CN" w:bidi="ar"/>
              </w:rPr>
              <w:t>HJ 700- 2014</w:t>
            </w:r>
          </w:p>
        </w:tc>
        <w:tc>
          <w:tcPr>
            <w:tcW w:w="1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eastAsia" w:ascii="Times New Roman" w:hAnsi="Times New Roman" w:cs="Times New Roman"/>
                <w:color w:val="000000" w:themeColor="text1"/>
                <w:sz w:val="21"/>
                <w:szCs w:val="21"/>
                <w:vertAlign w:val="baseline"/>
                <w:lang w:val="en-US" w:eastAsia="zh-CN"/>
              </w:rPr>
              <w:t>0.0002</w:t>
            </w:r>
            <w:r>
              <w:rPr>
                <w:rFonts w:hint="default" w:ascii="Times New Roman" w:hAnsi="Times New Roman" w:cs="Times New Roman"/>
                <w:color w:val="000000" w:themeColor="text1"/>
                <w:sz w:val="21"/>
                <w:szCs w:val="21"/>
                <w:vertAlign w:val="baseline"/>
                <w:lang w:val="en-US" w:eastAsia="zh-CN"/>
              </w:rPr>
              <w:t>mg/L</w:t>
            </w:r>
          </w:p>
        </w:tc>
        <w:tc>
          <w:tcPr>
            <w:tcW w:w="22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电感耦合等离子体质谱</w:t>
            </w:r>
            <w:r>
              <w:rPr>
                <w:rFonts w:hint="eastAsia" w:ascii="Times New Roman" w:hAnsi="Times New Roman" w:cs="Times New Roman"/>
                <w:color w:val="000000" w:themeColor="text1"/>
                <w:sz w:val="21"/>
                <w:szCs w:val="21"/>
                <w:vertAlign w:val="baseline"/>
                <w:lang w:val="en-US" w:eastAsia="zh-CN"/>
              </w:rPr>
              <w:t>仪（</w:t>
            </w:r>
            <w:r>
              <w:rPr>
                <w:rFonts w:hint="default" w:ascii="Times New Roman" w:hAnsi="Times New Roman" w:cs="Times New Roman"/>
                <w:color w:val="000000" w:themeColor="text1"/>
                <w:sz w:val="21"/>
                <w:szCs w:val="21"/>
                <w:vertAlign w:val="baseline"/>
                <w:lang w:val="en-US" w:eastAsia="zh-CN"/>
              </w:rPr>
              <w:t>ICPMS</w:t>
            </w:r>
            <w:r>
              <w:rPr>
                <w:rFonts w:hint="eastAsia" w:ascii="Times New Roman" w:hAnsi="Times New Roman" w:cs="Times New Roman"/>
                <w:color w:val="000000" w:themeColor="text1"/>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rPr>
              <w:t>细菌总数</w:t>
            </w:r>
          </w:p>
        </w:tc>
        <w:tc>
          <w:tcPr>
            <w:tcW w:w="37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生活饮用水标准检验方法</w:t>
            </w:r>
            <w:r>
              <w:rPr>
                <w:rFonts w:hint="default" w:ascii="Times New Roman" w:hAnsi="Times New Roman" w:eastAsia="宋体" w:cs="Times New Roman"/>
                <w:color w:val="000000" w:themeColor="text1"/>
                <w:sz w:val="21"/>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微生物指标（1.1平皿计数法）</w:t>
            </w:r>
          </w:p>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GB/T 5750.12-2006</w:t>
            </w:r>
          </w:p>
        </w:tc>
        <w:tc>
          <w:tcPr>
            <w:tcW w:w="13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lang w:val="en-US" w:eastAsia="zh-CN"/>
              </w:rPr>
              <w:t>/</w:t>
            </w:r>
          </w:p>
        </w:tc>
        <w:tc>
          <w:tcPr>
            <w:tcW w:w="22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SPX-150BⅢ</w:t>
            </w:r>
          </w:p>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生化培养箱/SPS-036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vertAlign w:val="baseline"/>
                <w:lang w:val="en-US" w:eastAsia="zh-CN"/>
              </w:rPr>
              <w:t>总大肠</w:t>
            </w:r>
          </w:p>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菌群</w:t>
            </w:r>
            <w:r>
              <w:rPr>
                <w:rFonts w:hint="eastAsia" w:ascii="Times New Roman" w:hAnsi="Times New Roman" w:cs="Times New Roman"/>
                <w:color w:val="000000" w:themeColor="text1"/>
                <w:sz w:val="21"/>
                <w:szCs w:val="21"/>
                <w:highlight w:val="none"/>
                <w:vertAlign w:val="baseline"/>
                <w:lang w:val="en-US" w:eastAsia="zh-CN"/>
              </w:rPr>
              <w:t xml:space="preserve"> </w:t>
            </w:r>
          </w:p>
        </w:tc>
        <w:tc>
          <w:tcPr>
            <w:tcW w:w="37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生活饮用水标准检验方法</w:t>
            </w:r>
            <w:r>
              <w:rPr>
                <w:rFonts w:hint="default" w:ascii="Times New Roman" w:hAnsi="Times New Roman" w:eastAsia="宋体" w:cs="Times New Roman"/>
                <w:color w:val="000000" w:themeColor="text1"/>
                <w:sz w:val="21"/>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微生物指标（2.1多管发酵法）</w:t>
            </w:r>
          </w:p>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GB/T 5750.12-2006</w:t>
            </w:r>
          </w:p>
        </w:tc>
        <w:tc>
          <w:tcPr>
            <w:tcW w:w="13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w:t>
            </w:r>
          </w:p>
        </w:tc>
        <w:tc>
          <w:tcPr>
            <w:tcW w:w="22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color w:val="000000" w:themeColor="text1"/>
                <w:sz w:val="21"/>
                <w:szCs w:val="21"/>
                <w:lang w:val="en-US" w:eastAsia="zh-CN"/>
              </w:rPr>
            </w:pP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4</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评价方法</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根据监测结果，采用单因子污染指数法，对照评价标准对地下水环境质量现状进行评价，计算公式如下：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常规污染物（PH值除外）：</w:t>
      </w:r>
    </w:p>
    <w:p>
      <w:pPr>
        <w:pStyle w:val="116"/>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center"/>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P</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=C</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/C</w:t>
      </w:r>
      <w:r>
        <w:rPr>
          <w:rFonts w:hint="default" w:ascii="Times New Roman" w:hAnsi="Times New Roman" w:eastAsia="宋体" w:cs="Times New Roman"/>
          <w:color w:val="000000" w:themeColor="text1"/>
          <w:sz w:val="24"/>
          <w:szCs w:val="24"/>
          <w:vertAlign w:val="subscript"/>
        </w:rPr>
        <w:t>si</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式中，P</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——第i种污染物的单项水质指数，无量纲</w:t>
      </w:r>
    </w:p>
    <w:p>
      <w:pPr>
        <w:pStyle w:val="116"/>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      C</w:t>
      </w:r>
      <w:r>
        <w:rPr>
          <w:rFonts w:hint="default" w:ascii="Times New Roman" w:hAnsi="Times New Roman" w:eastAsia="宋体" w:cs="Times New Roman"/>
          <w:color w:val="000000" w:themeColor="text1"/>
          <w:sz w:val="24"/>
          <w:szCs w:val="24"/>
          <w:vertAlign w:val="subscript"/>
        </w:rPr>
        <w:t>i</w:t>
      </w:r>
      <w:r>
        <w:rPr>
          <w:rFonts w:hint="default" w:ascii="Times New Roman" w:hAnsi="Times New Roman" w:eastAsia="宋体" w:cs="Times New Roman"/>
          <w:color w:val="000000" w:themeColor="text1"/>
          <w:sz w:val="24"/>
          <w:szCs w:val="24"/>
        </w:rPr>
        <w:t>——第i种水质因子的监测浓度值，单位：mg/L</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 xml:space="preserve">   C</w:t>
      </w:r>
      <w:r>
        <w:rPr>
          <w:rFonts w:hint="default" w:ascii="Times New Roman" w:hAnsi="Times New Roman" w:eastAsia="宋体" w:cs="Times New Roman"/>
          <w:color w:val="000000" w:themeColor="text1"/>
          <w:sz w:val="24"/>
          <w:szCs w:val="24"/>
          <w:vertAlign w:val="subscript"/>
        </w:rPr>
        <w:t>si</w:t>
      </w:r>
      <w:r>
        <w:rPr>
          <w:rFonts w:hint="default" w:ascii="Times New Roman" w:hAnsi="Times New Roman" w:eastAsia="宋体" w:cs="Times New Roman"/>
          <w:color w:val="000000" w:themeColor="text1"/>
          <w:sz w:val="24"/>
          <w:szCs w:val="24"/>
        </w:rPr>
        <w:t>——第i种水质因子的标准浓度值，单位：mg/L</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pH的标准指数：</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center"/>
        <w:textAlignment w:val="auto"/>
        <w:outlineLvl w:val="9"/>
        <w:rPr>
          <w:rFonts w:hint="default" w:ascii="Times New Roman" w:hAnsi="Times New Roman" w:eastAsia="宋体" w:cs="Times New Roman"/>
          <w:color w:val="000000" w:themeColor="text1"/>
          <w:sz w:val="24"/>
          <w:szCs w:val="24"/>
        </w:rPr>
      </w:pPr>
      <m:oMathPara>
        <m:oMath>
          <m:sSub>
            <m:sSubPr>
              <m:ctrlPr>
                <w:rPr>
                  <w:rFonts w:hint="default" w:ascii="Cambria Math" w:hAnsi="Cambria Math" w:eastAsia="宋体" w:cs="Times New Roman"/>
                  <w:color w:val="000000" w:themeColor="text1"/>
                  <w:sz w:val="24"/>
                  <w:szCs w:val="24"/>
                </w:rPr>
              </m:ctrlPr>
            </m:sSubPr>
            <m:e>
              <m:r>
                <m:rPr>
                  <m:sty m:val="p"/>
                </m:rPr>
                <w:rPr>
                  <w:rFonts w:hint="default" w:ascii="Cambria Math" w:hAnsi="Cambria Math" w:eastAsia="宋体" w:cs="Times New Roman"/>
                  <w:color w:val="000000" w:themeColor="text1"/>
                  <w:sz w:val="24"/>
                  <w:szCs w:val="24"/>
                </w:rPr>
                <m:t>P</m:t>
              </m:r>
              <m:ctrlPr>
                <w:rPr>
                  <w:rFonts w:hint="default" w:ascii="Cambria Math" w:hAnsi="Cambria Math" w:eastAsia="宋体" w:cs="Times New Roman"/>
                  <w:color w:val="000000" w:themeColor="text1"/>
                  <w:sz w:val="24"/>
                  <w:szCs w:val="24"/>
                </w:rPr>
              </m:ctrlPr>
            </m:e>
            <m:sub>
              <m:r>
                <m:rPr>
                  <m:sty m:val="p"/>
                </m:rPr>
                <w:rPr>
                  <w:rFonts w:hint="default" w:ascii="Cambria Math" w:hAnsi="Cambria Math" w:eastAsia="宋体" w:cs="Times New Roman"/>
                  <w:color w:val="000000" w:themeColor="text1"/>
                  <w:sz w:val="24"/>
                  <w:szCs w:val="24"/>
                </w:rPr>
                <m:t>pH</m:t>
              </m:r>
              <m:ctrlPr>
                <w:rPr>
                  <w:rFonts w:hint="default" w:ascii="Cambria Math" w:hAnsi="Cambria Math" w:eastAsia="宋体" w:cs="Times New Roman"/>
                  <w:color w:val="000000" w:themeColor="text1"/>
                  <w:sz w:val="24"/>
                  <w:szCs w:val="24"/>
                </w:rPr>
              </m:ctrlPr>
            </m:sub>
          </m:sSub>
          <m:r>
            <m:rPr>
              <m:sty m:val="p"/>
            </m:rPr>
            <w:rPr>
              <w:rFonts w:hint="default" w:ascii="Cambria Math" w:hAnsi="Cambria Math" w:eastAsia="宋体" w:cs="Times New Roman"/>
              <w:color w:val="000000" w:themeColor="text1"/>
              <w:sz w:val="24"/>
              <w:szCs w:val="24"/>
            </w:rPr>
            <m:t>=</m:t>
          </m:r>
          <m:f>
            <m:fPr>
              <m:ctrlPr>
                <w:rPr>
                  <w:rFonts w:hint="default" w:ascii="Cambria Math" w:hAnsi="Cambria Math" w:eastAsia="宋体" w:cs="Times New Roman"/>
                  <w:color w:val="000000" w:themeColor="text1"/>
                  <w:sz w:val="24"/>
                  <w:szCs w:val="24"/>
                </w:rPr>
              </m:ctrlPr>
            </m:fPr>
            <m:num>
              <m:r>
                <m:rPr>
                  <m:sty m:val="p"/>
                </m:rPr>
                <w:rPr>
                  <w:rFonts w:hint="default" w:ascii="Cambria Math" w:hAnsi="Cambria Math" w:eastAsia="宋体" w:cs="Times New Roman"/>
                  <w:color w:val="000000" w:themeColor="text1"/>
                  <w:sz w:val="24"/>
                  <w:szCs w:val="24"/>
                </w:rPr>
                <m:t>pH−7.0</m:t>
              </m:r>
              <m:ctrlPr>
                <w:rPr>
                  <w:rFonts w:hint="default" w:ascii="Cambria Math" w:hAnsi="Cambria Math" w:eastAsia="宋体" w:cs="Times New Roman"/>
                  <w:color w:val="000000" w:themeColor="text1"/>
                  <w:sz w:val="24"/>
                  <w:szCs w:val="24"/>
                </w:rPr>
              </m:ctrlPr>
            </m:num>
            <m:den>
              <m:sSub>
                <m:sSubPr>
                  <m:ctrlPr>
                    <w:rPr>
                      <w:rFonts w:hint="default" w:ascii="Cambria Math" w:hAnsi="Cambria Math" w:eastAsia="宋体" w:cs="Times New Roman"/>
                      <w:color w:val="000000" w:themeColor="text1"/>
                      <w:sz w:val="24"/>
                      <w:szCs w:val="24"/>
                    </w:rPr>
                  </m:ctrlPr>
                </m:sSubPr>
                <m:e>
                  <m:r>
                    <m:rPr>
                      <m:sty m:val="p"/>
                    </m:rPr>
                    <w:rPr>
                      <w:rFonts w:hint="default" w:ascii="Cambria Math" w:hAnsi="Cambria Math" w:eastAsia="宋体" w:cs="Times New Roman"/>
                      <w:color w:val="000000" w:themeColor="text1"/>
                      <w:sz w:val="24"/>
                      <w:szCs w:val="24"/>
                    </w:rPr>
                    <m:t>pH</m:t>
                  </m:r>
                  <m:ctrlPr>
                    <w:rPr>
                      <w:rFonts w:hint="default" w:ascii="Cambria Math" w:hAnsi="Cambria Math" w:eastAsia="宋体" w:cs="Times New Roman"/>
                      <w:color w:val="000000" w:themeColor="text1"/>
                      <w:sz w:val="24"/>
                      <w:szCs w:val="24"/>
                    </w:rPr>
                  </m:ctrlPr>
                </m:e>
                <m:sub>
                  <m:r>
                    <m:rPr>
                      <m:sty m:val="p"/>
                    </m:rPr>
                    <w:rPr>
                      <w:rFonts w:hint="default" w:ascii="Cambria Math" w:hAnsi="Cambria Math" w:eastAsia="宋体" w:cs="Times New Roman"/>
                      <w:color w:val="000000" w:themeColor="text1"/>
                      <w:sz w:val="24"/>
                      <w:szCs w:val="24"/>
                    </w:rPr>
                    <m:t>su</m:t>
                  </m:r>
                  <m:ctrlPr>
                    <w:rPr>
                      <w:rFonts w:hint="default" w:ascii="Cambria Math" w:hAnsi="Cambria Math" w:eastAsia="宋体" w:cs="Times New Roman"/>
                      <w:color w:val="000000" w:themeColor="text1"/>
                      <w:sz w:val="24"/>
                      <w:szCs w:val="24"/>
                    </w:rPr>
                  </m:ctrlPr>
                </m:sub>
              </m:sSub>
              <m:r>
                <m:rPr>
                  <m:sty m:val="p"/>
                </m:rPr>
                <w:rPr>
                  <w:rFonts w:hint="default" w:ascii="Cambria Math" w:hAnsi="Cambria Math" w:eastAsia="宋体" w:cs="Times New Roman"/>
                  <w:color w:val="000000" w:themeColor="text1"/>
                  <w:sz w:val="24"/>
                  <w:szCs w:val="24"/>
                </w:rPr>
                <m:t>−7.0</m:t>
              </m:r>
              <m:ctrlPr>
                <w:rPr>
                  <w:rFonts w:hint="default" w:ascii="Cambria Math" w:hAnsi="Cambria Math" w:eastAsia="宋体" w:cs="Times New Roman"/>
                  <w:color w:val="000000" w:themeColor="text1"/>
                  <w:sz w:val="24"/>
                  <w:szCs w:val="24"/>
                </w:rPr>
              </m:ctrlPr>
            </m:den>
          </m:f>
          <m:r>
            <m:rPr>
              <m:sty m:val="p"/>
            </m:rPr>
            <w:rPr>
              <w:rFonts w:hint="default" w:ascii="Cambria Math" w:hAnsi="Cambria Math" w:eastAsia="宋体" w:cs="Times New Roman"/>
              <w:color w:val="000000" w:themeColor="text1"/>
              <w:sz w:val="24"/>
              <w:szCs w:val="24"/>
            </w:rPr>
            <m:t xml:space="preserve">                   pH</m:t>
          </m:r>
          <m:r>
            <w:rPr>
              <w:rFonts w:hint="default" w:ascii="Cambria Math" w:hAnsi="Cambria Math" w:eastAsia="宋体" w:cs="Times New Roman"/>
              <w:color w:val="000000" w:themeColor="text1"/>
              <w:sz w:val="24"/>
              <w:szCs w:val="24"/>
            </w:rPr>
            <m:t>&gt;7</m:t>
          </m:r>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color w:val="000000" w:themeColor="text1"/>
          <w:sz w:val="24"/>
          <w:szCs w:val="24"/>
        </w:rPr>
      </w:pPr>
      <m:oMathPara>
        <m:oMath>
          <m:sSub>
            <m:sSubPr>
              <m:ctrlPr>
                <w:rPr>
                  <w:rFonts w:hint="default" w:ascii="Cambria Math" w:hAnsi="Cambria Math" w:eastAsia="宋体" w:cs="Times New Roman"/>
                  <w:color w:val="000000" w:themeColor="text1"/>
                  <w:sz w:val="24"/>
                  <w:szCs w:val="24"/>
                </w:rPr>
              </m:ctrlPr>
            </m:sSubPr>
            <m:e>
              <m:r>
                <m:rPr>
                  <m:sty m:val="p"/>
                </m:rPr>
                <w:rPr>
                  <w:rFonts w:hint="default" w:ascii="Cambria Math" w:hAnsi="Cambria Math" w:eastAsia="宋体" w:cs="Times New Roman"/>
                  <w:color w:val="000000" w:themeColor="text1"/>
                  <w:sz w:val="24"/>
                  <w:szCs w:val="24"/>
                </w:rPr>
                <m:t>P</m:t>
              </m:r>
              <m:ctrlPr>
                <w:rPr>
                  <w:rFonts w:hint="default" w:ascii="Cambria Math" w:hAnsi="Cambria Math" w:eastAsia="宋体" w:cs="Times New Roman"/>
                  <w:color w:val="000000" w:themeColor="text1"/>
                  <w:sz w:val="24"/>
                  <w:szCs w:val="24"/>
                </w:rPr>
              </m:ctrlPr>
            </m:e>
            <m:sub>
              <m:r>
                <m:rPr>
                  <m:sty m:val="p"/>
                </m:rPr>
                <w:rPr>
                  <w:rFonts w:hint="default" w:ascii="Cambria Math" w:hAnsi="Cambria Math" w:eastAsia="宋体" w:cs="Times New Roman"/>
                  <w:color w:val="000000" w:themeColor="text1"/>
                  <w:sz w:val="24"/>
                  <w:szCs w:val="24"/>
                </w:rPr>
                <m:t>pH</m:t>
              </m:r>
              <m:ctrlPr>
                <w:rPr>
                  <w:rFonts w:hint="default" w:ascii="Cambria Math" w:hAnsi="Cambria Math" w:eastAsia="宋体" w:cs="Times New Roman"/>
                  <w:color w:val="000000" w:themeColor="text1"/>
                  <w:sz w:val="24"/>
                  <w:szCs w:val="24"/>
                </w:rPr>
              </m:ctrlPr>
            </m:sub>
          </m:sSub>
          <m:r>
            <m:rPr>
              <m:sty m:val="p"/>
            </m:rPr>
            <w:rPr>
              <w:rFonts w:hint="default" w:ascii="Cambria Math" w:hAnsi="Cambria Math" w:eastAsia="宋体" w:cs="Times New Roman"/>
              <w:color w:val="000000" w:themeColor="text1"/>
              <w:sz w:val="24"/>
              <w:szCs w:val="24"/>
            </w:rPr>
            <m:t>=</m:t>
          </m:r>
          <m:f>
            <m:fPr>
              <m:ctrlPr>
                <w:rPr>
                  <w:rFonts w:hint="default" w:ascii="Cambria Math" w:hAnsi="Cambria Math" w:eastAsia="宋体" w:cs="Times New Roman"/>
                  <w:color w:val="000000" w:themeColor="text1"/>
                  <w:sz w:val="24"/>
                  <w:szCs w:val="24"/>
                </w:rPr>
              </m:ctrlPr>
            </m:fPr>
            <m:num>
              <m:r>
                <m:rPr>
                  <m:sty m:val="p"/>
                </m:rPr>
                <w:rPr>
                  <w:rFonts w:hint="default" w:ascii="Cambria Math" w:hAnsi="Cambria Math" w:eastAsia="宋体" w:cs="Times New Roman"/>
                  <w:color w:val="000000" w:themeColor="text1"/>
                  <w:sz w:val="24"/>
                  <w:szCs w:val="24"/>
                </w:rPr>
                <m:t>7.0−pH</m:t>
              </m:r>
              <m:ctrlPr>
                <w:rPr>
                  <w:rFonts w:hint="default" w:ascii="Cambria Math" w:hAnsi="Cambria Math" w:eastAsia="宋体" w:cs="Times New Roman"/>
                  <w:color w:val="000000" w:themeColor="text1"/>
                  <w:sz w:val="24"/>
                  <w:szCs w:val="24"/>
                </w:rPr>
              </m:ctrlPr>
            </m:num>
            <m:den>
              <m:r>
                <m:rPr>
                  <m:sty m:val="p"/>
                </m:rPr>
                <w:rPr>
                  <w:rFonts w:hint="default" w:ascii="Cambria Math" w:hAnsi="Cambria Math" w:eastAsia="宋体" w:cs="Times New Roman"/>
                  <w:color w:val="000000" w:themeColor="text1"/>
                  <w:sz w:val="24"/>
                  <w:szCs w:val="24"/>
                </w:rPr>
                <m:t>7.0−</m:t>
              </m:r>
              <m:sSub>
                <m:sSubPr>
                  <m:ctrlPr>
                    <w:rPr>
                      <w:rFonts w:hint="default" w:ascii="Cambria Math" w:hAnsi="Cambria Math" w:eastAsia="宋体" w:cs="Times New Roman"/>
                      <w:color w:val="000000" w:themeColor="text1"/>
                      <w:sz w:val="24"/>
                      <w:szCs w:val="24"/>
                    </w:rPr>
                  </m:ctrlPr>
                </m:sSubPr>
                <m:e>
                  <m:r>
                    <m:rPr>
                      <m:sty m:val="p"/>
                    </m:rPr>
                    <w:rPr>
                      <w:rFonts w:hint="default" w:ascii="Cambria Math" w:hAnsi="Cambria Math" w:eastAsia="宋体" w:cs="Times New Roman"/>
                      <w:color w:val="000000" w:themeColor="text1"/>
                      <w:sz w:val="24"/>
                      <w:szCs w:val="24"/>
                    </w:rPr>
                    <m:t>pH</m:t>
                  </m:r>
                  <m:ctrlPr>
                    <w:rPr>
                      <w:rFonts w:hint="default" w:ascii="Cambria Math" w:hAnsi="Cambria Math" w:eastAsia="宋体" w:cs="Times New Roman"/>
                      <w:color w:val="000000" w:themeColor="text1"/>
                      <w:sz w:val="24"/>
                      <w:szCs w:val="24"/>
                    </w:rPr>
                  </m:ctrlPr>
                </m:e>
                <m:sub>
                  <m:r>
                    <m:rPr>
                      <m:sty m:val="p"/>
                    </m:rPr>
                    <w:rPr>
                      <w:rFonts w:hint="default" w:ascii="Cambria Math" w:hAnsi="Cambria Math" w:eastAsia="宋体" w:cs="Times New Roman"/>
                      <w:color w:val="000000" w:themeColor="text1"/>
                      <w:sz w:val="24"/>
                      <w:szCs w:val="24"/>
                    </w:rPr>
                    <m:t>sd</m:t>
                  </m:r>
                  <m:ctrlPr>
                    <w:rPr>
                      <w:rFonts w:hint="default" w:ascii="Cambria Math" w:hAnsi="Cambria Math" w:eastAsia="宋体" w:cs="Times New Roman"/>
                      <w:color w:val="000000" w:themeColor="text1"/>
                      <w:sz w:val="24"/>
                      <w:szCs w:val="24"/>
                    </w:rPr>
                  </m:ctrlPr>
                </m:sub>
              </m:sSub>
              <m:ctrlPr>
                <w:rPr>
                  <w:rFonts w:hint="default" w:ascii="Cambria Math" w:hAnsi="Cambria Math" w:eastAsia="宋体" w:cs="Times New Roman"/>
                  <w:color w:val="000000" w:themeColor="text1"/>
                  <w:sz w:val="24"/>
                  <w:szCs w:val="24"/>
                </w:rPr>
              </m:ctrlPr>
            </m:den>
          </m:f>
          <m:r>
            <m:rPr>
              <m:sty m:val="p"/>
            </m:rPr>
            <w:rPr>
              <w:rFonts w:hint="default" w:ascii="Cambria Math" w:hAnsi="Cambria Math" w:eastAsia="宋体" w:cs="Times New Roman"/>
              <w:color w:val="000000" w:themeColor="text1"/>
              <w:sz w:val="24"/>
              <w:szCs w:val="24"/>
            </w:rPr>
            <m:t xml:space="preserve">                   pH≤7</m:t>
          </m:r>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式中，P</w:t>
      </w:r>
      <w:r>
        <w:rPr>
          <w:rFonts w:hint="default" w:ascii="Times New Roman" w:hAnsi="Times New Roman" w:eastAsia="宋体" w:cs="Times New Roman"/>
          <w:color w:val="000000" w:themeColor="text1"/>
          <w:sz w:val="24"/>
          <w:szCs w:val="24"/>
          <w:vertAlign w:val="subscript"/>
        </w:rPr>
        <w:t>pH</w:t>
      </w:r>
      <w:r>
        <w:rPr>
          <w:rFonts w:hint="default" w:ascii="Times New Roman" w:hAnsi="Times New Roman" w:eastAsia="宋体" w:cs="Times New Roman"/>
          <w:color w:val="000000" w:themeColor="text1"/>
          <w:sz w:val="24"/>
          <w:szCs w:val="24"/>
        </w:rPr>
        <w:t>——pH的标准指数，无量纲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pH——pH实测值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pH</w:t>
      </w:r>
      <w:r>
        <w:rPr>
          <w:rFonts w:hint="default" w:ascii="Times New Roman" w:hAnsi="Times New Roman" w:eastAsia="宋体" w:cs="Times New Roman"/>
          <w:color w:val="000000" w:themeColor="text1"/>
          <w:sz w:val="24"/>
          <w:szCs w:val="24"/>
          <w:vertAlign w:val="subscript"/>
        </w:rPr>
        <w:t>su</w:t>
      </w:r>
      <w:r>
        <w:rPr>
          <w:rFonts w:hint="default" w:ascii="Times New Roman" w:hAnsi="Times New Roman" w:eastAsia="宋体" w:cs="Times New Roman"/>
          <w:color w:val="000000" w:themeColor="text1"/>
          <w:sz w:val="24"/>
          <w:szCs w:val="24"/>
        </w:rPr>
        <w:t>——标准中规定的pH值上限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ab/>
      </w:r>
      <w:r>
        <w:rPr>
          <w:rFonts w:hint="default" w:ascii="Times New Roman" w:hAnsi="Times New Roman" w:eastAsia="宋体" w:cs="Times New Roman"/>
          <w:color w:val="000000" w:themeColor="text1"/>
          <w:sz w:val="24"/>
          <w:szCs w:val="24"/>
        </w:rPr>
        <w:t>pH</w:t>
      </w:r>
      <w:r>
        <w:rPr>
          <w:rFonts w:hint="default" w:ascii="Times New Roman" w:hAnsi="Times New Roman" w:eastAsia="宋体" w:cs="Times New Roman"/>
          <w:color w:val="000000" w:themeColor="text1"/>
          <w:sz w:val="24"/>
          <w:szCs w:val="24"/>
          <w:vertAlign w:val="subscript"/>
        </w:rPr>
        <w:t>sd</w:t>
      </w:r>
      <w:r>
        <w:rPr>
          <w:rFonts w:hint="default" w:ascii="Times New Roman" w:hAnsi="Times New Roman" w:eastAsia="宋体" w:cs="Times New Roman"/>
          <w:color w:val="000000" w:themeColor="text1"/>
          <w:sz w:val="24"/>
          <w:szCs w:val="24"/>
        </w:rPr>
        <w:t>——标准中规定的pH值下限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水质评价因子的标准指数大于1，表明该评价因子的水质超过了规定的水质标准，已经不能满足使用功能要求。</w:t>
      </w:r>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textAlignment w:val="auto"/>
        <w:outlineLvl w:val="3"/>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5</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监测结果</w:t>
      </w:r>
    </w:p>
    <w:p>
      <w:pPr>
        <w:ind w:firstLine="480"/>
        <w:rPr>
          <w:color w:val="000000" w:themeColor="text1"/>
          <w:sz w:val="24"/>
          <w:szCs w:val="24"/>
        </w:rPr>
      </w:pPr>
      <w:r>
        <w:rPr>
          <w:rFonts w:hint="eastAsia" w:ascii="宋体" w:hAnsi="宋体" w:cs="宋体"/>
          <w:color w:val="000000" w:themeColor="text1"/>
          <w:sz w:val="24"/>
          <w:szCs w:val="24"/>
        </w:rPr>
        <w:t>①</w:t>
      </w:r>
      <w:r>
        <w:rPr>
          <w:color w:val="000000" w:themeColor="text1"/>
          <w:sz w:val="24"/>
          <w:szCs w:val="24"/>
        </w:rPr>
        <w:t>水位监测结果</w:t>
      </w:r>
    </w:p>
    <w:p>
      <w:pPr>
        <w:ind w:firstLine="422"/>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sz w:val="21"/>
          <w:szCs w:val="21"/>
        </w:rPr>
        <w:t>表4.2-8 评价区潜水水位监测结果</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767"/>
        <w:gridCol w:w="1827"/>
        <w:gridCol w:w="2523"/>
        <w:gridCol w:w="850"/>
        <w:gridCol w:w="1081"/>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blHeader/>
          <w:jc w:val="center"/>
        </w:trPr>
        <w:tc>
          <w:tcPr>
            <w:tcW w:w="685"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序号</w:t>
            </w:r>
          </w:p>
        </w:tc>
        <w:tc>
          <w:tcPr>
            <w:tcW w:w="76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位置</w:t>
            </w:r>
          </w:p>
        </w:tc>
        <w:tc>
          <w:tcPr>
            <w:tcW w:w="182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点位说明</w:t>
            </w:r>
          </w:p>
        </w:tc>
        <w:tc>
          <w:tcPr>
            <w:tcW w:w="2523" w:type="dxa"/>
            <w:tcBorders>
              <w:tl2br w:val="nil"/>
              <w:tr2bl w:val="nil"/>
            </w:tcBorders>
            <w:shd w:val="clear" w:color="auto" w:fill="auto"/>
            <w:vAlign w:val="center"/>
          </w:tcPr>
          <w:p>
            <w:pPr>
              <w:widowControl/>
              <w:adjustRightInd w:val="0"/>
              <w:snapToGrid w:val="0"/>
              <w:spacing w:line="240" w:lineRule="auto"/>
              <w:ind w:firstLine="0" w:firstLineChars="0"/>
              <w:jc w:val="center"/>
              <w:rPr>
                <w:color w:val="000000" w:themeColor="text1"/>
              </w:rPr>
            </w:pPr>
            <w:r>
              <w:rPr>
                <w:rFonts w:hint="default" w:ascii="Times New Roman" w:hAnsi="Times New Roman" w:eastAsia="宋体" w:cs="Times New Roman"/>
                <w:bCs/>
                <w:color w:val="000000" w:themeColor="text1"/>
                <w:sz w:val="21"/>
                <w:szCs w:val="21"/>
              </w:rPr>
              <w:t>坐标</w:t>
            </w:r>
          </w:p>
        </w:tc>
        <w:tc>
          <w:tcPr>
            <w:tcW w:w="850"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井深（</w:t>
            </w:r>
            <w:r>
              <w:rPr>
                <w:rFonts w:hint="eastAsia" w:ascii="Times New Roman" w:hAnsi="Times New Roman" w:eastAsia="宋体" w:cs="Times New Roman"/>
                <w:bCs/>
                <w:color w:val="000000" w:themeColor="text1"/>
                <w:sz w:val="21"/>
                <w:szCs w:val="21"/>
                <w:lang w:val="en-US" w:eastAsia="zh-CN"/>
              </w:rPr>
              <w:t>m</w:t>
            </w:r>
            <w:r>
              <w:rPr>
                <w:rFonts w:hint="eastAsia" w:ascii="Times New Roman" w:hAnsi="Times New Roman" w:eastAsia="宋体" w:cs="Times New Roman"/>
                <w:bCs/>
                <w:color w:val="000000" w:themeColor="text1"/>
                <w:sz w:val="21"/>
                <w:szCs w:val="21"/>
                <w:lang w:eastAsia="zh-CN"/>
              </w:rPr>
              <w:t>）</w:t>
            </w:r>
          </w:p>
        </w:tc>
        <w:tc>
          <w:tcPr>
            <w:tcW w:w="108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井口标高（m）</w:t>
            </w:r>
          </w:p>
        </w:tc>
        <w:tc>
          <w:tcPr>
            <w:tcW w:w="122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水位标高（m）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w:t>
            </w:r>
          </w:p>
        </w:tc>
        <w:tc>
          <w:tcPr>
            <w:tcW w:w="76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W01</w:t>
            </w:r>
          </w:p>
        </w:tc>
        <w:tc>
          <w:tcPr>
            <w:tcW w:w="182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羊须沟</w:t>
            </w:r>
            <w:r>
              <w:rPr>
                <w:rFonts w:hint="eastAsia" w:ascii="Times New Roman" w:hAnsi="Times New Roman" w:eastAsia="宋体" w:cs="Times New Roman"/>
                <w:bCs/>
                <w:color w:val="000000" w:themeColor="text1"/>
                <w:sz w:val="21"/>
                <w:szCs w:val="21"/>
                <w:lang w:val="en-US" w:eastAsia="zh-CN"/>
              </w:rPr>
              <w:t>1号泉眼</w:t>
            </w:r>
          </w:p>
        </w:tc>
        <w:tc>
          <w:tcPr>
            <w:tcW w:w="25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53.63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outlineLvl w:val="9"/>
              <w:rPr>
                <w:color w:val="000000" w:themeColor="text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34.4</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8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10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498</w:t>
            </w:r>
          </w:p>
        </w:tc>
        <w:tc>
          <w:tcPr>
            <w:tcW w:w="12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w:t>
            </w:r>
          </w:p>
        </w:tc>
        <w:tc>
          <w:tcPr>
            <w:tcW w:w="76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W02</w:t>
            </w:r>
          </w:p>
        </w:tc>
        <w:tc>
          <w:tcPr>
            <w:tcW w:w="182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羊须沟</w:t>
            </w:r>
            <w:r>
              <w:rPr>
                <w:rFonts w:hint="eastAsia" w:ascii="Times New Roman" w:hAnsi="Times New Roman" w:eastAsia="宋体" w:cs="Times New Roman"/>
                <w:bCs/>
                <w:color w:val="000000" w:themeColor="text1"/>
                <w:sz w:val="21"/>
                <w:szCs w:val="21"/>
                <w:lang w:val="en-US" w:eastAsia="zh-CN"/>
              </w:rPr>
              <w:t>2号泉眼</w:t>
            </w:r>
          </w:p>
        </w:tc>
        <w:tc>
          <w:tcPr>
            <w:tcW w:w="25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57.68</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outlineLvl w:val="9"/>
              <w:rPr>
                <w:color w:val="000000" w:themeColor="text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31.36</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8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10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508</w:t>
            </w:r>
          </w:p>
        </w:tc>
        <w:tc>
          <w:tcPr>
            <w:tcW w:w="12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3</w:t>
            </w:r>
          </w:p>
        </w:tc>
        <w:tc>
          <w:tcPr>
            <w:tcW w:w="76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W03</w:t>
            </w:r>
          </w:p>
        </w:tc>
        <w:tc>
          <w:tcPr>
            <w:tcW w:w="182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构皮沟</w:t>
            </w:r>
            <w:r>
              <w:rPr>
                <w:rFonts w:hint="eastAsia" w:ascii="Times New Roman" w:hAnsi="Times New Roman" w:eastAsia="宋体" w:cs="Times New Roman"/>
                <w:bCs/>
                <w:color w:val="000000" w:themeColor="text1"/>
                <w:sz w:val="21"/>
                <w:szCs w:val="21"/>
                <w:lang w:val="en-US" w:eastAsia="zh-CN"/>
              </w:rPr>
              <w:t>1号水井</w:t>
            </w:r>
          </w:p>
        </w:tc>
        <w:tc>
          <w:tcPr>
            <w:tcW w:w="25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35.94</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outlineLvl w:val="9"/>
              <w:rPr>
                <w:color w:val="000000" w:themeColor="text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28.27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8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w:t>
            </w:r>
          </w:p>
        </w:tc>
        <w:tc>
          <w:tcPr>
            <w:tcW w:w="10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657</w:t>
            </w:r>
          </w:p>
        </w:tc>
        <w:tc>
          <w:tcPr>
            <w:tcW w:w="12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w:t>
            </w:r>
          </w:p>
        </w:tc>
        <w:tc>
          <w:tcPr>
            <w:tcW w:w="76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W04</w:t>
            </w:r>
          </w:p>
        </w:tc>
        <w:tc>
          <w:tcPr>
            <w:tcW w:w="182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eastAsia="zh-CN"/>
              </w:rPr>
              <w:t>构皮沟</w:t>
            </w:r>
            <w:r>
              <w:rPr>
                <w:rFonts w:hint="eastAsia" w:ascii="Times New Roman" w:hAnsi="Times New Roman" w:eastAsia="宋体" w:cs="Times New Roman"/>
                <w:bCs/>
                <w:color w:val="000000" w:themeColor="text1"/>
                <w:sz w:val="21"/>
                <w:szCs w:val="21"/>
                <w:lang w:val="en-US" w:eastAsia="zh-CN"/>
              </w:rPr>
              <w:t>2号水井</w:t>
            </w:r>
          </w:p>
        </w:tc>
        <w:tc>
          <w:tcPr>
            <w:tcW w:w="25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37</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3.23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outlineLvl w:val="9"/>
              <w:rPr>
                <w:color w:val="000000" w:themeColor="text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18.23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8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7</w:t>
            </w:r>
          </w:p>
        </w:tc>
        <w:tc>
          <w:tcPr>
            <w:tcW w:w="10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788</w:t>
            </w:r>
          </w:p>
        </w:tc>
        <w:tc>
          <w:tcPr>
            <w:tcW w:w="12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85"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lang w:val="en-US" w:eastAsia="zh-CN"/>
              </w:rPr>
              <w:t>5</w:t>
            </w:r>
          </w:p>
        </w:tc>
        <w:tc>
          <w:tcPr>
            <w:tcW w:w="76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bCs/>
                <w:color w:val="000000" w:themeColor="text1"/>
                <w:sz w:val="21"/>
                <w:szCs w:val="21"/>
              </w:rPr>
              <w:t>W0</w:t>
            </w:r>
            <w:r>
              <w:rPr>
                <w:rFonts w:hint="eastAsia" w:ascii="Times New Roman" w:hAnsi="Times New Roman" w:eastAsia="宋体" w:cs="Times New Roman"/>
                <w:bCs/>
                <w:color w:val="000000" w:themeColor="text1"/>
                <w:sz w:val="21"/>
                <w:szCs w:val="21"/>
                <w:lang w:val="en-US" w:eastAsia="zh-CN"/>
              </w:rPr>
              <w:t>5</w:t>
            </w:r>
          </w:p>
        </w:tc>
        <w:tc>
          <w:tcPr>
            <w:tcW w:w="1827" w:type="dxa"/>
            <w:tcBorders>
              <w:tl2br w:val="nil"/>
              <w:tr2bl w:val="nil"/>
            </w:tcBorders>
            <w:shd w:val="clear" w:color="auto" w:fill="auto"/>
            <w:vAlign w:val="center"/>
          </w:tcPr>
          <w:p>
            <w:pPr>
              <w:autoSpaceDN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矿山自用泉眼</w:t>
            </w:r>
          </w:p>
        </w:tc>
        <w:tc>
          <w:tcPr>
            <w:tcW w:w="25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N</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3</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2</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36</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54.88</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outlineLvl w:val="9"/>
              <w:rPr>
                <w:color w:val="000000" w:themeColor="text1"/>
              </w:rPr>
            </w:pP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E</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10</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9</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33</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41.26</w:t>
            </w:r>
            <w:r>
              <w:rPr>
                <w:rFonts w:hint="default"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8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p>
        </w:tc>
        <w:tc>
          <w:tcPr>
            <w:tcW w:w="10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687</w:t>
            </w:r>
          </w:p>
        </w:tc>
        <w:tc>
          <w:tcPr>
            <w:tcW w:w="12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jc w:val="center"/>
              <w:textAlignment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bidi="ar"/>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
              </w:rPr>
              <w:t>/</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color w:val="000000" w:themeColor="text1"/>
          <w:sz w:val="24"/>
          <w:szCs w:val="24"/>
        </w:rPr>
      </w:pPr>
      <w:r>
        <w:rPr>
          <w:rFonts w:hint="eastAsia" w:ascii="宋体" w:hAnsi="宋体" w:cs="宋体"/>
          <w:color w:val="000000" w:themeColor="text1"/>
          <w:sz w:val="24"/>
          <w:szCs w:val="24"/>
        </w:rPr>
        <w:t>②</w:t>
      </w:r>
      <w:r>
        <w:rPr>
          <w:color w:val="000000" w:themeColor="text1"/>
          <w:sz w:val="24"/>
          <w:szCs w:val="24"/>
        </w:rPr>
        <w:t>水质监测及评价结果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color w:val="000000" w:themeColor="text1"/>
          <w:sz w:val="24"/>
          <w:szCs w:val="24"/>
          <w:highlight w:val="yellow"/>
        </w:rPr>
      </w:pPr>
      <w:r>
        <w:rPr>
          <w:color w:val="000000" w:themeColor="text1"/>
          <w:sz w:val="24"/>
          <w:szCs w:val="24"/>
        </w:rPr>
        <w:t>阴阳离子平衡分析见表</w:t>
      </w:r>
      <w:r>
        <w:rPr>
          <w:rFonts w:hint="default" w:ascii="Times New Roman" w:hAnsi="Times New Roman" w:eastAsia="宋体" w:cs="Times New Roman"/>
          <w:color w:val="000000" w:themeColor="text1"/>
          <w:sz w:val="24"/>
          <w:szCs w:val="24"/>
        </w:rPr>
        <w:t>4.2-9。</w:t>
      </w:r>
      <w:r>
        <w:rPr>
          <w:color w:val="000000" w:themeColor="text1"/>
          <w:sz w:val="24"/>
          <w:szCs w:val="24"/>
        </w:rPr>
        <w:t>从表中可以看出，阴阳离子相对误差在允许范围内，因此监测数据可靠。</w:t>
      </w:r>
    </w:p>
    <w:p>
      <w:pPr>
        <w:autoSpaceDE w:val="0"/>
        <w:autoSpaceDN w:val="0"/>
        <w:ind w:firstLine="42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表4.2-9    阴阳离子平衡分析</w:t>
      </w:r>
      <w:r>
        <w:rPr>
          <w:rFonts w:hint="eastAsia" w:ascii="Times New Roman" w:hAnsi="Times New Roman" w:eastAsia="宋体" w:cs="Times New Roman"/>
          <w:b/>
          <w:color w:val="000000" w:themeColor="text1"/>
          <w:sz w:val="21"/>
          <w:szCs w:val="21"/>
          <w:lang w:val="en-US" w:eastAsia="zh-CN"/>
        </w:rPr>
        <w:t xml:space="preserve">  </w:t>
      </w:r>
      <w:r>
        <w:rPr>
          <w:rFonts w:hint="default" w:ascii="Times New Roman" w:hAnsi="Times New Roman" w:eastAsia="宋体" w:cs="Times New Roman"/>
          <w:b/>
          <w:color w:val="000000" w:themeColor="text1"/>
          <w:sz w:val="21"/>
          <w:szCs w:val="21"/>
        </w:rPr>
        <w:t>单位：meq/L</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1327"/>
        <w:gridCol w:w="1327"/>
        <w:gridCol w:w="1328"/>
        <w:gridCol w:w="1327"/>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sz w:val="21"/>
              </w:rPr>
              <w:pict>
                <v:line id="_x0000_s2120" o:spid="_x0000_s2120" o:spt="20" style="position:absolute;left:0pt;margin-left:-3.55pt;margin-top:-0.4pt;height:31.5pt;width:115.5pt;z-index:251666432;mso-width-relative:page;mso-height-relative:page;" fillcolor="#FFFFFF" filled="t" stroked="t" coordsize="21600,21600">
                  <v:path arrowok="t"/>
                  <v:fill on="t" color2="#FFFFFF" focussize="0,0"/>
                  <v:stroke color="#000000"/>
                  <v:imagedata o:title=""/>
                  <o:lock v:ext="edit" aspectratio="f"/>
                </v:line>
              </w:pict>
            </w:r>
            <w:r>
              <w:rPr>
                <w:rFonts w:hint="default" w:ascii="Times New Roman" w:hAnsi="Times New Roman" w:eastAsia="宋体" w:cs="Times New Roman"/>
                <w:color w:val="000000" w:themeColor="text1"/>
                <w:sz w:val="21"/>
                <w:szCs w:val="21"/>
                <w:lang w:val="en-US" w:eastAsia="zh-CN"/>
              </w:rPr>
              <w:t xml:space="preserve">          </w:t>
            </w:r>
            <w:r>
              <w:rPr>
                <w:rFonts w:hint="default" w:ascii="Times New Roman" w:hAnsi="Times New Roman" w:eastAsia="宋体" w:cs="Times New Roman"/>
                <w:color w:val="000000" w:themeColor="text1"/>
                <w:sz w:val="21"/>
                <w:szCs w:val="21"/>
              </w:rPr>
              <w:t>监测点位</w:t>
            </w:r>
          </w:p>
          <w:p>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阴阳离子</w:t>
            </w:r>
          </w:p>
        </w:tc>
        <w:tc>
          <w:tcPr>
            <w:tcW w:w="1327"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W01</w:t>
            </w:r>
          </w:p>
        </w:tc>
        <w:tc>
          <w:tcPr>
            <w:tcW w:w="1327"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W02</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W03</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W04</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W0</w:t>
            </w:r>
            <w:r>
              <w:rPr>
                <w:rFonts w:hint="default" w:ascii="Times New Roman" w:hAnsi="Times New Roman" w:eastAsia="宋体" w:cs="Times New Roman"/>
                <w:color w:val="000000" w:themeColor="text1"/>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K</w:t>
            </w:r>
            <w:r>
              <w:rPr>
                <w:rFonts w:hint="default" w:ascii="Times New Roman" w:hAnsi="Times New Roman" w:eastAsia="宋体" w:cs="Times New Roman"/>
                <w:color w:val="000000" w:themeColor="text1"/>
                <w:sz w:val="21"/>
                <w:szCs w:val="21"/>
                <w:vertAlign w:val="superscript"/>
              </w:rPr>
              <w:t>+</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1.74</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1.34</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1.08</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1.45</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Na</w:t>
            </w:r>
            <w:r>
              <w:rPr>
                <w:rFonts w:hint="default" w:ascii="Times New Roman" w:hAnsi="Times New Roman" w:eastAsia="宋体" w:cs="Times New Roman"/>
                <w:color w:val="000000" w:themeColor="text1"/>
                <w:sz w:val="21"/>
                <w:szCs w:val="21"/>
                <w:vertAlign w:val="superscript"/>
              </w:rPr>
              <w:t>+</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5.36</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6.09</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8.63</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9.13</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Ca</w:t>
            </w:r>
            <w:r>
              <w:rPr>
                <w:rFonts w:hint="default" w:ascii="Times New Roman" w:hAnsi="Times New Roman" w:eastAsia="宋体" w:cs="Times New Roman"/>
                <w:color w:val="000000" w:themeColor="text1"/>
                <w:sz w:val="21"/>
                <w:szCs w:val="21"/>
                <w:vertAlign w:val="superscript"/>
              </w:rPr>
              <w:t>2+</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116</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113</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146</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121</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w:t>
            </w:r>
            <w:r>
              <w:rPr>
                <w:rFonts w:hint="default" w:ascii="Times New Roman" w:hAnsi="Times New Roman" w:eastAsia="宋体" w:cs="Times New Roman"/>
                <w:color w:val="000000" w:themeColor="text1"/>
                <w:sz w:val="21"/>
                <w:szCs w:val="21"/>
                <w:vertAlign w:val="superscript"/>
              </w:rPr>
              <w:t>2+</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5.72</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5.69</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8.78</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4.80</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CO</w:t>
            </w:r>
            <w:r>
              <w:rPr>
                <w:rFonts w:hint="default" w:ascii="Times New Roman" w:hAnsi="Times New Roman" w:eastAsia="宋体" w:cs="Times New Roman"/>
                <w:color w:val="000000" w:themeColor="text1"/>
                <w:sz w:val="21"/>
                <w:szCs w:val="21"/>
                <w:vertAlign w:val="subscript"/>
              </w:rPr>
              <w:t>3</w:t>
            </w:r>
            <w:r>
              <w:rPr>
                <w:rFonts w:hint="default" w:ascii="Times New Roman" w:hAnsi="Times New Roman" w:eastAsia="宋体" w:cs="Times New Roman"/>
                <w:color w:val="000000" w:themeColor="text1"/>
                <w:sz w:val="21"/>
                <w:szCs w:val="21"/>
                <w:vertAlign w:val="superscript"/>
              </w:rPr>
              <w:t>2-</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HCO</w:t>
            </w:r>
            <w:r>
              <w:rPr>
                <w:rFonts w:hint="default" w:ascii="Times New Roman" w:hAnsi="Times New Roman" w:eastAsia="宋体" w:cs="Times New Roman"/>
                <w:color w:val="000000" w:themeColor="text1"/>
                <w:sz w:val="21"/>
                <w:szCs w:val="21"/>
                <w:vertAlign w:val="subscript"/>
              </w:rPr>
              <w:t>3</w:t>
            </w:r>
            <w:r>
              <w:rPr>
                <w:rFonts w:hint="default" w:ascii="Times New Roman" w:hAnsi="Times New Roman" w:eastAsia="宋体" w:cs="Times New Roman"/>
                <w:color w:val="000000" w:themeColor="text1"/>
                <w:sz w:val="21"/>
                <w:szCs w:val="21"/>
                <w:vertAlign w:val="superscript"/>
              </w:rPr>
              <w:t>-</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394</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379</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505</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409</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SO</w:t>
            </w:r>
            <w:r>
              <w:rPr>
                <w:rFonts w:hint="default" w:ascii="Times New Roman" w:hAnsi="Times New Roman" w:eastAsia="宋体" w:cs="Times New Roman"/>
                <w:color w:val="000000" w:themeColor="text1"/>
                <w:sz w:val="21"/>
                <w:szCs w:val="21"/>
                <w:vertAlign w:val="subscript"/>
              </w:rPr>
              <w:t>4</w:t>
            </w:r>
            <w:r>
              <w:rPr>
                <w:rFonts w:hint="default" w:ascii="Times New Roman" w:hAnsi="Times New Roman" w:eastAsia="宋体" w:cs="Times New Roman"/>
                <w:color w:val="000000" w:themeColor="text1"/>
                <w:sz w:val="21"/>
                <w:szCs w:val="21"/>
                <w:vertAlign w:val="superscript"/>
              </w:rPr>
              <w:t>2-</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14.2</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14.8</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19.0</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14.3</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CL</w:t>
            </w:r>
            <w:r>
              <w:rPr>
                <w:rFonts w:hint="default" w:ascii="Times New Roman" w:hAnsi="Times New Roman" w:eastAsia="宋体" w:cs="Times New Roman"/>
                <w:color w:val="000000" w:themeColor="text1"/>
                <w:sz w:val="21"/>
                <w:szCs w:val="21"/>
                <w:vertAlign w:val="superscript"/>
              </w:rPr>
              <w:t>-</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11.0</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11.1</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12.3</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12.4</w:t>
            </w:r>
          </w:p>
        </w:tc>
        <w:tc>
          <w:tcPr>
            <w:tcW w:w="131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33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阴阳离子</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-3.8</w:t>
            </w:r>
          </w:p>
        </w:tc>
        <w:tc>
          <w:tcPr>
            <w:tcW w:w="1327" w:type="dxa"/>
            <w:tcBorders>
              <w:tl2br w:val="nil"/>
              <w:tr2bl w:val="nil"/>
            </w:tcBorders>
            <w:shd w:val="clear" w:color="auto" w:fill="auto"/>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-3.1</w:t>
            </w:r>
          </w:p>
        </w:tc>
        <w:tc>
          <w:tcPr>
            <w:tcW w:w="13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w:t>
            </w:r>
          </w:p>
        </w:tc>
        <w:tc>
          <w:tcPr>
            <w:tcW w:w="1314" w:type="dxa"/>
            <w:tcBorders>
              <w:tl2br w:val="nil"/>
              <w:tr2bl w:val="nil"/>
            </w:tcBorders>
            <w:vAlign w:val="center"/>
          </w:tcPr>
          <w:p>
            <w:pPr>
              <w:tabs>
                <w:tab w:val="left" w:pos="391"/>
              </w:tabs>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ab/>
            </w:r>
            <w:r>
              <w:rPr>
                <w:rFonts w:hint="default" w:ascii="Times New Roman" w:hAnsi="Times New Roman" w:eastAsia="宋体" w:cs="Times New Roman"/>
                <w:color w:val="000000" w:themeColor="text1"/>
                <w:sz w:val="21"/>
                <w:szCs w:val="21"/>
                <w:lang w:val="en-US" w:eastAsia="zh-CN"/>
              </w:rPr>
              <w:t>-3.9</w:t>
            </w:r>
          </w:p>
        </w:tc>
      </w:tr>
    </w:tbl>
    <w:p>
      <w:pPr>
        <w:pStyle w:val="25"/>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表4.2-10</w:t>
      </w:r>
      <w:r>
        <w:rPr>
          <w:rFonts w:hint="eastAsia" w:ascii="Times New Roman" w:hAnsi="Times New Roman" w:eastAsia="宋体" w:cs="Times New Roman"/>
          <w:b/>
          <w:bCs w:val="0"/>
          <w:color w:val="000000" w:themeColor="text1"/>
          <w:sz w:val="21"/>
          <w:szCs w:val="21"/>
          <w:lang w:val="en-US" w:eastAsia="zh-CN"/>
        </w:rPr>
        <w:t xml:space="preserve"> </w:t>
      </w:r>
      <w:r>
        <w:rPr>
          <w:rFonts w:hint="default" w:ascii="Times New Roman" w:hAnsi="Times New Roman" w:eastAsia="宋体" w:cs="Times New Roman"/>
          <w:b/>
          <w:bCs w:val="0"/>
          <w:color w:val="000000" w:themeColor="text1"/>
          <w:sz w:val="21"/>
          <w:szCs w:val="21"/>
        </w:rPr>
        <w:t xml:space="preserve"> 地下水现状</w:t>
      </w:r>
      <w:r>
        <w:rPr>
          <w:rFonts w:hint="default" w:ascii="Times New Roman" w:hAnsi="Times New Roman" w:eastAsia="宋体" w:cs="Times New Roman"/>
          <w:b/>
          <w:bCs w:val="0"/>
          <w:color w:val="000000" w:themeColor="text1"/>
          <w:sz w:val="21"/>
          <w:szCs w:val="21"/>
          <w:lang w:eastAsia="zh-CN"/>
        </w:rPr>
        <w:t>监测</w:t>
      </w:r>
      <w:r>
        <w:rPr>
          <w:rFonts w:hint="default" w:ascii="Times New Roman" w:hAnsi="Times New Roman" w:eastAsia="宋体" w:cs="Times New Roman"/>
          <w:b/>
          <w:bCs w:val="0"/>
          <w:color w:val="000000" w:themeColor="text1"/>
          <w:sz w:val="21"/>
          <w:szCs w:val="21"/>
        </w:rPr>
        <w:t>结果</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311"/>
        <w:gridCol w:w="1227"/>
        <w:gridCol w:w="1227"/>
        <w:gridCol w:w="1226"/>
        <w:gridCol w:w="1228"/>
        <w:gridCol w:w="12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8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000000" w:themeColor="text1"/>
                <w:sz w:val="21"/>
                <w:szCs w:val="21"/>
                <w:highlight w:val="none"/>
                <w:lang w:val="en-US" w:eastAsia="zh-CN"/>
              </w:rPr>
            </w:pPr>
            <w:r>
              <w:rPr>
                <w:rFonts w:hint="eastAsia" w:ascii="Times New Roman" w:hAnsi="Times New Roman" w:cs="Times New Roman"/>
                <w:b/>
                <w:bCs/>
                <w:color w:val="000000" w:themeColor="text1"/>
                <w:kern w:val="0"/>
                <w:sz w:val="21"/>
                <w:szCs w:val="21"/>
                <w:highlight w:val="none"/>
                <w:vertAlign w:val="baseline"/>
                <w:lang w:val="en-US" w:eastAsia="zh-CN" w:bidi="ar-SA"/>
              </w:rPr>
              <w:t>监测</w:t>
            </w:r>
            <w:r>
              <w:rPr>
                <w:rFonts w:hint="default" w:ascii="Times New Roman" w:hAnsi="Times New Roman" w:cs="Times New Roman"/>
                <w:b/>
                <w:bCs/>
                <w:color w:val="000000" w:themeColor="text1"/>
                <w:sz w:val="21"/>
                <w:szCs w:val="21"/>
                <w:highlight w:val="none"/>
                <w:lang w:val="en-US" w:eastAsia="zh-CN"/>
              </w:rPr>
              <w:t>日期</w:t>
            </w:r>
          </w:p>
        </w:tc>
        <w:tc>
          <w:tcPr>
            <w:tcW w:w="613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2022年03</w:t>
            </w:r>
            <w:r>
              <w:rPr>
                <w:rFonts w:hint="default" w:ascii="Times New Roman" w:hAnsi="Times New Roman" w:cs="Times New Roman"/>
                <w:b w:val="0"/>
                <w:bCs w:val="0"/>
                <w:color w:val="000000" w:themeColor="text1"/>
                <w:sz w:val="21"/>
                <w:szCs w:val="21"/>
                <w:highlight w:val="none"/>
                <w:lang w:val="en-US" w:eastAsia="zh-CN"/>
              </w:rPr>
              <w:t>月</w:t>
            </w:r>
            <w:r>
              <w:rPr>
                <w:rFonts w:hint="eastAsia" w:ascii="Times New Roman" w:hAnsi="Times New Roman" w:cs="Times New Roman"/>
                <w:b w:val="0"/>
                <w:bCs w:val="0"/>
                <w:color w:val="000000" w:themeColor="text1"/>
                <w:sz w:val="21"/>
                <w:szCs w:val="21"/>
                <w:highlight w:val="none"/>
                <w:lang w:val="en-US" w:eastAsia="zh-CN"/>
              </w:rPr>
              <w:t>11</w:t>
            </w:r>
            <w:r>
              <w:rPr>
                <w:rFonts w:hint="default" w:ascii="Times New Roman" w:hAnsi="Times New Roman" w:cs="Times New Roman"/>
                <w:b w:val="0"/>
                <w:bCs w:val="0"/>
                <w:color w:val="000000" w:themeColor="text1"/>
                <w:sz w:val="21"/>
                <w:szCs w:val="21"/>
                <w:highlight w:val="none"/>
                <w:lang w:val="en-US"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28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eastAsia" w:ascii="Times New Roman" w:hAnsi="Times New Roman" w:cs="Times New Roman"/>
                <w:b/>
                <w:bCs/>
                <w:color w:val="000000" w:themeColor="text1"/>
                <w:kern w:val="0"/>
                <w:sz w:val="21"/>
                <w:szCs w:val="21"/>
                <w:highlight w:val="none"/>
                <w:vertAlign w:val="baseline"/>
                <w:lang w:val="en-US" w:eastAsia="zh-CN" w:bidi="ar-SA"/>
              </w:rPr>
              <w:t>监测</w:t>
            </w:r>
            <w:r>
              <w:rPr>
                <w:rFonts w:hint="default" w:ascii="Times New Roman" w:hAnsi="Times New Roman" w:cs="Times New Roman"/>
                <w:b/>
                <w:bCs/>
                <w:color w:val="000000" w:themeColor="text1"/>
                <w:kern w:val="2"/>
                <w:sz w:val="21"/>
                <w:szCs w:val="21"/>
                <w:highlight w:val="none"/>
                <w:lang w:val="en-US" w:eastAsia="zh-CN" w:bidi="ar-SA"/>
              </w:rPr>
              <w:t>点位</w:t>
            </w:r>
          </w:p>
        </w:tc>
        <w:tc>
          <w:tcPr>
            <w:tcW w:w="613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000000" w:themeColor="text1"/>
                <w:sz w:val="21"/>
                <w:szCs w:val="21"/>
                <w:highlight w:val="none"/>
                <w:lang w:val="en-US" w:eastAsia="zh-CN"/>
              </w:rPr>
            </w:pPr>
            <w:r>
              <w:rPr>
                <w:rFonts w:hint="eastAsia" w:ascii="Times New Roman" w:hAnsi="Times New Roman" w:cs="Times New Roman"/>
                <w:b/>
                <w:bCs/>
                <w:color w:val="000000" w:themeColor="text1"/>
                <w:kern w:val="0"/>
                <w:sz w:val="21"/>
                <w:szCs w:val="21"/>
                <w:highlight w:val="none"/>
                <w:vertAlign w:val="baseline"/>
                <w:lang w:val="en-US" w:eastAsia="zh-CN" w:bidi="ar-SA"/>
              </w:rPr>
              <w:t>监测</w:t>
            </w:r>
            <w:r>
              <w:rPr>
                <w:rFonts w:hint="default" w:ascii="Times New Roman" w:hAnsi="Times New Roman" w:cs="Times New Roman"/>
                <w:b/>
                <w:bCs/>
                <w:color w:val="000000" w:themeColor="text1"/>
                <w:sz w:val="21"/>
                <w:szCs w:val="21"/>
                <w:highlight w:val="none"/>
                <w:lang w:val="en-US" w:eastAsia="zh-CN"/>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b/>
                <w:bCs/>
                <w:color w:val="000000" w:themeColor="text1"/>
                <w:sz w:val="21"/>
                <w:szCs w:val="21"/>
                <w:highlight w:val="none"/>
              </w:rPr>
              <w:t>分析项目</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b/>
                <w:bCs/>
                <w:color w:val="000000" w:themeColor="text1"/>
                <w:sz w:val="21"/>
                <w:szCs w:val="21"/>
                <w:highlight w:val="none"/>
                <w:lang w:val="en-US" w:eastAsia="zh-CN"/>
              </w:rPr>
              <w:t>单位</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rPr>
              <w:t>W01</w:t>
            </w:r>
            <w:r>
              <w:rPr>
                <w:rFonts w:hint="eastAsia" w:ascii="Times New Roman" w:hAnsi="Times New Roman" w:cs="Times New Roman"/>
                <w:b w:val="0"/>
                <w:bCs w:val="0"/>
                <w:color w:val="000000" w:themeColor="text1"/>
                <w:kern w:val="2"/>
                <w:sz w:val="21"/>
                <w:szCs w:val="21"/>
                <w:highlight w:val="none"/>
                <w:lang w:val="en-US" w:eastAsia="zh-CN" w:bidi="ar-SA"/>
              </w:rPr>
              <w:t>羊须沟1号泉眼</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0"/>
                <w:sz w:val="21"/>
                <w:szCs w:val="21"/>
                <w:highlight w:val="none"/>
                <w:vertAlign w:val="baseline"/>
                <w:lang w:val="en-US" w:eastAsia="zh-CN" w:bidi="ar-SA"/>
              </w:rPr>
            </w:pPr>
            <w:r>
              <w:rPr>
                <w:rFonts w:hint="default" w:ascii="Times New Roman" w:hAnsi="Times New Roman" w:eastAsia="宋体" w:cs="Times New Roman"/>
                <w:color w:val="000000" w:themeColor="text1"/>
                <w:sz w:val="21"/>
                <w:szCs w:val="21"/>
              </w:rPr>
              <w:t>W0</w:t>
            </w:r>
            <w:r>
              <w:rPr>
                <w:rFonts w:hint="eastAsia" w:ascii="Times New Roman" w:hAnsi="Times New Roman" w:eastAsia="宋体" w:cs="Times New Roman"/>
                <w:color w:val="000000" w:themeColor="text1"/>
                <w:sz w:val="21"/>
                <w:szCs w:val="21"/>
                <w:lang w:val="en-US" w:eastAsia="zh-CN"/>
              </w:rPr>
              <w:t>2</w:t>
            </w:r>
            <w:r>
              <w:rPr>
                <w:rFonts w:hint="eastAsia" w:ascii="Times New Roman" w:hAnsi="Times New Roman" w:cs="Times New Roman"/>
                <w:b w:val="0"/>
                <w:bCs w:val="0"/>
                <w:color w:val="000000" w:themeColor="text1"/>
                <w:kern w:val="2"/>
                <w:sz w:val="21"/>
                <w:szCs w:val="21"/>
                <w:highlight w:val="none"/>
                <w:lang w:val="en-US" w:eastAsia="zh-CN" w:bidi="ar-SA"/>
              </w:rPr>
              <w:t>羊须沟2号泉眼</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0"/>
                <w:sz w:val="21"/>
                <w:szCs w:val="21"/>
                <w:highlight w:val="none"/>
                <w:vertAlign w:val="baseline"/>
                <w:lang w:val="en-US" w:eastAsia="zh-CN" w:bidi="ar-SA"/>
              </w:rPr>
            </w:pPr>
            <w:r>
              <w:rPr>
                <w:rFonts w:hint="default" w:ascii="Times New Roman" w:hAnsi="Times New Roman" w:eastAsia="宋体" w:cs="Times New Roman"/>
                <w:color w:val="000000" w:themeColor="text1"/>
                <w:sz w:val="21"/>
                <w:szCs w:val="21"/>
              </w:rPr>
              <w:t>W0</w:t>
            </w:r>
            <w:r>
              <w:rPr>
                <w:rFonts w:hint="eastAsia" w:ascii="Times New Roman" w:hAnsi="Times New Roman" w:eastAsia="宋体" w:cs="Times New Roman"/>
                <w:color w:val="000000" w:themeColor="text1"/>
                <w:sz w:val="21"/>
                <w:szCs w:val="21"/>
                <w:lang w:val="en-US" w:eastAsia="zh-CN"/>
              </w:rPr>
              <w:t>3</w:t>
            </w:r>
            <w:r>
              <w:rPr>
                <w:rFonts w:hint="eastAsia" w:ascii="Times New Roman" w:hAnsi="Times New Roman" w:cs="Times New Roman"/>
                <w:b w:val="0"/>
                <w:bCs w:val="0"/>
                <w:color w:val="000000" w:themeColor="text1"/>
                <w:kern w:val="2"/>
                <w:sz w:val="21"/>
                <w:szCs w:val="21"/>
                <w:highlight w:val="none"/>
                <w:lang w:val="en-US" w:eastAsia="zh-CN" w:bidi="ar-SA"/>
              </w:rPr>
              <w:t>构皮沟1号水井</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0"/>
                <w:sz w:val="21"/>
                <w:szCs w:val="21"/>
                <w:highlight w:val="none"/>
                <w:vertAlign w:val="baseline"/>
                <w:lang w:val="en-US" w:eastAsia="zh-CN" w:bidi="ar-SA"/>
              </w:rPr>
            </w:pPr>
            <w:r>
              <w:rPr>
                <w:rFonts w:hint="default" w:ascii="Times New Roman" w:hAnsi="Times New Roman" w:eastAsia="宋体" w:cs="Times New Roman"/>
                <w:color w:val="000000" w:themeColor="text1"/>
                <w:sz w:val="21"/>
                <w:szCs w:val="21"/>
              </w:rPr>
              <w:t>W0</w:t>
            </w:r>
            <w:r>
              <w:rPr>
                <w:rFonts w:hint="eastAsia" w:ascii="Times New Roman" w:hAnsi="Times New Roman" w:eastAsia="宋体" w:cs="Times New Roman"/>
                <w:color w:val="000000" w:themeColor="text1"/>
                <w:sz w:val="21"/>
                <w:szCs w:val="21"/>
                <w:lang w:val="en-US" w:eastAsia="zh-CN"/>
              </w:rPr>
              <w:t>4</w:t>
            </w:r>
            <w:r>
              <w:rPr>
                <w:rFonts w:hint="eastAsia" w:ascii="Times New Roman" w:hAnsi="Times New Roman" w:cs="Times New Roman"/>
                <w:b w:val="0"/>
                <w:bCs w:val="0"/>
                <w:color w:val="000000" w:themeColor="text1"/>
                <w:kern w:val="2"/>
                <w:sz w:val="21"/>
                <w:szCs w:val="21"/>
                <w:highlight w:val="none"/>
                <w:lang w:val="en-US" w:eastAsia="zh-CN" w:bidi="ar-SA"/>
              </w:rPr>
              <w:t>构皮沟2号水井</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val="0"/>
                <w:bCs w:val="0"/>
                <w:color w:val="000000" w:themeColor="text1"/>
                <w:kern w:val="0"/>
                <w:sz w:val="21"/>
                <w:szCs w:val="21"/>
                <w:highlight w:val="none"/>
                <w:vertAlign w:val="baseline"/>
                <w:lang w:val="en-US" w:eastAsia="zh-CN" w:bidi="ar-SA"/>
              </w:rPr>
            </w:pPr>
            <w:r>
              <w:rPr>
                <w:rFonts w:hint="default" w:ascii="Times New Roman" w:hAnsi="Times New Roman" w:eastAsia="宋体" w:cs="Times New Roman"/>
                <w:color w:val="000000" w:themeColor="text1"/>
                <w:sz w:val="21"/>
                <w:szCs w:val="21"/>
              </w:rPr>
              <w:t>W0</w:t>
            </w:r>
            <w:r>
              <w:rPr>
                <w:rFonts w:hint="eastAsia" w:ascii="Times New Roman" w:hAnsi="Times New Roman" w:eastAsia="宋体" w:cs="Times New Roman"/>
                <w:color w:val="000000" w:themeColor="text1"/>
                <w:sz w:val="21"/>
                <w:szCs w:val="21"/>
                <w:lang w:val="en-US" w:eastAsia="zh-CN"/>
              </w:rPr>
              <w:t>5</w:t>
            </w:r>
            <w:r>
              <w:rPr>
                <w:rFonts w:hint="eastAsia" w:ascii="Times New Roman" w:hAnsi="Times New Roman" w:cs="Times New Roman"/>
                <w:b w:val="0"/>
                <w:bCs w:val="0"/>
                <w:color w:val="000000" w:themeColor="text1"/>
                <w:kern w:val="2"/>
                <w:sz w:val="21"/>
                <w:szCs w:val="21"/>
                <w:highlight w:val="none"/>
                <w:lang w:val="en-US" w:eastAsia="zh-CN" w:bidi="ar-SA"/>
              </w:rPr>
              <w:t>矿山自用泉眼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pH值</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highlight w:val="none"/>
                <w:lang w:val="en-US" w:eastAsia="zh-CN"/>
              </w:rPr>
              <w:t>无量纲</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7.3</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7.5</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7.4</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7.3</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513"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eastAsia" w:ascii="Times New Roman" w:hAnsi="Times New Roman" w:cs="Times New Roman"/>
                <w:color w:val="000000" w:themeColor="text1"/>
                <w:sz w:val="21"/>
                <w:szCs w:val="21"/>
                <w:highlight w:val="none"/>
                <w:vertAlign w:val="baseline"/>
                <w:lang w:val="en-US" w:eastAsia="zh-CN"/>
              </w:rPr>
              <w:t>钾（K</w:t>
            </w:r>
            <w:r>
              <w:rPr>
                <w:rFonts w:hint="eastAsia" w:ascii="Times New Roman" w:hAnsi="Times New Roman" w:cs="Times New Roman"/>
                <w:color w:val="000000" w:themeColor="text1"/>
                <w:sz w:val="21"/>
                <w:szCs w:val="21"/>
                <w:highlight w:val="none"/>
                <w:vertAlign w:val="superscript"/>
                <w:lang w:val="en-US" w:eastAsia="zh-CN"/>
              </w:rPr>
              <w:t>+</w:t>
            </w:r>
            <w:r>
              <w:rPr>
                <w:rFonts w:hint="eastAsia" w:ascii="Times New Roman" w:hAnsi="Times New Roman" w:cs="Times New Roman"/>
                <w:color w:val="000000" w:themeColor="text1"/>
                <w:sz w:val="21"/>
                <w:szCs w:val="21"/>
                <w:highlight w:val="none"/>
                <w:vertAlign w:val="baseline"/>
                <w:lang w:val="en-US" w:eastAsia="zh-CN"/>
              </w:rPr>
              <w:t>）</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1.74</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1.34</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1.08</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1.45</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rPr>
            </w:pPr>
            <w:r>
              <w:rPr>
                <w:rFonts w:hint="eastAsia" w:ascii="Times New Roman" w:hAnsi="Times New Roman" w:cs="Times New Roman"/>
                <w:color w:val="000000" w:themeColor="text1"/>
                <w:sz w:val="21"/>
                <w:szCs w:val="21"/>
                <w:highlight w:val="none"/>
                <w:lang w:val="en-US" w:eastAsia="zh-CN"/>
              </w:rPr>
              <w:t>钠（</w:t>
            </w:r>
            <w:r>
              <w:rPr>
                <w:rFonts w:hint="default" w:ascii="Times New Roman" w:hAnsi="Times New Roman" w:cs="Times New Roman"/>
                <w:color w:val="000000" w:themeColor="text1"/>
                <w:sz w:val="21"/>
                <w:szCs w:val="21"/>
                <w:highlight w:val="none"/>
              </w:rPr>
              <w:t>Na</w:t>
            </w:r>
            <w:r>
              <w:rPr>
                <w:rFonts w:hint="default" w:ascii="Times New Roman" w:hAnsi="Times New Roman" w:cs="Times New Roman"/>
                <w:color w:val="000000" w:themeColor="text1"/>
                <w:sz w:val="21"/>
                <w:szCs w:val="21"/>
                <w:highlight w:val="none"/>
                <w:vertAlign w:val="superscript"/>
              </w:rPr>
              <w:t>+</w:t>
            </w:r>
            <w:r>
              <w:rPr>
                <w:rFonts w:hint="eastAsia" w:ascii="Times New Roman" w:hAnsi="Times New Roman" w:cs="Times New Roman"/>
                <w:color w:val="000000" w:themeColor="text1"/>
                <w:sz w:val="21"/>
                <w:szCs w:val="21"/>
                <w:highlight w:val="none"/>
                <w:lang w:val="en-US" w:eastAsia="zh-CN"/>
              </w:rPr>
              <w:t>）</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5.36</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6.09</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8.63</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9.13</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rPr>
            </w:pPr>
            <w:r>
              <w:rPr>
                <w:rFonts w:hint="eastAsia" w:ascii="Times New Roman" w:hAnsi="Times New Roman" w:cs="Times New Roman"/>
                <w:color w:val="000000" w:themeColor="text1"/>
                <w:sz w:val="21"/>
                <w:szCs w:val="21"/>
                <w:highlight w:val="none"/>
                <w:lang w:val="en-US" w:eastAsia="zh-CN"/>
              </w:rPr>
              <w:t>钙（</w:t>
            </w:r>
            <w:r>
              <w:rPr>
                <w:rFonts w:hint="default" w:ascii="Times New Roman" w:hAnsi="Times New Roman" w:cs="Times New Roman"/>
                <w:color w:val="000000" w:themeColor="text1"/>
                <w:sz w:val="21"/>
                <w:szCs w:val="21"/>
                <w:highlight w:val="none"/>
              </w:rPr>
              <w:t>Ca</w:t>
            </w:r>
            <w:r>
              <w:rPr>
                <w:rFonts w:hint="default" w:ascii="Times New Roman" w:hAnsi="Times New Roman" w:cs="Times New Roman"/>
                <w:color w:val="000000" w:themeColor="text1"/>
                <w:sz w:val="21"/>
                <w:szCs w:val="21"/>
                <w:highlight w:val="none"/>
                <w:vertAlign w:val="superscript"/>
              </w:rPr>
              <w:t>2+</w:t>
            </w:r>
            <w:r>
              <w:rPr>
                <w:rFonts w:hint="eastAsia" w:ascii="Times New Roman" w:hAnsi="Times New Roman" w:cs="Times New Roman"/>
                <w:color w:val="000000" w:themeColor="text1"/>
                <w:sz w:val="21"/>
                <w:szCs w:val="21"/>
                <w:highlight w:val="none"/>
                <w:lang w:val="en-US" w:eastAsia="zh-CN"/>
              </w:rPr>
              <w:t>）</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116</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113</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146</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121</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rPr>
            </w:pPr>
            <w:r>
              <w:rPr>
                <w:rFonts w:hint="eastAsia" w:ascii="Times New Roman" w:hAnsi="Times New Roman" w:cs="Times New Roman"/>
                <w:color w:val="000000" w:themeColor="text1"/>
                <w:sz w:val="21"/>
                <w:szCs w:val="21"/>
                <w:highlight w:val="none"/>
                <w:lang w:val="en-US" w:eastAsia="zh-CN"/>
              </w:rPr>
              <w:t>镁（</w:t>
            </w:r>
            <w:r>
              <w:rPr>
                <w:rFonts w:hint="default" w:ascii="Times New Roman" w:hAnsi="Times New Roman" w:cs="Times New Roman"/>
                <w:color w:val="000000" w:themeColor="text1"/>
                <w:sz w:val="21"/>
                <w:szCs w:val="21"/>
                <w:highlight w:val="none"/>
              </w:rPr>
              <w:t>Mg</w:t>
            </w:r>
            <w:r>
              <w:rPr>
                <w:rFonts w:hint="default" w:ascii="Times New Roman" w:hAnsi="Times New Roman" w:cs="Times New Roman"/>
                <w:color w:val="000000" w:themeColor="text1"/>
                <w:sz w:val="21"/>
                <w:szCs w:val="21"/>
                <w:highlight w:val="none"/>
                <w:vertAlign w:val="superscript"/>
              </w:rPr>
              <w:t>2+</w:t>
            </w:r>
            <w:r>
              <w:rPr>
                <w:rFonts w:hint="eastAsia" w:ascii="Times New Roman" w:hAnsi="Times New Roman" w:cs="Times New Roman"/>
                <w:color w:val="000000" w:themeColor="text1"/>
                <w:sz w:val="21"/>
                <w:szCs w:val="21"/>
                <w:highlight w:val="none"/>
                <w:lang w:val="en-US" w:eastAsia="zh-CN"/>
              </w:rPr>
              <w:t>）</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5.72</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5.69</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8.78</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4.80</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砷</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highlight w:val="none"/>
                <w:lang w:eastAsia="zh-CN"/>
              </w:rPr>
              <w:t>汞</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0.00004ND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0.00004ND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0.00004ND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0.00004ND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0.00004ND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lang w:eastAsia="zh-CN"/>
              </w:rPr>
              <w:t>铅</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0.0025ND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0.0025ND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0.0025ND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0.0025ND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0.0025ND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lang w:eastAsia="zh-CN"/>
              </w:rPr>
              <w:t>镉</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0.0005ND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0.0005ND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0.0005ND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0.0005ND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0.0005ND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rPr>
            </w:pPr>
            <w:r>
              <w:rPr>
                <w:rFonts w:hint="default" w:ascii="Times New Roman" w:hAnsi="Times New Roman" w:cs="Times New Roman"/>
                <w:color w:val="000000" w:themeColor="text1"/>
                <w:sz w:val="21"/>
                <w:szCs w:val="21"/>
                <w:highlight w:val="none"/>
                <w:lang w:eastAsia="zh-CN"/>
              </w:rPr>
              <w:t>铁</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0.03ND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0.03ND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0.03ND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0.03ND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0.03ND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锰</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vertAlign w:val="baseline"/>
                <w:lang w:val="en-US" w:eastAsia="zh-CN"/>
              </w:rPr>
              <w:t>碳酸根</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1.25ND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1.25ND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1.25ND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1.25ND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1.25ND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color w:val="000000" w:themeColor="text1"/>
                <w:sz w:val="21"/>
                <w:szCs w:val="21"/>
                <w:highlight w:val="none"/>
                <w:vertAlign w:val="baseline"/>
                <w:lang w:val="en-US" w:eastAsia="zh-CN"/>
              </w:rPr>
              <w:t>重碳酸根</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394</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379</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505</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409</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vertAlign w:val="baseline"/>
                <w:lang w:val="en-US" w:eastAsia="zh-CN"/>
              </w:rPr>
              <w:t>总硬度</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316</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309</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404</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420</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氨氮</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0.025ND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0.025ND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0.025ND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0.025ND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0.025ND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氰化物</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0.002ND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挥发酚</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六价铬</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0.004ND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0.004ND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0.004ND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0.004ND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0.004ND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rPr>
              <w:t>亚硝酸盐</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2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溶解性总固体</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395</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382</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491</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407</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412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氟</w:t>
            </w:r>
            <w:r>
              <w:rPr>
                <w:rFonts w:hint="default" w:ascii="Times New Roman" w:hAnsi="Times New Roman" w:cs="Times New Roman"/>
                <w:color w:val="000000" w:themeColor="text1"/>
                <w:sz w:val="21"/>
                <w:szCs w:val="21"/>
                <w:highlight w:val="none"/>
                <w:lang w:val="en-US" w:eastAsia="zh-CN"/>
              </w:rPr>
              <w:t>化物（F</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val="en-US" w:eastAsia="zh-CN"/>
              </w:rPr>
              <w:t>）</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0.582</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0.644</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0.712</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0.576</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0.658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硝酸盐</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mg/L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8.51</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8.59</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7.38</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8.42</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8.60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硫酸盐（</w:t>
            </w:r>
            <w:r>
              <w:rPr>
                <w:rFonts w:hint="default" w:ascii="Times New Roman" w:hAnsi="Times New Roman" w:cs="Times New Roman"/>
                <w:color w:val="000000" w:themeColor="text1"/>
                <w:sz w:val="21"/>
                <w:szCs w:val="21"/>
                <w:highlight w:val="none"/>
                <w:lang w:val="en-US" w:eastAsia="zh-CN"/>
              </w:rPr>
              <w:t>SO</w:t>
            </w:r>
            <w:r>
              <w:rPr>
                <w:rFonts w:hint="default" w:ascii="Times New Roman" w:hAnsi="Times New Roman" w:cs="Times New Roman"/>
                <w:color w:val="000000" w:themeColor="text1"/>
                <w:sz w:val="21"/>
                <w:szCs w:val="21"/>
                <w:highlight w:val="none"/>
                <w:vertAlign w:val="subscript"/>
                <w:lang w:val="en-US" w:eastAsia="zh-CN"/>
              </w:rPr>
              <w:t>4</w:t>
            </w:r>
            <w:r>
              <w:rPr>
                <w:rFonts w:hint="default" w:ascii="Times New Roman" w:hAnsi="Times New Roman" w:cs="Times New Roman"/>
                <w:color w:val="000000" w:themeColor="text1"/>
                <w:sz w:val="21"/>
                <w:szCs w:val="21"/>
                <w:highlight w:val="none"/>
                <w:vertAlign w:val="superscript"/>
                <w:lang w:val="en-US" w:eastAsia="zh-CN"/>
              </w:rPr>
              <w:t>2-</w:t>
            </w:r>
            <w:r>
              <w:rPr>
                <w:rFonts w:hint="default" w:ascii="Times New Roman" w:hAnsi="Times New Roman" w:cs="Times New Roman"/>
                <w:color w:val="000000" w:themeColor="text1"/>
                <w:sz w:val="21"/>
                <w:szCs w:val="21"/>
                <w:highlight w:val="none"/>
                <w:lang w:eastAsia="zh-CN"/>
              </w:rPr>
              <w:t>）</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14.2</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14.8</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19.0</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14.3</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eastAsia="zh-CN"/>
              </w:rPr>
              <w:t>氯化物（</w:t>
            </w:r>
            <w:r>
              <w:rPr>
                <w:rFonts w:hint="default" w:ascii="Times New Roman" w:hAnsi="Times New Roman" w:cs="Times New Roman"/>
                <w:color w:val="000000" w:themeColor="text1"/>
                <w:sz w:val="21"/>
                <w:szCs w:val="21"/>
                <w:highlight w:val="none"/>
                <w:lang w:val="en-US" w:eastAsia="zh-CN"/>
              </w:rPr>
              <w:t>Cl</w:t>
            </w:r>
            <w:r>
              <w:rPr>
                <w:rFonts w:hint="default" w:ascii="Times New Roman" w:hAnsi="Times New Roman" w:cs="Times New Roman"/>
                <w:color w:val="000000" w:themeColor="text1"/>
                <w:sz w:val="21"/>
                <w:szCs w:val="21"/>
                <w:highlight w:val="none"/>
                <w:vertAlign w:val="superscript"/>
                <w:lang w:val="en-US" w:eastAsia="zh-CN"/>
              </w:rPr>
              <w:t>-</w:t>
            </w:r>
            <w:r>
              <w:rPr>
                <w:rFonts w:hint="default" w:ascii="Times New Roman" w:hAnsi="Times New Roman" w:cs="Times New Roman"/>
                <w:color w:val="000000" w:themeColor="text1"/>
                <w:sz w:val="21"/>
                <w:szCs w:val="21"/>
                <w:highlight w:val="none"/>
                <w:lang w:eastAsia="zh-CN"/>
              </w:rPr>
              <w:t>）</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color w:val="000000" w:themeColor="text1"/>
                <w:sz w:val="21"/>
                <w:szCs w:val="21"/>
                <w:vertAlign w:val="baseline"/>
                <w:lang w:val="en-US" w:eastAsia="zh-CN"/>
              </w:rPr>
              <w:t>mg/L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11.0</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11.1</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12.3</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12.4</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kern w:val="2"/>
                <w:sz w:val="21"/>
                <w:szCs w:val="21"/>
                <w:highlight w:val="none"/>
                <w:lang w:val="en-US" w:eastAsia="zh-CN" w:bidi="ar-SA"/>
              </w:rPr>
              <w:t>钡</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0.0840</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0.0823</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0.0838</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0.0839</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13" w:type="dxa"/>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sz w:val="21"/>
                <w:szCs w:val="21"/>
                <w:lang w:val="en-US" w:eastAsia="zh-CN"/>
              </w:rPr>
              <w:t>菌落</w:t>
            </w:r>
            <w:r>
              <w:rPr>
                <w:rFonts w:hint="default" w:ascii="Times New Roman" w:hAnsi="Times New Roman" w:cs="Times New Roman"/>
                <w:color w:val="000000" w:themeColor="text1"/>
                <w:sz w:val="21"/>
                <w:szCs w:val="21"/>
              </w:rPr>
              <w:t>总数</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rPr>
            </w:pPr>
            <w:r>
              <w:rPr>
                <w:rFonts w:hint="eastAsia" w:ascii="Times New Roman" w:hAnsi="Times New Roman" w:cs="Times New Roman"/>
                <w:color w:val="000000" w:themeColor="text1"/>
                <w:kern w:val="2"/>
                <w:sz w:val="21"/>
                <w:szCs w:val="21"/>
                <w:highlight w:val="none"/>
                <w:vertAlign w:val="baseline"/>
                <w:lang w:val="en-US" w:eastAsia="zh-CN" w:bidi="ar-SA"/>
              </w:rPr>
              <w:t>CFU/m</w:t>
            </w:r>
            <w:r>
              <w:rPr>
                <w:rFonts w:hint="default" w:ascii="Times New Roman" w:hAnsi="Times New Roman" w:cs="Times New Roman"/>
                <w:b w:val="0"/>
                <w:bCs w:val="0"/>
                <w:color w:val="000000" w:themeColor="text1"/>
                <w:sz w:val="21"/>
                <w:szCs w:val="21"/>
                <w:vertAlign w:val="baseline"/>
                <w:lang w:val="en-US" w:eastAsia="zh-CN"/>
              </w:rPr>
              <w:t>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24</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28</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26</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32</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13" w:type="dxa"/>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vertAlign w:val="baseline"/>
                <w:lang w:val="en-US" w:eastAsia="zh-CN"/>
              </w:rPr>
              <w:t>总大肠菌群</w:t>
            </w:r>
          </w:p>
        </w:tc>
        <w:tc>
          <w:tcPr>
            <w:tcW w:w="131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vertAlign w:val="baseline"/>
                <w:lang w:val="en-US" w:eastAsia="zh-CN" w:bidi="ar-SA"/>
              </w:rPr>
              <w:t>MPN/100mL</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2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r>
    </w:tbl>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ind w:leftChars="0"/>
        <w:jc w:val="center"/>
        <w:textAlignment w:val="auto"/>
        <w:outlineLvl w:val="1"/>
        <w:rPr>
          <w:rFonts w:hint="eastAsia" w:eastAsia="宋体"/>
          <w:b/>
          <w:bCs/>
          <w:color w:val="000000" w:themeColor="text1"/>
          <w:sz w:val="21"/>
          <w:szCs w:val="21"/>
          <w:vertAlign w:val="baseline"/>
          <w:lang w:val="en-US" w:eastAsia="zh-CN"/>
        </w:rPr>
      </w:pPr>
      <w:bookmarkStart w:id="328" w:name="_Toc453"/>
      <w:r>
        <w:rPr>
          <w:rFonts w:hint="eastAsia"/>
          <w:b/>
          <w:bCs/>
          <w:color w:val="000000" w:themeColor="text1"/>
          <w:sz w:val="21"/>
          <w:szCs w:val="21"/>
          <w:lang w:eastAsia="zh-CN"/>
        </w:rPr>
        <w:t>表</w:t>
      </w:r>
      <w:r>
        <w:rPr>
          <w:rFonts w:hint="default"/>
          <w:b/>
          <w:bCs/>
          <w:color w:val="000000" w:themeColor="text1"/>
          <w:sz w:val="21"/>
          <w:szCs w:val="21"/>
          <w:lang w:val="en-US" w:eastAsia="zh-CN"/>
        </w:rPr>
        <w:t>4.2-11</w:t>
      </w:r>
      <w:r>
        <w:rPr>
          <w:rFonts w:hint="eastAsia"/>
          <w:b/>
          <w:bCs/>
          <w:color w:val="000000" w:themeColor="text1"/>
          <w:sz w:val="21"/>
          <w:szCs w:val="21"/>
          <w:lang w:val="en-US" w:eastAsia="zh-CN"/>
        </w:rPr>
        <w:t xml:space="preserve">  地下水监测结果评价</w:t>
      </w:r>
      <w:bookmarkEnd w:id="328"/>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556"/>
        <w:gridCol w:w="1362"/>
        <w:gridCol w:w="1229"/>
        <w:gridCol w:w="1164"/>
        <w:gridCol w:w="1087"/>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29" w:name="_Toc2786"/>
            <w:r>
              <w:rPr>
                <w:rFonts w:hint="eastAsia"/>
                <w:b w:val="0"/>
                <w:bCs w:val="0"/>
                <w:color w:val="000000" w:themeColor="text1"/>
                <w:sz w:val="21"/>
                <w:szCs w:val="21"/>
                <w:vertAlign w:val="baseline"/>
                <w:lang w:val="en-US" w:eastAsia="zh-CN"/>
              </w:rPr>
              <w:t>监测点位</w:t>
            </w:r>
            <w:bookmarkEnd w:id="329"/>
          </w:p>
        </w:tc>
        <w:tc>
          <w:tcPr>
            <w:tcW w:w="1556"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0" w:name="_Toc12801"/>
            <w:r>
              <w:rPr>
                <w:rFonts w:hint="eastAsia"/>
                <w:b w:val="0"/>
                <w:bCs w:val="0"/>
                <w:color w:val="000000" w:themeColor="text1"/>
                <w:sz w:val="21"/>
                <w:szCs w:val="21"/>
                <w:vertAlign w:val="baseline"/>
                <w:lang w:val="en-US" w:eastAsia="zh-CN"/>
              </w:rPr>
              <w:t>监测项目</w:t>
            </w:r>
            <w:bookmarkEnd w:id="330"/>
          </w:p>
        </w:tc>
        <w:tc>
          <w:tcPr>
            <w:tcW w:w="1362"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1" w:name="_Toc3758"/>
            <w:r>
              <w:rPr>
                <w:rFonts w:hint="eastAsia"/>
                <w:b w:val="0"/>
                <w:bCs w:val="0"/>
                <w:color w:val="000000" w:themeColor="text1"/>
                <w:sz w:val="21"/>
                <w:szCs w:val="21"/>
                <w:vertAlign w:val="baseline"/>
                <w:lang w:val="en-US" w:eastAsia="zh-CN"/>
              </w:rPr>
              <w:t>单位</w:t>
            </w:r>
            <w:bookmarkEnd w:id="331"/>
          </w:p>
        </w:tc>
        <w:tc>
          <w:tcPr>
            <w:tcW w:w="1229"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2" w:name="_Toc30267"/>
            <w:r>
              <w:rPr>
                <w:rFonts w:hint="eastAsia"/>
                <w:b w:val="0"/>
                <w:bCs w:val="0"/>
                <w:color w:val="000000" w:themeColor="text1"/>
                <w:sz w:val="21"/>
                <w:szCs w:val="21"/>
                <w:vertAlign w:val="baseline"/>
                <w:lang w:val="en-US" w:eastAsia="zh-CN"/>
              </w:rPr>
              <w:t>监测结果</w:t>
            </w:r>
            <w:bookmarkEnd w:id="332"/>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3" w:name="_Toc11206"/>
            <w:r>
              <w:rPr>
                <w:rFonts w:hint="eastAsia"/>
                <w:b w:val="0"/>
                <w:bCs w:val="0"/>
                <w:color w:val="000000" w:themeColor="text1"/>
                <w:sz w:val="21"/>
                <w:szCs w:val="21"/>
                <w:vertAlign w:val="baseline"/>
                <w:lang w:val="en-US" w:eastAsia="zh-CN"/>
              </w:rPr>
              <w:t>标准限值</w:t>
            </w:r>
            <w:bookmarkEnd w:id="33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4" w:name="_Toc22463"/>
            <w:r>
              <w:rPr>
                <w:rFonts w:hint="eastAsia"/>
                <w:b w:val="0"/>
                <w:bCs w:val="0"/>
                <w:color w:val="000000" w:themeColor="text1"/>
                <w:sz w:val="21"/>
                <w:szCs w:val="21"/>
                <w:vertAlign w:val="baseline"/>
                <w:lang w:val="en-US" w:eastAsia="zh-CN"/>
              </w:rPr>
              <w:t>标准指数</w:t>
            </w:r>
            <w:bookmarkEnd w:id="33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5" w:name="_Toc31353"/>
            <w:r>
              <w:rPr>
                <w:rFonts w:hint="eastAsia"/>
                <w:b w:val="0"/>
                <w:bCs w:val="0"/>
                <w:color w:val="000000" w:themeColor="text1"/>
                <w:sz w:val="21"/>
                <w:szCs w:val="21"/>
                <w:vertAlign w:val="baseline"/>
                <w:lang w:val="en-US" w:eastAsia="zh-CN"/>
              </w:rPr>
              <w:t>达标情况</w:t>
            </w:r>
            <w:bookmarkEnd w:id="33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9" w:type="dxa"/>
            <w:vMerge w:val="restart"/>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6" w:name="_Toc14599"/>
            <w:r>
              <w:rPr>
                <w:rFonts w:hint="eastAsia"/>
                <w:b w:val="0"/>
                <w:bCs w:val="0"/>
                <w:color w:val="000000" w:themeColor="text1"/>
                <w:sz w:val="21"/>
                <w:szCs w:val="21"/>
                <w:vertAlign w:val="baseline"/>
                <w:lang w:val="en-US" w:eastAsia="zh-CN"/>
              </w:rPr>
              <w:t>W1：</w:t>
            </w:r>
            <w:r>
              <w:rPr>
                <w:rFonts w:hint="eastAsia" w:ascii="Times New Roman" w:hAnsi="Times New Roman" w:cs="Times New Roman"/>
                <w:b w:val="0"/>
                <w:bCs w:val="0"/>
                <w:color w:val="000000" w:themeColor="text1"/>
                <w:kern w:val="2"/>
                <w:sz w:val="21"/>
                <w:szCs w:val="21"/>
                <w:highlight w:val="none"/>
                <w:lang w:val="en-US" w:eastAsia="zh-CN" w:bidi="ar-SA"/>
              </w:rPr>
              <w:t>羊须沟1号泉眼</w:t>
            </w:r>
            <w:bookmarkEnd w:id="336"/>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pH值</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highlight w:val="none"/>
                <w:lang w:val="en-US" w:eastAsia="zh-CN"/>
              </w:rPr>
              <w:t>无量纲</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7.3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7" w:name="_Toc31002"/>
            <w:r>
              <w:rPr>
                <w:rFonts w:hint="eastAsia" w:ascii="Times New Roman" w:hAnsi="Times New Roman" w:cs="Times New Roman" w:eastAsiaTheme="minorEastAsia"/>
                <w:b w:val="0"/>
                <w:bCs w:val="0"/>
                <w:color w:val="000000" w:themeColor="text1"/>
                <w:kern w:val="2"/>
                <w:sz w:val="21"/>
                <w:szCs w:val="21"/>
                <w:highlight w:val="none"/>
                <w:lang w:val="en-US" w:eastAsia="zh-CN" w:bidi="ar-SA"/>
              </w:rPr>
              <w:t>6.5~8.5</w:t>
            </w:r>
            <w:bookmarkEnd w:id="33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8" w:name="_Toc13782"/>
            <w:r>
              <w:rPr>
                <w:rFonts w:hint="default"/>
                <w:b w:val="0"/>
                <w:bCs w:val="0"/>
                <w:color w:val="000000" w:themeColor="text1"/>
                <w:sz w:val="21"/>
                <w:szCs w:val="21"/>
                <w:vertAlign w:val="baseline"/>
                <w:lang w:val="en-US" w:eastAsia="zh-CN"/>
              </w:rPr>
              <w:t>0.2</w:t>
            </w:r>
            <w:r>
              <w:rPr>
                <w:rFonts w:hint="eastAsia"/>
                <w:b w:val="0"/>
                <w:bCs w:val="0"/>
                <w:color w:val="000000" w:themeColor="text1"/>
                <w:sz w:val="21"/>
                <w:szCs w:val="21"/>
                <w:vertAlign w:val="baseline"/>
                <w:lang w:val="en-US" w:eastAsia="zh-CN"/>
              </w:rPr>
              <w:t>0</w:t>
            </w:r>
            <w:bookmarkEnd w:id="33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39" w:name="_Toc30772"/>
            <w:r>
              <w:rPr>
                <w:rFonts w:hint="eastAsia"/>
                <w:b w:val="0"/>
                <w:bCs w:val="0"/>
                <w:color w:val="000000" w:themeColor="text1"/>
                <w:sz w:val="21"/>
                <w:szCs w:val="21"/>
                <w:vertAlign w:val="baseline"/>
                <w:lang w:val="en-US" w:eastAsia="zh-CN"/>
              </w:rPr>
              <w:t>达标</w:t>
            </w:r>
            <w:bookmarkEnd w:id="3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vertAlign w:val="baseline"/>
                <w:lang w:val="en-US" w:eastAsia="zh-CN"/>
              </w:rPr>
              <w:t>钾（K</w:t>
            </w:r>
            <w:r>
              <w:rPr>
                <w:rFonts w:hint="eastAsia" w:ascii="Times New Roman" w:hAnsi="Times New Roman" w:cs="Times New Roman"/>
                <w:b w:val="0"/>
                <w:bCs w:val="0"/>
                <w:color w:val="000000" w:themeColor="text1"/>
                <w:sz w:val="21"/>
                <w:szCs w:val="21"/>
                <w:highlight w:val="none"/>
                <w:vertAlign w:val="superscript"/>
                <w:lang w:val="en-US" w:eastAsia="zh-CN"/>
              </w:rPr>
              <w:t>+</w:t>
            </w:r>
            <w:r>
              <w:rPr>
                <w:rFonts w:hint="eastAsia" w:ascii="Times New Roman" w:hAnsi="Times New Roman" w:cs="Times New Roman"/>
                <w:b w:val="0"/>
                <w:bCs w:val="0"/>
                <w:color w:val="000000" w:themeColor="text1"/>
                <w:sz w:val="21"/>
                <w:szCs w:val="21"/>
                <w:highlight w:val="none"/>
                <w:vertAlign w:val="baseli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1.74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0" w:name="_Toc14617"/>
            <w:r>
              <w:rPr>
                <w:rFonts w:hint="eastAsia"/>
                <w:b w:val="0"/>
                <w:bCs w:val="0"/>
                <w:color w:val="000000" w:themeColor="text1"/>
                <w:sz w:val="21"/>
                <w:szCs w:val="21"/>
                <w:vertAlign w:val="baseline"/>
                <w:lang w:val="en-US" w:eastAsia="zh-CN"/>
              </w:rPr>
              <w:t>/</w:t>
            </w:r>
            <w:bookmarkEnd w:id="34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1" w:name="_Toc18783"/>
            <w:r>
              <w:rPr>
                <w:rFonts w:hint="eastAsia"/>
                <w:b w:val="0"/>
                <w:bCs w:val="0"/>
                <w:color w:val="000000" w:themeColor="text1"/>
                <w:sz w:val="21"/>
                <w:szCs w:val="21"/>
                <w:vertAlign w:val="baseline"/>
                <w:lang w:val="en-US" w:eastAsia="zh-CN"/>
              </w:rPr>
              <w:t>/</w:t>
            </w:r>
            <w:bookmarkEnd w:id="34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2" w:name="_Toc7899"/>
            <w:r>
              <w:rPr>
                <w:rFonts w:hint="eastAsia"/>
                <w:b w:val="0"/>
                <w:bCs w:val="0"/>
                <w:color w:val="000000" w:themeColor="text1"/>
                <w:sz w:val="21"/>
                <w:szCs w:val="21"/>
                <w:vertAlign w:val="baseline"/>
                <w:lang w:val="en-US" w:eastAsia="zh-CN"/>
              </w:rPr>
              <w:t>/</w:t>
            </w:r>
            <w:bookmarkEnd w:id="34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钠（</w:t>
            </w:r>
            <w:r>
              <w:rPr>
                <w:rFonts w:hint="default" w:ascii="Times New Roman" w:hAnsi="Times New Roman" w:cs="Times New Roman"/>
                <w:b w:val="0"/>
                <w:bCs w:val="0"/>
                <w:color w:val="000000" w:themeColor="text1"/>
                <w:sz w:val="21"/>
                <w:szCs w:val="21"/>
                <w:highlight w:val="none"/>
              </w:rPr>
              <w:t>Na</w:t>
            </w:r>
            <w:r>
              <w:rPr>
                <w:rFonts w:hint="default" w:ascii="Times New Roman" w:hAnsi="Times New Roman" w:cs="Times New Roman"/>
                <w:b w:val="0"/>
                <w:bCs w:val="0"/>
                <w:color w:val="000000" w:themeColor="text1"/>
                <w:sz w:val="21"/>
                <w:szCs w:val="21"/>
                <w:highlight w:val="none"/>
                <w:vertAlign w:val="superscript"/>
              </w:rPr>
              <w:t>+</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5.36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3" w:name="_Toc19951"/>
            <w:r>
              <w:rPr>
                <w:rFonts w:hint="eastAsia"/>
                <w:b w:val="0"/>
                <w:bCs w:val="0"/>
                <w:color w:val="000000" w:themeColor="text1"/>
                <w:sz w:val="21"/>
                <w:szCs w:val="21"/>
                <w:vertAlign w:val="baseline"/>
                <w:lang w:val="en-US" w:eastAsia="zh-CN"/>
              </w:rPr>
              <w:t>200</w:t>
            </w:r>
            <w:bookmarkEnd w:id="34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4" w:name="_Toc10959"/>
            <w:r>
              <w:rPr>
                <w:rFonts w:hint="eastAsia"/>
                <w:b w:val="0"/>
                <w:bCs w:val="0"/>
                <w:color w:val="000000" w:themeColor="text1"/>
                <w:sz w:val="21"/>
                <w:szCs w:val="21"/>
                <w:vertAlign w:val="baseline"/>
                <w:lang w:val="en-US" w:eastAsia="zh-CN"/>
              </w:rPr>
              <w:t>0.03</w:t>
            </w:r>
            <w:bookmarkEnd w:id="34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5" w:name="_Toc11207"/>
            <w:r>
              <w:rPr>
                <w:rFonts w:hint="eastAsia"/>
                <w:b w:val="0"/>
                <w:bCs w:val="0"/>
                <w:color w:val="000000" w:themeColor="text1"/>
                <w:sz w:val="21"/>
                <w:szCs w:val="21"/>
                <w:vertAlign w:val="baseline"/>
                <w:lang w:val="en-US" w:eastAsia="zh-CN"/>
              </w:rPr>
              <w:t>达标</w:t>
            </w:r>
            <w:bookmarkEnd w:id="34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钙（</w:t>
            </w:r>
            <w:r>
              <w:rPr>
                <w:rFonts w:hint="default" w:ascii="Times New Roman" w:hAnsi="Times New Roman" w:cs="Times New Roman"/>
                <w:b w:val="0"/>
                <w:bCs w:val="0"/>
                <w:color w:val="000000" w:themeColor="text1"/>
                <w:sz w:val="21"/>
                <w:szCs w:val="21"/>
                <w:highlight w:val="none"/>
              </w:rPr>
              <w:t>Ca</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116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6" w:name="_Toc8258"/>
            <w:r>
              <w:rPr>
                <w:rFonts w:hint="eastAsia"/>
                <w:b w:val="0"/>
                <w:bCs w:val="0"/>
                <w:color w:val="000000" w:themeColor="text1"/>
                <w:sz w:val="21"/>
                <w:szCs w:val="21"/>
                <w:vertAlign w:val="baseline"/>
                <w:lang w:val="en-US" w:eastAsia="zh-CN"/>
              </w:rPr>
              <w:t>/</w:t>
            </w:r>
            <w:bookmarkEnd w:id="34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7" w:name="_Toc25113"/>
            <w:r>
              <w:rPr>
                <w:rFonts w:hint="eastAsia"/>
                <w:b w:val="0"/>
                <w:bCs w:val="0"/>
                <w:color w:val="000000" w:themeColor="text1"/>
                <w:sz w:val="21"/>
                <w:szCs w:val="21"/>
                <w:vertAlign w:val="baseline"/>
                <w:lang w:val="en-US" w:eastAsia="zh-CN"/>
              </w:rPr>
              <w:t>/</w:t>
            </w:r>
            <w:bookmarkEnd w:id="34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8" w:name="_Toc28267"/>
            <w:r>
              <w:rPr>
                <w:rFonts w:hint="eastAsia"/>
                <w:b w:val="0"/>
                <w:bCs w:val="0"/>
                <w:color w:val="000000" w:themeColor="text1"/>
                <w:sz w:val="21"/>
                <w:szCs w:val="21"/>
                <w:vertAlign w:val="baseline"/>
                <w:lang w:val="en-US" w:eastAsia="zh-CN"/>
              </w:rPr>
              <w:t>/</w:t>
            </w:r>
            <w:bookmarkEnd w:id="34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镁（</w:t>
            </w:r>
            <w:r>
              <w:rPr>
                <w:rFonts w:hint="default" w:ascii="Times New Roman" w:hAnsi="Times New Roman" w:cs="Times New Roman"/>
                <w:b w:val="0"/>
                <w:bCs w:val="0"/>
                <w:color w:val="000000" w:themeColor="text1"/>
                <w:sz w:val="21"/>
                <w:szCs w:val="21"/>
                <w:highlight w:val="none"/>
              </w:rPr>
              <w:t>Mg</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5.72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49" w:name="_Toc1247"/>
            <w:r>
              <w:rPr>
                <w:rFonts w:hint="eastAsia"/>
                <w:b w:val="0"/>
                <w:bCs w:val="0"/>
                <w:color w:val="000000" w:themeColor="text1"/>
                <w:sz w:val="21"/>
                <w:szCs w:val="21"/>
                <w:vertAlign w:val="baseline"/>
                <w:lang w:val="en-US" w:eastAsia="zh-CN"/>
              </w:rPr>
              <w:t>/</w:t>
            </w:r>
            <w:bookmarkEnd w:id="34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0" w:name="_Toc15478"/>
            <w:r>
              <w:rPr>
                <w:rFonts w:hint="eastAsia"/>
                <w:b w:val="0"/>
                <w:bCs w:val="0"/>
                <w:color w:val="000000" w:themeColor="text1"/>
                <w:sz w:val="21"/>
                <w:szCs w:val="21"/>
                <w:vertAlign w:val="baseline"/>
                <w:lang w:val="en-US" w:eastAsia="zh-CN"/>
              </w:rPr>
              <w:t>/</w:t>
            </w:r>
            <w:bookmarkEnd w:id="35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1" w:name="_Toc23879"/>
            <w:r>
              <w:rPr>
                <w:rFonts w:hint="eastAsia"/>
                <w:b w:val="0"/>
                <w:bCs w:val="0"/>
                <w:color w:val="000000" w:themeColor="text1"/>
                <w:sz w:val="21"/>
                <w:szCs w:val="21"/>
                <w:vertAlign w:val="baseline"/>
                <w:lang w:val="en-US" w:eastAsia="zh-CN"/>
              </w:rPr>
              <w:t>/</w:t>
            </w:r>
            <w:bookmarkEnd w:id="3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砷</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2" w:name="_Toc15044"/>
            <w:r>
              <w:rPr>
                <w:rFonts w:hint="eastAsia"/>
                <w:b w:val="0"/>
                <w:bCs w:val="0"/>
                <w:color w:val="000000" w:themeColor="text1"/>
                <w:sz w:val="21"/>
                <w:szCs w:val="21"/>
                <w:vertAlign w:val="baseline"/>
                <w:lang w:val="en-US" w:eastAsia="zh-CN"/>
              </w:rPr>
              <w:t>0.01</w:t>
            </w:r>
            <w:bookmarkEnd w:id="35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3" w:name="_Toc24177"/>
            <w:r>
              <w:rPr>
                <w:rFonts w:hint="eastAsia"/>
                <w:b w:val="0"/>
                <w:bCs w:val="0"/>
                <w:color w:val="000000" w:themeColor="text1"/>
                <w:sz w:val="21"/>
                <w:szCs w:val="21"/>
                <w:vertAlign w:val="baseline"/>
                <w:lang w:val="en-US" w:eastAsia="zh-CN"/>
              </w:rPr>
              <w:t>0</w:t>
            </w:r>
            <w:bookmarkEnd w:id="353"/>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4" w:name="_Toc2858"/>
            <w:r>
              <w:rPr>
                <w:rFonts w:hint="eastAsia"/>
                <w:b w:val="0"/>
                <w:bCs w:val="0"/>
                <w:color w:val="000000" w:themeColor="text1"/>
                <w:sz w:val="21"/>
                <w:szCs w:val="21"/>
                <w:vertAlign w:val="baseline"/>
                <w:lang w:val="en-US" w:eastAsia="zh-CN"/>
              </w:rPr>
              <w:t>达标</w:t>
            </w:r>
            <w:bookmarkEnd w:id="35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汞</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5" w:name="_Toc6449"/>
            <w:r>
              <w:rPr>
                <w:rFonts w:hint="eastAsia"/>
                <w:b w:val="0"/>
                <w:bCs w:val="0"/>
                <w:color w:val="000000" w:themeColor="text1"/>
                <w:sz w:val="21"/>
                <w:szCs w:val="21"/>
                <w:vertAlign w:val="baseline"/>
                <w:lang w:val="en-US" w:eastAsia="zh-CN"/>
              </w:rPr>
              <w:t>0.001</w:t>
            </w:r>
            <w:bookmarkEnd w:id="35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6" w:name="_Toc24636"/>
            <w:r>
              <w:rPr>
                <w:rFonts w:hint="eastAsia"/>
                <w:b w:val="0"/>
                <w:bCs w:val="0"/>
                <w:color w:val="000000" w:themeColor="text1"/>
                <w:sz w:val="21"/>
                <w:szCs w:val="21"/>
                <w:vertAlign w:val="baseline"/>
                <w:lang w:val="en-US" w:eastAsia="zh-CN"/>
              </w:rPr>
              <w:t>0</w:t>
            </w:r>
            <w:bookmarkEnd w:id="35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7" w:name="_Toc28329"/>
            <w:r>
              <w:rPr>
                <w:rFonts w:hint="eastAsia"/>
                <w:b w:val="0"/>
                <w:bCs w:val="0"/>
                <w:color w:val="000000" w:themeColor="text1"/>
                <w:sz w:val="21"/>
                <w:szCs w:val="21"/>
                <w:vertAlign w:val="baseline"/>
                <w:lang w:val="en-US" w:eastAsia="zh-CN"/>
              </w:rPr>
              <w:t>达标</w:t>
            </w:r>
            <w:bookmarkEnd w:id="3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铅</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8" w:name="_Toc13289"/>
            <w:r>
              <w:rPr>
                <w:rFonts w:hint="eastAsia"/>
                <w:b w:val="0"/>
                <w:bCs w:val="0"/>
                <w:color w:val="000000" w:themeColor="text1"/>
                <w:sz w:val="21"/>
                <w:szCs w:val="21"/>
                <w:vertAlign w:val="baseline"/>
                <w:lang w:val="en-US" w:eastAsia="zh-CN"/>
              </w:rPr>
              <w:t>0.01</w:t>
            </w:r>
            <w:bookmarkEnd w:id="35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59" w:name="_Toc253"/>
            <w:r>
              <w:rPr>
                <w:rFonts w:hint="eastAsia"/>
                <w:b w:val="0"/>
                <w:bCs w:val="0"/>
                <w:color w:val="000000" w:themeColor="text1"/>
                <w:sz w:val="21"/>
                <w:szCs w:val="21"/>
                <w:vertAlign w:val="baseline"/>
                <w:lang w:val="en-US" w:eastAsia="zh-CN"/>
              </w:rPr>
              <w:t>0</w:t>
            </w:r>
            <w:bookmarkEnd w:id="35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0" w:name="_Toc14321"/>
            <w:r>
              <w:rPr>
                <w:rFonts w:hint="eastAsia"/>
                <w:b w:val="0"/>
                <w:bCs w:val="0"/>
                <w:color w:val="000000" w:themeColor="text1"/>
                <w:sz w:val="21"/>
                <w:szCs w:val="21"/>
                <w:vertAlign w:val="baseline"/>
                <w:lang w:val="en-US" w:eastAsia="zh-CN"/>
              </w:rPr>
              <w:t>达标</w:t>
            </w:r>
            <w:bookmarkEnd w:id="36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镉</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1" w:name="_Toc6774"/>
            <w:r>
              <w:rPr>
                <w:rFonts w:hint="eastAsia"/>
                <w:b w:val="0"/>
                <w:bCs w:val="0"/>
                <w:color w:val="000000" w:themeColor="text1"/>
                <w:sz w:val="21"/>
                <w:szCs w:val="21"/>
                <w:vertAlign w:val="baseline"/>
                <w:lang w:val="en-US" w:eastAsia="zh-CN"/>
              </w:rPr>
              <w:t>0.005</w:t>
            </w:r>
            <w:bookmarkEnd w:id="36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2" w:name="_Toc30453"/>
            <w:r>
              <w:rPr>
                <w:rFonts w:hint="eastAsia"/>
                <w:b w:val="0"/>
                <w:bCs w:val="0"/>
                <w:color w:val="000000" w:themeColor="text1"/>
                <w:sz w:val="21"/>
                <w:szCs w:val="21"/>
                <w:vertAlign w:val="baseline"/>
                <w:lang w:val="en-US" w:eastAsia="zh-CN"/>
              </w:rPr>
              <w:t>0</w:t>
            </w:r>
            <w:bookmarkEnd w:id="36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3" w:name="_Toc18113"/>
            <w:r>
              <w:rPr>
                <w:rFonts w:hint="eastAsia"/>
                <w:b w:val="0"/>
                <w:bCs w:val="0"/>
                <w:color w:val="000000" w:themeColor="text1"/>
                <w:sz w:val="21"/>
                <w:szCs w:val="21"/>
                <w:vertAlign w:val="baseline"/>
                <w:lang w:val="en-US" w:eastAsia="zh-CN"/>
              </w:rPr>
              <w:t>达标</w:t>
            </w:r>
            <w:bookmarkEnd w:id="3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铁</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4" w:name="_Toc4920"/>
            <w:r>
              <w:rPr>
                <w:rFonts w:hint="eastAsia"/>
                <w:b w:val="0"/>
                <w:bCs w:val="0"/>
                <w:color w:val="000000" w:themeColor="text1"/>
                <w:sz w:val="21"/>
                <w:szCs w:val="21"/>
                <w:vertAlign w:val="baseline"/>
                <w:lang w:val="en-US" w:eastAsia="zh-CN"/>
              </w:rPr>
              <w:t>0.3</w:t>
            </w:r>
            <w:bookmarkEnd w:id="36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5" w:name="_Toc30515"/>
            <w:r>
              <w:rPr>
                <w:rFonts w:hint="eastAsia"/>
                <w:b w:val="0"/>
                <w:bCs w:val="0"/>
                <w:color w:val="000000" w:themeColor="text1"/>
                <w:sz w:val="21"/>
                <w:szCs w:val="21"/>
                <w:vertAlign w:val="baseline"/>
                <w:lang w:val="en-US" w:eastAsia="zh-CN"/>
              </w:rPr>
              <w:t>0</w:t>
            </w:r>
            <w:bookmarkEnd w:id="365"/>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6" w:name="_Toc14414"/>
            <w:r>
              <w:rPr>
                <w:rFonts w:hint="eastAsia"/>
                <w:b w:val="0"/>
                <w:bCs w:val="0"/>
                <w:color w:val="000000" w:themeColor="text1"/>
                <w:sz w:val="21"/>
                <w:szCs w:val="21"/>
                <w:vertAlign w:val="baseline"/>
                <w:lang w:val="en-US" w:eastAsia="zh-CN"/>
              </w:rPr>
              <w:t>达标</w:t>
            </w:r>
            <w:bookmarkEnd w:id="36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7" w:name="_Toc4675"/>
            <w:r>
              <w:rPr>
                <w:rFonts w:hint="eastAsia"/>
                <w:b w:val="0"/>
                <w:bCs w:val="0"/>
                <w:color w:val="000000" w:themeColor="text1"/>
                <w:sz w:val="21"/>
                <w:szCs w:val="21"/>
                <w:vertAlign w:val="baseline"/>
                <w:lang w:val="en-US" w:eastAsia="zh-CN"/>
              </w:rPr>
              <w:t>0.10</w:t>
            </w:r>
            <w:bookmarkEnd w:id="36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8" w:name="_Toc16199"/>
            <w:r>
              <w:rPr>
                <w:rFonts w:hint="eastAsia"/>
                <w:b w:val="0"/>
                <w:bCs w:val="0"/>
                <w:color w:val="000000" w:themeColor="text1"/>
                <w:sz w:val="21"/>
                <w:szCs w:val="21"/>
                <w:vertAlign w:val="baseline"/>
                <w:lang w:val="en-US" w:eastAsia="zh-CN"/>
              </w:rPr>
              <w:t>0</w:t>
            </w:r>
            <w:bookmarkEnd w:id="368"/>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69" w:name="_Toc3975"/>
            <w:r>
              <w:rPr>
                <w:rFonts w:hint="eastAsia"/>
                <w:b w:val="0"/>
                <w:bCs w:val="0"/>
                <w:color w:val="000000" w:themeColor="text1"/>
                <w:sz w:val="21"/>
                <w:szCs w:val="21"/>
                <w:vertAlign w:val="baseline"/>
                <w:lang w:val="en-US" w:eastAsia="zh-CN"/>
              </w:rPr>
              <w:t>达标</w:t>
            </w:r>
            <w:bookmarkEnd w:id="3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1.25ND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0" w:name="_Toc16657"/>
            <w:r>
              <w:rPr>
                <w:rFonts w:hint="eastAsia"/>
                <w:b w:val="0"/>
                <w:bCs w:val="0"/>
                <w:color w:val="000000" w:themeColor="text1"/>
                <w:sz w:val="21"/>
                <w:szCs w:val="21"/>
                <w:vertAlign w:val="baseline"/>
                <w:lang w:val="en-US" w:eastAsia="zh-CN"/>
              </w:rPr>
              <w:t>/</w:t>
            </w:r>
            <w:bookmarkEnd w:id="37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1" w:name="_Toc3331"/>
            <w:r>
              <w:rPr>
                <w:rFonts w:hint="eastAsia"/>
                <w:b w:val="0"/>
                <w:bCs w:val="0"/>
                <w:color w:val="000000" w:themeColor="text1"/>
                <w:sz w:val="21"/>
                <w:szCs w:val="21"/>
                <w:vertAlign w:val="baseline"/>
                <w:lang w:val="en-US" w:eastAsia="zh-CN"/>
              </w:rPr>
              <w:t>/</w:t>
            </w:r>
            <w:bookmarkEnd w:id="37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2" w:name="_Toc28977"/>
            <w:r>
              <w:rPr>
                <w:rFonts w:hint="eastAsia"/>
                <w:b w:val="0"/>
                <w:bCs w:val="0"/>
                <w:color w:val="000000" w:themeColor="text1"/>
                <w:sz w:val="21"/>
                <w:szCs w:val="21"/>
                <w:vertAlign w:val="baseline"/>
                <w:lang w:val="en-US" w:eastAsia="zh-CN"/>
              </w:rPr>
              <w:t>/</w:t>
            </w:r>
            <w:bookmarkEnd w:id="3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重碳酸根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394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3" w:name="_Toc28554"/>
            <w:r>
              <w:rPr>
                <w:rFonts w:hint="eastAsia"/>
                <w:b w:val="0"/>
                <w:bCs w:val="0"/>
                <w:color w:val="000000" w:themeColor="text1"/>
                <w:sz w:val="21"/>
                <w:szCs w:val="21"/>
                <w:vertAlign w:val="baseline"/>
                <w:lang w:val="en-US" w:eastAsia="zh-CN"/>
              </w:rPr>
              <w:t>/</w:t>
            </w:r>
            <w:bookmarkEnd w:id="37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4" w:name="_Toc11011"/>
            <w:r>
              <w:rPr>
                <w:rFonts w:hint="eastAsia"/>
                <w:b w:val="0"/>
                <w:bCs w:val="0"/>
                <w:color w:val="000000" w:themeColor="text1"/>
                <w:sz w:val="21"/>
                <w:szCs w:val="21"/>
                <w:vertAlign w:val="baseline"/>
                <w:lang w:val="en-US" w:eastAsia="zh-CN"/>
              </w:rPr>
              <w:t>/</w:t>
            </w:r>
            <w:bookmarkEnd w:id="37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5" w:name="_Toc28539"/>
            <w:r>
              <w:rPr>
                <w:rFonts w:hint="eastAsia"/>
                <w:b w:val="0"/>
                <w:bCs w:val="0"/>
                <w:color w:val="000000" w:themeColor="text1"/>
                <w:sz w:val="21"/>
                <w:szCs w:val="21"/>
                <w:vertAlign w:val="baseline"/>
                <w:lang w:val="en-US" w:eastAsia="zh-CN"/>
              </w:rPr>
              <w:t>/</w:t>
            </w:r>
            <w:bookmarkEnd w:id="3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总硬度</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316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6" w:name="_Toc11800"/>
            <w:r>
              <w:rPr>
                <w:rFonts w:hint="eastAsia"/>
                <w:b w:val="0"/>
                <w:bCs w:val="0"/>
                <w:color w:val="000000" w:themeColor="text1"/>
                <w:sz w:val="21"/>
                <w:szCs w:val="21"/>
                <w:vertAlign w:val="baseline"/>
                <w:lang w:val="en-US" w:eastAsia="zh-CN"/>
              </w:rPr>
              <w:t>450</w:t>
            </w:r>
            <w:bookmarkEnd w:id="37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7" w:name="_Toc15401"/>
            <w:r>
              <w:rPr>
                <w:rFonts w:hint="eastAsia"/>
                <w:b w:val="0"/>
                <w:bCs w:val="0"/>
                <w:color w:val="000000" w:themeColor="text1"/>
                <w:sz w:val="21"/>
                <w:szCs w:val="21"/>
                <w:vertAlign w:val="baseline"/>
                <w:lang w:val="en-US" w:eastAsia="zh-CN"/>
              </w:rPr>
              <w:t>0.70</w:t>
            </w:r>
            <w:bookmarkEnd w:id="37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8" w:name="_Toc10862"/>
            <w:r>
              <w:rPr>
                <w:rFonts w:hint="eastAsia"/>
                <w:b w:val="0"/>
                <w:bCs w:val="0"/>
                <w:color w:val="000000" w:themeColor="text1"/>
                <w:sz w:val="21"/>
                <w:szCs w:val="21"/>
                <w:vertAlign w:val="baseline"/>
                <w:lang w:val="en-US" w:eastAsia="zh-CN"/>
              </w:rPr>
              <w:t>达标</w:t>
            </w:r>
            <w:bookmarkEnd w:id="37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氨氮</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79" w:name="_Toc29605"/>
            <w:r>
              <w:rPr>
                <w:rFonts w:hint="eastAsia"/>
                <w:b w:val="0"/>
                <w:bCs w:val="0"/>
                <w:color w:val="000000" w:themeColor="text1"/>
                <w:sz w:val="21"/>
                <w:szCs w:val="21"/>
                <w:vertAlign w:val="baseline"/>
                <w:lang w:val="en-US" w:eastAsia="zh-CN"/>
              </w:rPr>
              <w:t>0.50</w:t>
            </w:r>
            <w:bookmarkEnd w:id="37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0" w:name="_Toc925"/>
            <w:r>
              <w:rPr>
                <w:rFonts w:hint="eastAsia"/>
                <w:b w:val="0"/>
                <w:bCs w:val="0"/>
                <w:color w:val="000000" w:themeColor="text1"/>
                <w:sz w:val="21"/>
                <w:szCs w:val="21"/>
                <w:vertAlign w:val="baseline"/>
                <w:lang w:val="en-US" w:eastAsia="zh-CN"/>
              </w:rPr>
              <w:t>0</w:t>
            </w:r>
            <w:bookmarkEnd w:id="380"/>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1" w:name="_Toc22987"/>
            <w:r>
              <w:rPr>
                <w:rFonts w:hint="eastAsia"/>
                <w:b w:val="0"/>
                <w:bCs w:val="0"/>
                <w:color w:val="000000" w:themeColor="text1"/>
                <w:sz w:val="21"/>
                <w:szCs w:val="21"/>
                <w:vertAlign w:val="baseline"/>
                <w:lang w:val="en-US" w:eastAsia="zh-CN"/>
              </w:rPr>
              <w:t>达标</w:t>
            </w:r>
            <w:bookmarkEnd w:id="3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氰化物</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0.002ND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2" w:name="_Toc10796"/>
            <w:r>
              <w:rPr>
                <w:rFonts w:hint="eastAsia"/>
                <w:b w:val="0"/>
                <w:bCs w:val="0"/>
                <w:color w:val="000000" w:themeColor="text1"/>
                <w:sz w:val="21"/>
                <w:szCs w:val="21"/>
                <w:vertAlign w:val="baseline"/>
                <w:lang w:val="en-US" w:eastAsia="zh-CN"/>
              </w:rPr>
              <w:t>0.05</w:t>
            </w:r>
            <w:bookmarkEnd w:id="38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3" w:name="_Toc20670"/>
            <w:r>
              <w:rPr>
                <w:rFonts w:hint="eastAsia"/>
                <w:b w:val="0"/>
                <w:bCs w:val="0"/>
                <w:color w:val="000000" w:themeColor="text1"/>
                <w:sz w:val="21"/>
                <w:szCs w:val="21"/>
                <w:vertAlign w:val="baseline"/>
                <w:lang w:val="en-US" w:eastAsia="zh-CN"/>
              </w:rPr>
              <w:t>0</w:t>
            </w:r>
            <w:bookmarkEnd w:id="383"/>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4" w:name="_Toc9372"/>
            <w:r>
              <w:rPr>
                <w:rFonts w:hint="eastAsia"/>
                <w:b w:val="0"/>
                <w:bCs w:val="0"/>
                <w:color w:val="000000" w:themeColor="text1"/>
                <w:sz w:val="21"/>
                <w:szCs w:val="21"/>
                <w:vertAlign w:val="baseline"/>
                <w:lang w:val="en-US" w:eastAsia="zh-CN"/>
              </w:rPr>
              <w:t>达标</w:t>
            </w:r>
            <w:bookmarkEnd w:id="38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挥发酚</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5" w:name="_Toc26165"/>
            <w:r>
              <w:rPr>
                <w:rFonts w:hint="eastAsia"/>
                <w:b w:val="0"/>
                <w:bCs w:val="0"/>
                <w:color w:val="000000" w:themeColor="text1"/>
                <w:sz w:val="21"/>
                <w:szCs w:val="21"/>
                <w:vertAlign w:val="baseline"/>
                <w:lang w:val="en-US" w:eastAsia="zh-CN"/>
              </w:rPr>
              <w:t>0.002</w:t>
            </w:r>
            <w:bookmarkEnd w:id="38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6" w:name="_Toc28161"/>
            <w:r>
              <w:rPr>
                <w:rFonts w:hint="eastAsia"/>
                <w:b w:val="0"/>
                <w:bCs w:val="0"/>
                <w:color w:val="000000" w:themeColor="text1"/>
                <w:sz w:val="21"/>
                <w:szCs w:val="21"/>
                <w:vertAlign w:val="baseline"/>
                <w:lang w:val="en-US" w:eastAsia="zh-CN"/>
              </w:rPr>
              <w:t>0</w:t>
            </w:r>
            <w:bookmarkEnd w:id="38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7" w:name="_Toc9290"/>
            <w:r>
              <w:rPr>
                <w:rFonts w:hint="eastAsia"/>
                <w:b w:val="0"/>
                <w:bCs w:val="0"/>
                <w:color w:val="000000" w:themeColor="text1"/>
                <w:sz w:val="21"/>
                <w:szCs w:val="21"/>
                <w:vertAlign w:val="baseline"/>
                <w:lang w:val="en-US" w:eastAsia="zh-CN"/>
              </w:rPr>
              <w:t>达标</w:t>
            </w:r>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六价铬</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8" w:name="_Toc15895"/>
            <w:r>
              <w:rPr>
                <w:rFonts w:hint="eastAsia"/>
                <w:b w:val="0"/>
                <w:bCs w:val="0"/>
                <w:color w:val="000000" w:themeColor="text1"/>
                <w:sz w:val="21"/>
                <w:szCs w:val="21"/>
                <w:vertAlign w:val="baseline"/>
                <w:lang w:val="en-US" w:eastAsia="zh-CN"/>
              </w:rPr>
              <w:t>0.05</w:t>
            </w:r>
            <w:bookmarkEnd w:id="38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89" w:name="_Toc2474"/>
            <w:r>
              <w:rPr>
                <w:rFonts w:hint="eastAsia"/>
                <w:b w:val="0"/>
                <w:bCs w:val="0"/>
                <w:color w:val="000000" w:themeColor="text1"/>
                <w:sz w:val="21"/>
                <w:szCs w:val="21"/>
                <w:vertAlign w:val="baseline"/>
                <w:lang w:val="en-US" w:eastAsia="zh-CN"/>
              </w:rPr>
              <w:t>0</w:t>
            </w:r>
            <w:bookmarkEnd w:id="38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0" w:name="_Toc12078"/>
            <w:r>
              <w:rPr>
                <w:rFonts w:hint="eastAsia"/>
                <w:b w:val="0"/>
                <w:bCs w:val="0"/>
                <w:color w:val="000000" w:themeColor="text1"/>
                <w:sz w:val="21"/>
                <w:szCs w:val="21"/>
                <w:vertAlign w:val="baseline"/>
                <w:lang w:val="en-US" w:eastAsia="zh-CN"/>
              </w:rPr>
              <w:t>达标</w:t>
            </w:r>
            <w:bookmarkEnd w:id="39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亚硝酸盐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1" w:name="_Toc27736"/>
            <w:r>
              <w:rPr>
                <w:rFonts w:hint="eastAsia"/>
                <w:b w:val="0"/>
                <w:bCs w:val="0"/>
                <w:color w:val="000000" w:themeColor="text1"/>
                <w:sz w:val="21"/>
                <w:szCs w:val="21"/>
                <w:vertAlign w:val="baseline"/>
                <w:lang w:val="en-US" w:eastAsia="zh-CN"/>
              </w:rPr>
              <w:t>1.00</w:t>
            </w:r>
            <w:bookmarkEnd w:id="39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2" w:name="_Toc6255"/>
            <w:r>
              <w:rPr>
                <w:rFonts w:hint="eastAsia"/>
                <w:b w:val="0"/>
                <w:bCs w:val="0"/>
                <w:color w:val="000000" w:themeColor="text1"/>
                <w:sz w:val="21"/>
                <w:szCs w:val="21"/>
                <w:vertAlign w:val="baseline"/>
                <w:lang w:val="en-US" w:eastAsia="zh-CN"/>
              </w:rPr>
              <w:t>0</w:t>
            </w:r>
            <w:bookmarkEnd w:id="39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3" w:name="_Toc25431"/>
            <w:r>
              <w:rPr>
                <w:rFonts w:hint="eastAsia"/>
                <w:b w:val="0"/>
                <w:bCs w:val="0"/>
                <w:color w:val="000000" w:themeColor="text1"/>
                <w:sz w:val="21"/>
                <w:szCs w:val="21"/>
                <w:vertAlign w:val="baseline"/>
                <w:lang w:val="en-US" w:eastAsia="zh-CN"/>
              </w:rPr>
              <w:t>达标</w:t>
            </w:r>
            <w:bookmarkEnd w:id="3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溶解性总固体</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395</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4" w:name="_Toc26434"/>
            <w:r>
              <w:rPr>
                <w:rFonts w:hint="eastAsia"/>
                <w:b w:val="0"/>
                <w:bCs w:val="0"/>
                <w:color w:val="000000" w:themeColor="text1"/>
                <w:sz w:val="21"/>
                <w:szCs w:val="21"/>
                <w:vertAlign w:val="baseline"/>
                <w:lang w:val="en-US" w:eastAsia="zh-CN"/>
              </w:rPr>
              <w:t>1000</w:t>
            </w:r>
            <w:bookmarkEnd w:id="39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5" w:name="_Toc30471"/>
            <w:r>
              <w:rPr>
                <w:rFonts w:hint="eastAsia"/>
                <w:b w:val="0"/>
                <w:bCs w:val="0"/>
                <w:color w:val="000000" w:themeColor="text1"/>
                <w:sz w:val="21"/>
                <w:szCs w:val="21"/>
                <w:vertAlign w:val="baseline"/>
                <w:lang w:val="en-US" w:eastAsia="zh-CN"/>
              </w:rPr>
              <w:t>0.40</w:t>
            </w:r>
            <w:bookmarkEnd w:id="39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6" w:name="_Toc22746"/>
            <w:r>
              <w:rPr>
                <w:rFonts w:hint="eastAsia"/>
                <w:b w:val="0"/>
                <w:bCs w:val="0"/>
                <w:color w:val="000000" w:themeColor="text1"/>
                <w:sz w:val="21"/>
                <w:szCs w:val="21"/>
                <w:vertAlign w:val="baseline"/>
                <w:lang w:val="en-US" w:eastAsia="zh-CN"/>
              </w:rPr>
              <w:t>达标</w:t>
            </w:r>
            <w:bookmarkEnd w:id="39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氟</w:t>
            </w:r>
            <w:r>
              <w:rPr>
                <w:rFonts w:hint="default" w:ascii="Times New Roman" w:hAnsi="Times New Roman" w:cs="Times New Roman"/>
                <w:b w:val="0"/>
                <w:bCs w:val="0"/>
                <w:color w:val="000000" w:themeColor="text1"/>
                <w:sz w:val="21"/>
                <w:szCs w:val="21"/>
                <w:highlight w:val="none"/>
                <w:lang w:val="en-US" w:eastAsia="zh-CN"/>
              </w:rPr>
              <w:t>化物（F</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0.582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7" w:name="_Toc5359"/>
            <w:r>
              <w:rPr>
                <w:rFonts w:hint="eastAsia"/>
                <w:b w:val="0"/>
                <w:bCs w:val="0"/>
                <w:color w:val="000000" w:themeColor="text1"/>
                <w:sz w:val="21"/>
                <w:szCs w:val="21"/>
                <w:vertAlign w:val="baseline"/>
                <w:lang w:val="en-US" w:eastAsia="zh-CN"/>
              </w:rPr>
              <w:t>1.0</w:t>
            </w:r>
            <w:bookmarkEnd w:id="39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8" w:name="_Toc15668"/>
            <w:r>
              <w:rPr>
                <w:rFonts w:hint="eastAsia"/>
                <w:b w:val="0"/>
                <w:bCs w:val="0"/>
                <w:color w:val="000000" w:themeColor="text1"/>
                <w:sz w:val="21"/>
                <w:szCs w:val="21"/>
                <w:vertAlign w:val="baseline"/>
                <w:lang w:val="en-US" w:eastAsia="zh-CN"/>
              </w:rPr>
              <w:t>0.58</w:t>
            </w:r>
            <w:bookmarkEnd w:id="39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399" w:name="_Toc27465"/>
            <w:r>
              <w:rPr>
                <w:rFonts w:hint="eastAsia"/>
                <w:b w:val="0"/>
                <w:bCs w:val="0"/>
                <w:color w:val="000000" w:themeColor="text1"/>
                <w:sz w:val="21"/>
                <w:szCs w:val="21"/>
                <w:vertAlign w:val="baseline"/>
                <w:lang w:val="en-US" w:eastAsia="zh-CN"/>
              </w:rPr>
              <w:t>达标</w:t>
            </w:r>
            <w:bookmarkEnd w:id="39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highlight w:val="none"/>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8.51</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0" w:name="_Toc30481"/>
            <w:r>
              <w:rPr>
                <w:rFonts w:hint="eastAsia"/>
                <w:b w:val="0"/>
                <w:bCs w:val="0"/>
                <w:color w:val="000000" w:themeColor="text1"/>
                <w:sz w:val="21"/>
                <w:szCs w:val="21"/>
                <w:vertAlign w:val="baseline"/>
                <w:lang w:val="en-US" w:eastAsia="zh-CN"/>
              </w:rPr>
              <w:t>20.0</w:t>
            </w:r>
            <w:bookmarkEnd w:id="40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1" w:name="_Toc12691"/>
            <w:r>
              <w:rPr>
                <w:rFonts w:hint="eastAsia"/>
                <w:b w:val="0"/>
                <w:bCs w:val="0"/>
                <w:color w:val="000000" w:themeColor="text1"/>
                <w:sz w:val="21"/>
                <w:szCs w:val="21"/>
                <w:vertAlign w:val="baseline"/>
                <w:lang w:val="en-US" w:eastAsia="zh-CN"/>
              </w:rPr>
              <w:t>0.43</w:t>
            </w:r>
            <w:bookmarkEnd w:id="40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2" w:name="_Toc18607"/>
            <w:r>
              <w:rPr>
                <w:rFonts w:hint="eastAsia"/>
                <w:b w:val="0"/>
                <w:bCs w:val="0"/>
                <w:color w:val="000000" w:themeColor="text1"/>
                <w:sz w:val="21"/>
                <w:szCs w:val="21"/>
                <w:vertAlign w:val="baseline"/>
                <w:lang w:val="en-US" w:eastAsia="zh-CN"/>
              </w:rPr>
              <w:t>达标</w:t>
            </w:r>
            <w:bookmarkEnd w:id="40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硫酸盐（</w:t>
            </w:r>
            <w:r>
              <w:rPr>
                <w:rFonts w:hint="default" w:ascii="Times New Roman" w:hAnsi="Times New Roman" w:cs="Times New Roman"/>
                <w:b w:val="0"/>
                <w:bCs w:val="0"/>
                <w:color w:val="000000" w:themeColor="text1"/>
                <w:sz w:val="21"/>
                <w:szCs w:val="21"/>
                <w:highlight w:val="none"/>
                <w:lang w:val="en-US" w:eastAsia="zh-CN"/>
              </w:rPr>
              <w:t>SO</w:t>
            </w:r>
            <w:r>
              <w:rPr>
                <w:rFonts w:hint="default" w:ascii="Times New Roman" w:hAnsi="Times New Roman" w:cs="Times New Roman"/>
                <w:b w:val="0"/>
                <w:bCs w:val="0"/>
                <w:color w:val="000000" w:themeColor="text1"/>
                <w:sz w:val="21"/>
                <w:szCs w:val="21"/>
                <w:highlight w:val="none"/>
                <w:vertAlign w:val="subscript"/>
                <w:lang w:val="en-US" w:eastAsia="zh-CN"/>
              </w:rPr>
              <w:t>4</w:t>
            </w:r>
            <w:r>
              <w:rPr>
                <w:rFonts w:hint="default" w:ascii="Times New Roman" w:hAnsi="Times New Roman" w:cs="Times New Roman"/>
                <w:b w:val="0"/>
                <w:bCs w:val="0"/>
                <w:color w:val="000000" w:themeColor="text1"/>
                <w:sz w:val="21"/>
                <w:szCs w:val="21"/>
                <w:highlight w:val="none"/>
                <w:vertAlign w:val="superscript"/>
                <w:lang w:val="en-US" w:eastAsia="zh-CN"/>
              </w:rPr>
              <w:t>2-</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14.2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3" w:name="_Toc20199"/>
            <w:r>
              <w:rPr>
                <w:rFonts w:hint="eastAsia"/>
                <w:b w:val="0"/>
                <w:bCs w:val="0"/>
                <w:color w:val="000000" w:themeColor="text1"/>
                <w:sz w:val="21"/>
                <w:szCs w:val="21"/>
                <w:vertAlign w:val="baseline"/>
                <w:lang w:val="en-US" w:eastAsia="zh-CN"/>
              </w:rPr>
              <w:t>250</w:t>
            </w:r>
            <w:bookmarkEnd w:id="40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4" w:name="_Toc15177"/>
            <w:r>
              <w:rPr>
                <w:rFonts w:hint="eastAsia"/>
                <w:b w:val="0"/>
                <w:bCs w:val="0"/>
                <w:color w:val="000000" w:themeColor="text1"/>
                <w:sz w:val="21"/>
                <w:szCs w:val="21"/>
                <w:vertAlign w:val="baseline"/>
                <w:lang w:val="en-US" w:eastAsia="zh-CN"/>
              </w:rPr>
              <w:t>0.06</w:t>
            </w:r>
            <w:bookmarkEnd w:id="40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5" w:name="_Toc5108"/>
            <w:r>
              <w:rPr>
                <w:rFonts w:hint="eastAsia"/>
                <w:b w:val="0"/>
                <w:bCs w:val="0"/>
                <w:color w:val="000000" w:themeColor="text1"/>
                <w:sz w:val="21"/>
                <w:szCs w:val="21"/>
                <w:vertAlign w:val="baseline"/>
                <w:lang w:val="en-US" w:eastAsia="zh-CN"/>
              </w:rPr>
              <w:t>达标</w:t>
            </w:r>
            <w:bookmarkEnd w:id="40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氯化物（</w:t>
            </w:r>
            <w:r>
              <w:rPr>
                <w:rFonts w:hint="default" w:ascii="Times New Roman" w:hAnsi="Times New Roman" w:cs="Times New Roman"/>
                <w:b w:val="0"/>
                <w:bCs w:val="0"/>
                <w:color w:val="000000" w:themeColor="text1"/>
                <w:sz w:val="21"/>
                <w:szCs w:val="21"/>
                <w:highlight w:val="none"/>
                <w:lang w:val="en-US" w:eastAsia="zh-CN"/>
              </w:rPr>
              <w:t>Cl</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11.0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6" w:name="_Toc8109"/>
            <w:r>
              <w:rPr>
                <w:rFonts w:hint="eastAsia"/>
                <w:b w:val="0"/>
                <w:bCs w:val="0"/>
                <w:color w:val="000000" w:themeColor="text1"/>
                <w:sz w:val="21"/>
                <w:szCs w:val="21"/>
                <w:vertAlign w:val="baseline"/>
                <w:lang w:val="en-US" w:eastAsia="zh-CN"/>
              </w:rPr>
              <w:t>250</w:t>
            </w:r>
            <w:bookmarkEnd w:id="40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7" w:name="_Toc11717"/>
            <w:r>
              <w:rPr>
                <w:rFonts w:hint="eastAsia"/>
                <w:b w:val="0"/>
                <w:bCs w:val="0"/>
                <w:color w:val="000000" w:themeColor="text1"/>
                <w:sz w:val="21"/>
                <w:szCs w:val="21"/>
                <w:vertAlign w:val="baseline"/>
                <w:lang w:val="en-US" w:eastAsia="zh-CN"/>
              </w:rPr>
              <w:t>0.04</w:t>
            </w:r>
            <w:bookmarkEnd w:id="40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8" w:name="_Toc22629"/>
            <w:r>
              <w:rPr>
                <w:rFonts w:hint="eastAsia"/>
                <w:b w:val="0"/>
                <w:bCs w:val="0"/>
                <w:color w:val="000000" w:themeColor="text1"/>
                <w:sz w:val="21"/>
                <w:szCs w:val="21"/>
                <w:vertAlign w:val="baseline"/>
                <w:lang w:val="en-US" w:eastAsia="zh-CN"/>
              </w:rPr>
              <w:t>达标</w:t>
            </w:r>
            <w:bookmarkEnd w:id="4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w:t>
            </w:r>
            <w:r>
              <w:rPr>
                <w:rFonts w:hint="eastAsia" w:ascii="Times New Roman" w:hAnsi="Times New Roman" w:cs="Times New Roman"/>
                <w:b w:val="0"/>
                <w:bCs w:val="0"/>
                <w:color w:val="000000" w:themeColor="text1"/>
                <w:kern w:val="2"/>
                <w:sz w:val="21"/>
                <w:szCs w:val="21"/>
                <w:highlight w:val="none"/>
                <w:lang w:val="en-US" w:eastAsia="zh-CN" w:bidi="ar-SA"/>
              </w:rPr>
              <w:t>钡</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0.0840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09" w:name="_Toc24507"/>
            <w:r>
              <w:rPr>
                <w:rFonts w:hint="eastAsia"/>
                <w:b w:val="0"/>
                <w:bCs w:val="0"/>
                <w:color w:val="000000" w:themeColor="text1"/>
                <w:sz w:val="21"/>
                <w:szCs w:val="21"/>
                <w:vertAlign w:val="baseline"/>
                <w:lang w:val="en-US" w:eastAsia="zh-CN"/>
              </w:rPr>
              <w:t>0.70</w:t>
            </w:r>
            <w:bookmarkEnd w:id="40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0" w:name="_Toc25159"/>
            <w:r>
              <w:rPr>
                <w:rFonts w:hint="eastAsia"/>
                <w:b w:val="0"/>
                <w:bCs w:val="0"/>
                <w:color w:val="000000" w:themeColor="text1"/>
                <w:sz w:val="21"/>
                <w:szCs w:val="21"/>
                <w:vertAlign w:val="baseline"/>
                <w:lang w:val="en-US" w:eastAsia="zh-CN"/>
              </w:rPr>
              <w:t>0.12</w:t>
            </w:r>
            <w:bookmarkEnd w:id="41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1" w:name="_Toc18024"/>
            <w:r>
              <w:rPr>
                <w:rFonts w:hint="eastAsia"/>
                <w:b w:val="0"/>
                <w:bCs w:val="0"/>
                <w:color w:val="000000" w:themeColor="text1"/>
                <w:sz w:val="21"/>
                <w:szCs w:val="21"/>
                <w:vertAlign w:val="baseline"/>
                <w:lang w:val="en-US" w:eastAsia="zh-CN"/>
              </w:rPr>
              <w:t>达标</w:t>
            </w:r>
            <w:bookmarkEnd w:id="41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lang w:val="en-US" w:eastAsia="zh-CN"/>
              </w:rPr>
              <w:t>菌落</w:t>
            </w:r>
            <w:r>
              <w:rPr>
                <w:rFonts w:hint="default" w:ascii="Times New Roman" w:hAnsi="Times New Roman" w:cs="Times New Roman"/>
                <w:b w:val="0"/>
                <w:bCs w:val="0"/>
                <w:color w:val="000000" w:themeColor="text1"/>
                <w:sz w:val="21"/>
                <w:szCs w:val="21"/>
              </w:rPr>
              <w:t>总数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vertAlign w:val="baseline"/>
                <w:lang w:val="en-US" w:eastAsia="zh-CN" w:bidi="ar-SA"/>
              </w:rPr>
              <w:t>CFU/m</w:t>
            </w:r>
            <w:r>
              <w:rPr>
                <w:rFonts w:hint="default" w:ascii="Times New Roman" w:hAnsi="Times New Roman" w:cs="Times New Roman"/>
                <w:b w:val="0"/>
                <w:bCs w:val="0"/>
                <w:color w:val="000000" w:themeColor="text1"/>
                <w:sz w:val="21"/>
                <w:szCs w:val="21"/>
                <w:vertAlign w:val="baseline"/>
                <w:lang w:val="en-US" w:eastAsia="zh-CN"/>
              </w:rPr>
              <w:t>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24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2" w:name="_Toc30314"/>
            <w:r>
              <w:rPr>
                <w:rFonts w:hint="eastAsia"/>
                <w:b w:val="0"/>
                <w:bCs w:val="0"/>
                <w:color w:val="000000" w:themeColor="text1"/>
                <w:sz w:val="21"/>
                <w:szCs w:val="21"/>
                <w:vertAlign w:val="baseline"/>
                <w:lang w:val="en-US" w:eastAsia="zh-CN"/>
              </w:rPr>
              <w:t>100</w:t>
            </w:r>
            <w:bookmarkEnd w:id="41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3" w:name="_Toc12841"/>
            <w:r>
              <w:rPr>
                <w:rFonts w:hint="eastAsia"/>
                <w:b w:val="0"/>
                <w:bCs w:val="0"/>
                <w:color w:val="000000" w:themeColor="text1"/>
                <w:sz w:val="21"/>
                <w:szCs w:val="21"/>
                <w:vertAlign w:val="baseline"/>
                <w:lang w:val="en-US" w:eastAsia="zh-CN"/>
              </w:rPr>
              <w:t>0.24</w:t>
            </w:r>
            <w:bookmarkEnd w:id="41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4" w:name="_Toc14539"/>
            <w:r>
              <w:rPr>
                <w:rFonts w:hint="eastAsia"/>
                <w:b w:val="0"/>
                <w:bCs w:val="0"/>
                <w:color w:val="000000" w:themeColor="text1"/>
                <w:sz w:val="21"/>
                <w:szCs w:val="21"/>
                <w:vertAlign w:val="baseline"/>
                <w:lang w:val="en-US" w:eastAsia="zh-CN"/>
              </w:rPr>
              <w:t>达标</w:t>
            </w:r>
            <w:bookmarkEnd w:id="4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总大肠菌群</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vertAlign w:val="baseline"/>
                <w:lang w:val="en-US" w:eastAsia="zh-CN" w:bidi="ar-SA"/>
              </w:rPr>
              <w:t>MPN/100mL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5" w:name="_Toc24501"/>
            <w:r>
              <w:rPr>
                <w:rFonts w:hint="eastAsia"/>
                <w:b w:val="0"/>
                <w:bCs w:val="0"/>
                <w:color w:val="000000" w:themeColor="text1"/>
                <w:sz w:val="21"/>
                <w:szCs w:val="21"/>
                <w:vertAlign w:val="baseline"/>
                <w:lang w:val="en-US" w:eastAsia="zh-CN"/>
              </w:rPr>
              <w:t>3.0</w:t>
            </w:r>
            <w:bookmarkEnd w:id="41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6" w:name="_Toc16691"/>
            <w:r>
              <w:rPr>
                <w:rFonts w:hint="eastAsia"/>
                <w:b w:val="0"/>
                <w:bCs w:val="0"/>
                <w:color w:val="000000" w:themeColor="text1"/>
                <w:sz w:val="21"/>
                <w:szCs w:val="21"/>
                <w:vertAlign w:val="baseline"/>
                <w:lang w:val="en-US" w:eastAsia="zh-CN"/>
              </w:rPr>
              <w:t>0.67</w:t>
            </w:r>
            <w:bookmarkEnd w:id="416"/>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7" w:name="_Toc17914"/>
            <w:r>
              <w:rPr>
                <w:rFonts w:hint="eastAsia"/>
                <w:b w:val="0"/>
                <w:bCs w:val="0"/>
                <w:color w:val="000000" w:themeColor="text1"/>
                <w:sz w:val="21"/>
                <w:szCs w:val="21"/>
                <w:vertAlign w:val="baseline"/>
                <w:lang w:val="en-US" w:eastAsia="zh-CN"/>
              </w:rPr>
              <w:t>达标</w:t>
            </w:r>
            <w:bookmarkEnd w:id="41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restart"/>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18" w:name="_Toc30736"/>
            <w:r>
              <w:rPr>
                <w:rFonts w:hint="eastAsia"/>
                <w:b w:val="0"/>
                <w:bCs w:val="0"/>
                <w:color w:val="000000" w:themeColor="text1"/>
                <w:sz w:val="21"/>
                <w:szCs w:val="21"/>
                <w:vertAlign w:val="baseline"/>
                <w:lang w:val="en-US" w:eastAsia="zh-CN"/>
              </w:rPr>
              <w:t>W2：</w:t>
            </w:r>
            <w:r>
              <w:rPr>
                <w:rFonts w:hint="eastAsia" w:ascii="Times New Roman" w:hAnsi="Times New Roman" w:cs="Times New Roman"/>
                <w:b w:val="0"/>
                <w:bCs w:val="0"/>
                <w:color w:val="000000" w:themeColor="text1"/>
                <w:kern w:val="2"/>
                <w:sz w:val="21"/>
                <w:szCs w:val="21"/>
                <w:highlight w:val="none"/>
                <w:lang w:val="en-US" w:eastAsia="zh-CN" w:bidi="ar-SA"/>
              </w:rPr>
              <w:t>羊须沟2号泉眼</w:t>
            </w:r>
            <w:bookmarkEnd w:id="418"/>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pH值</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val="en-US" w:eastAsia="zh-CN"/>
              </w:rPr>
              <w:t>无量纲</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7.5</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19" w:name="_Toc11259"/>
            <w:r>
              <w:rPr>
                <w:rFonts w:hint="eastAsia" w:ascii="Times New Roman" w:hAnsi="Times New Roman" w:cs="Times New Roman" w:eastAsiaTheme="minorEastAsia"/>
                <w:b w:val="0"/>
                <w:bCs w:val="0"/>
                <w:color w:val="000000" w:themeColor="text1"/>
                <w:kern w:val="2"/>
                <w:sz w:val="21"/>
                <w:szCs w:val="21"/>
                <w:highlight w:val="none"/>
                <w:lang w:val="en-US" w:eastAsia="zh-CN" w:bidi="ar-SA"/>
              </w:rPr>
              <w:t>6.5~8.5</w:t>
            </w:r>
            <w:bookmarkEnd w:id="41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20" w:name="_Toc20326"/>
            <w:r>
              <w:rPr>
                <w:rFonts w:hint="eastAsia"/>
                <w:b w:val="0"/>
                <w:bCs w:val="0"/>
                <w:color w:val="000000" w:themeColor="text1"/>
                <w:sz w:val="21"/>
                <w:szCs w:val="21"/>
                <w:vertAlign w:val="baseline"/>
                <w:lang w:val="en-US" w:eastAsia="zh-CN"/>
              </w:rPr>
              <w:t>0.33</w:t>
            </w:r>
            <w:bookmarkEnd w:id="42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21" w:name="_Toc3728"/>
            <w:r>
              <w:rPr>
                <w:rFonts w:hint="eastAsia"/>
                <w:b w:val="0"/>
                <w:bCs w:val="0"/>
                <w:color w:val="000000" w:themeColor="text1"/>
                <w:sz w:val="21"/>
                <w:szCs w:val="21"/>
                <w:vertAlign w:val="baseline"/>
                <w:lang w:val="en-US" w:eastAsia="zh-CN"/>
              </w:rPr>
              <w:t>达标</w:t>
            </w:r>
            <w:bookmarkEnd w:id="42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vertAlign w:val="baseline"/>
                <w:lang w:val="en-US" w:eastAsia="zh-CN"/>
              </w:rPr>
              <w:t>钾（K</w:t>
            </w:r>
            <w:r>
              <w:rPr>
                <w:rFonts w:hint="eastAsia" w:ascii="Times New Roman" w:hAnsi="Times New Roman" w:cs="Times New Roman"/>
                <w:b w:val="0"/>
                <w:bCs w:val="0"/>
                <w:color w:val="000000" w:themeColor="text1"/>
                <w:sz w:val="21"/>
                <w:szCs w:val="21"/>
                <w:highlight w:val="none"/>
                <w:vertAlign w:val="superscript"/>
                <w:lang w:val="en-US" w:eastAsia="zh-CN"/>
              </w:rPr>
              <w:t>+</w:t>
            </w:r>
            <w:r>
              <w:rPr>
                <w:rFonts w:hint="eastAsia" w:ascii="Times New Roman" w:hAnsi="Times New Roman" w:cs="Times New Roman"/>
                <w:b w:val="0"/>
                <w:bCs w:val="0"/>
                <w:color w:val="000000" w:themeColor="text1"/>
                <w:sz w:val="21"/>
                <w:szCs w:val="21"/>
                <w:highlight w:val="none"/>
                <w:vertAlign w:val="baseli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1.34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22" w:name="_Toc24582"/>
            <w:r>
              <w:rPr>
                <w:rFonts w:hint="eastAsia"/>
                <w:b w:val="0"/>
                <w:bCs w:val="0"/>
                <w:color w:val="000000" w:themeColor="text1"/>
                <w:sz w:val="21"/>
                <w:szCs w:val="21"/>
                <w:vertAlign w:val="baseline"/>
                <w:lang w:val="en-US" w:eastAsia="zh-CN"/>
              </w:rPr>
              <w:t>/</w:t>
            </w:r>
            <w:bookmarkEnd w:id="42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23" w:name="_Toc23860"/>
            <w:r>
              <w:rPr>
                <w:rFonts w:hint="eastAsia"/>
                <w:b w:val="0"/>
                <w:bCs w:val="0"/>
                <w:color w:val="000000" w:themeColor="text1"/>
                <w:sz w:val="21"/>
                <w:szCs w:val="21"/>
                <w:vertAlign w:val="baseline"/>
                <w:lang w:val="en-US" w:eastAsia="zh-CN"/>
              </w:rPr>
              <w:t>/</w:t>
            </w:r>
            <w:bookmarkEnd w:id="42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24" w:name="_Toc30118"/>
            <w:r>
              <w:rPr>
                <w:rFonts w:hint="eastAsia"/>
                <w:b w:val="0"/>
                <w:bCs w:val="0"/>
                <w:color w:val="000000" w:themeColor="text1"/>
                <w:sz w:val="21"/>
                <w:szCs w:val="21"/>
                <w:vertAlign w:val="baseline"/>
                <w:lang w:val="en-US" w:eastAsia="zh-CN"/>
              </w:rPr>
              <w:t>/</w:t>
            </w:r>
            <w:bookmarkEnd w:id="42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钠（</w:t>
            </w:r>
            <w:r>
              <w:rPr>
                <w:rFonts w:hint="default" w:ascii="Times New Roman" w:hAnsi="Times New Roman" w:cs="Times New Roman"/>
                <w:b w:val="0"/>
                <w:bCs w:val="0"/>
                <w:color w:val="000000" w:themeColor="text1"/>
                <w:sz w:val="21"/>
                <w:szCs w:val="21"/>
                <w:highlight w:val="none"/>
              </w:rPr>
              <w:t>Na</w:t>
            </w:r>
            <w:r>
              <w:rPr>
                <w:rFonts w:hint="default" w:ascii="Times New Roman" w:hAnsi="Times New Roman" w:cs="Times New Roman"/>
                <w:b w:val="0"/>
                <w:bCs w:val="0"/>
                <w:color w:val="000000" w:themeColor="text1"/>
                <w:sz w:val="21"/>
                <w:szCs w:val="21"/>
                <w:highlight w:val="none"/>
                <w:vertAlign w:val="superscript"/>
              </w:rPr>
              <w:t>+</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6.09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25" w:name="_Toc3661"/>
            <w:r>
              <w:rPr>
                <w:rFonts w:hint="eastAsia"/>
                <w:b w:val="0"/>
                <w:bCs w:val="0"/>
                <w:color w:val="000000" w:themeColor="text1"/>
                <w:sz w:val="21"/>
                <w:szCs w:val="21"/>
                <w:vertAlign w:val="baseline"/>
                <w:lang w:val="en-US" w:eastAsia="zh-CN"/>
              </w:rPr>
              <w:t>200</w:t>
            </w:r>
            <w:bookmarkEnd w:id="42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26" w:name="_Toc10385"/>
            <w:r>
              <w:rPr>
                <w:rFonts w:hint="eastAsia"/>
                <w:b w:val="0"/>
                <w:bCs w:val="0"/>
                <w:color w:val="000000" w:themeColor="text1"/>
                <w:sz w:val="21"/>
                <w:szCs w:val="21"/>
                <w:vertAlign w:val="baseline"/>
                <w:lang w:val="en-US" w:eastAsia="zh-CN"/>
              </w:rPr>
              <w:t>0.30</w:t>
            </w:r>
            <w:bookmarkEnd w:id="426"/>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27" w:name="_Toc20104"/>
            <w:r>
              <w:rPr>
                <w:rFonts w:hint="eastAsia"/>
                <w:b w:val="0"/>
                <w:bCs w:val="0"/>
                <w:color w:val="000000" w:themeColor="text1"/>
                <w:sz w:val="21"/>
                <w:szCs w:val="21"/>
                <w:vertAlign w:val="baseline"/>
                <w:lang w:val="en-US" w:eastAsia="zh-CN"/>
              </w:rPr>
              <w:t>达标</w:t>
            </w:r>
            <w:bookmarkEnd w:id="42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钙（</w:t>
            </w:r>
            <w:r>
              <w:rPr>
                <w:rFonts w:hint="default" w:ascii="Times New Roman" w:hAnsi="Times New Roman" w:cs="Times New Roman"/>
                <w:b w:val="0"/>
                <w:bCs w:val="0"/>
                <w:color w:val="000000" w:themeColor="text1"/>
                <w:sz w:val="21"/>
                <w:szCs w:val="21"/>
                <w:highlight w:val="none"/>
              </w:rPr>
              <w:t>Ca</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113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28" w:name="_Toc23050"/>
            <w:r>
              <w:rPr>
                <w:rFonts w:hint="eastAsia"/>
                <w:b w:val="0"/>
                <w:bCs w:val="0"/>
                <w:color w:val="000000" w:themeColor="text1"/>
                <w:sz w:val="21"/>
                <w:szCs w:val="21"/>
                <w:vertAlign w:val="baseline"/>
                <w:lang w:val="en-US" w:eastAsia="zh-CN"/>
              </w:rPr>
              <w:t>/</w:t>
            </w:r>
            <w:bookmarkEnd w:id="42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29" w:name="_Toc27713"/>
            <w:r>
              <w:rPr>
                <w:rFonts w:hint="eastAsia"/>
                <w:b w:val="0"/>
                <w:bCs w:val="0"/>
                <w:color w:val="000000" w:themeColor="text1"/>
                <w:sz w:val="21"/>
                <w:szCs w:val="21"/>
                <w:vertAlign w:val="baseline"/>
                <w:lang w:val="en-US" w:eastAsia="zh-CN"/>
              </w:rPr>
              <w:t>/</w:t>
            </w:r>
            <w:bookmarkEnd w:id="429"/>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0" w:name="_Toc20632"/>
            <w:r>
              <w:rPr>
                <w:rFonts w:hint="eastAsia"/>
                <w:b w:val="0"/>
                <w:bCs w:val="0"/>
                <w:color w:val="000000" w:themeColor="text1"/>
                <w:sz w:val="21"/>
                <w:szCs w:val="21"/>
                <w:vertAlign w:val="baseline"/>
                <w:lang w:val="en-US" w:eastAsia="zh-CN"/>
              </w:rPr>
              <w:t>/</w:t>
            </w:r>
            <w:bookmarkEnd w:id="43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镁（</w:t>
            </w:r>
            <w:r>
              <w:rPr>
                <w:rFonts w:hint="default" w:ascii="Times New Roman" w:hAnsi="Times New Roman" w:cs="Times New Roman"/>
                <w:b w:val="0"/>
                <w:bCs w:val="0"/>
                <w:color w:val="000000" w:themeColor="text1"/>
                <w:sz w:val="21"/>
                <w:szCs w:val="21"/>
                <w:highlight w:val="none"/>
              </w:rPr>
              <w:t>Mg</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5.69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1" w:name="_Toc26387"/>
            <w:r>
              <w:rPr>
                <w:rFonts w:hint="eastAsia"/>
                <w:b w:val="0"/>
                <w:bCs w:val="0"/>
                <w:color w:val="000000" w:themeColor="text1"/>
                <w:sz w:val="21"/>
                <w:szCs w:val="21"/>
                <w:vertAlign w:val="baseline"/>
                <w:lang w:val="en-US" w:eastAsia="zh-CN"/>
              </w:rPr>
              <w:t>/</w:t>
            </w:r>
            <w:bookmarkEnd w:id="43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32" w:name="_Toc23502"/>
            <w:r>
              <w:rPr>
                <w:rFonts w:hint="eastAsia"/>
                <w:b w:val="0"/>
                <w:bCs w:val="0"/>
                <w:color w:val="000000" w:themeColor="text1"/>
                <w:sz w:val="21"/>
                <w:szCs w:val="21"/>
                <w:vertAlign w:val="baseline"/>
                <w:lang w:val="en-US" w:eastAsia="zh-CN"/>
              </w:rPr>
              <w:t>/</w:t>
            </w:r>
            <w:bookmarkEnd w:id="432"/>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3" w:name="_Toc3333"/>
            <w:r>
              <w:rPr>
                <w:rFonts w:hint="eastAsia"/>
                <w:b w:val="0"/>
                <w:bCs w:val="0"/>
                <w:color w:val="000000" w:themeColor="text1"/>
                <w:sz w:val="21"/>
                <w:szCs w:val="21"/>
                <w:vertAlign w:val="baseline"/>
                <w:lang w:val="en-US" w:eastAsia="zh-CN"/>
              </w:rPr>
              <w:t>/</w:t>
            </w:r>
            <w:bookmarkEnd w:id="43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砷</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4" w:name="_Toc25433"/>
            <w:r>
              <w:rPr>
                <w:rFonts w:hint="eastAsia"/>
                <w:b w:val="0"/>
                <w:bCs w:val="0"/>
                <w:color w:val="000000" w:themeColor="text1"/>
                <w:sz w:val="21"/>
                <w:szCs w:val="21"/>
                <w:vertAlign w:val="baseline"/>
                <w:lang w:val="en-US" w:eastAsia="zh-CN"/>
              </w:rPr>
              <w:t>0.01</w:t>
            </w:r>
            <w:bookmarkEnd w:id="43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35" w:name="_Toc6632"/>
            <w:r>
              <w:rPr>
                <w:rFonts w:hint="eastAsia"/>
                <w:b w:val="0"/>
                <w:bCs w:val="0"/>
                <w:color w:val="000000" w:themeColor="text1"/>
                <w:sz w:val="21"/>
                <w:szCs w:val="21"/>
                <w:vertAlign w:val="baseline"/>
                <w:lang w:val="en-US" w:eastAsia="zh-CN"/>
              </w:rPr>
              <w:t>0</w:t>
            </w:r>
            <w:bookmarkEnd w:id="435"/>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6" w:name="_Toc9033"/>
            <w:r>
              <w:rPr>
                <w:rFonts w:hint="eastAsia"/>
                <w:b w:val="0"/>
                <w:bCs w:val="0"/>
                <w:color w:val="000000" w:themeColor="text1"/>
                <w:sz w:val="21"/>
                <w:szCs w:val="21"/>
                <w:vertAlign w:val="baseline"/>
                <w:lang w:val="en-US" w:eastAsia="zh-CN"/>
              </w:rPr>
              <w:t>达标</w:t>
            </w:r>
            <w:bookmarkEnd w:id="43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汞</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7" w:name="_Toc13030"/>
            <w:r>
              <w:rPr>
                <w:rFonts w:hint="eastAsia"/>
                <w:b w:val="0"/>
                <w:bCs w:val="0"/>
                <w:color w:val="000000" w:themeColor="text1"/>
                <w:sz w:val="21"/>
                <w:szCs w:val="21"/>
                <w:vertAlign w:val="baseline"/>
                <w:lang w:val="en-US" w:eastAsia="zh-CN"/>
              </w:rPr>
              <w:t>0.001</w:t>
            </w:r>
            <w:bookmarkEnd w:id="43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38" w:name="_Toc10239"/>
            <w:r>
              <w:rPr>
                <w:rFonts w:hint="eastAsia"/>
                <w:b w:val="0"/>
                <w:bCs w:val="0"/>
                <w:color w:val="000000" w:themeColor="text1"/>
                <w:sz w:val="21"/>
                <w:szCs w:val="21"/>
                <w:vertAlign w:val="baseline"/>
                <w:lang w:val="en-US" w:eastAsia="zh-CN"/>
              </w:rPr>
              <w:t>0</w:t>
            </w:r>
            <w:bookmarkEnd w:id="438"/>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39" w:name="_Toc10070"/>
            <w:r>
              <w:rPr>
                <w:rFonts w:hint="eastAsia"/>
                <w:b w:val="0"/>
                <w:bCs w:val="0"/>
                <w:color w:val="000000" w:themeColor="text1"/>
                <w:sz w:val="21"/>
                <w:szCs w:val="21"/>
                <w:vertAlign w:val="baseline"/>
                <w:lang w:val="en-US" w:eastAsia="zh-CN"/>
              </w:rPr>
              <w:t>达标</w:t>
            </w:r>
            <w:bookmarkEnd w:id="4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铅</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0" w:name="_Toc28191"/>
            <w:r>
              <w:rPr>
                <w:rFonts w:hint="eastAsia"/>
                <w:b w:val="0"/>
                <w:bCs w:val="0"/>
                <w:color w:val="000000" w:themeColor="text1"/>
                <w:sz w:val="21"/>
                <w:szCs w:val="21"/>
                <w:vertAlign w:val="baseline"/>
                <w:lang w:val="en-US" w:eastAsia="zh-CN"/>
              </w:rPr>
              <w:t>0.01</w:t>
            </w:r>
            <w:bookmarkEnd w:id="44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41" w:name="_Toc26950"/>
            <w:r>
              <w:rPr>
                <w:rFonts w:hint="eastAsia"/>
                <w:b w:val="0"/>
                <w:bCs w:val="0"/>
                <w:color w:val="000000" w:themeColor="text1"/>
                <w:sz w:val="21"/>
                <w:szCs w:val="21"/>
                <w:vertAlign w:val="baseline"/>
                <w:lang w:val="en-US" w:eastAsia="zh-CN"/>
              </w:rPr>
              <w:t>0</w:t>
            </w:r>
            <w:bookmarkEnd w:id="441"/>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2" w:name="_Toc28534"/>
            <w:r>
              <w:rPr>
                <w:rFonts w:hint="eastAsia"/>
                <w:b w:val="0"/>
                <w:bCs w:val="0"/>
                <w:color w:val="000000" w:themeColor="text1"/>
                <w:sz w:val="21"/>
                <w:szCs w:val="21"/>
                <w:vertAlign w:val="baseline"/>
                <w:lang w:val="en-US" w:eastAsia="zh-CN"/>
              </w:rPr>
              <w:t>达标</w:t>
            </w:r>
            <w:bookmarkEnd w:id="44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镉</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3" w:name="_Toc874"/>
            <w:r>
              <w:rPr>
                <w:rFonts w:hint="eastAsia"/>
                <w:b w:val="0"/>
                <w:bCs w:val="0"/>
                <w:color w:val="000000" w:themeColor="text1"/>
                <w:sz w:val="21"/>
                <w:szCs w:val="21"/>
                <w:vertAlign w:val="baseline"/>
                <w:lang w:val="en-US" w:eastAsia="zh-CN"/>
              </w:rPr>
              <w:t>0.005</w:t>
            </w:r>
            <w:bookmarkEnd w:id="44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44" w:name="_Toc27576"/>
            <w:r>
              <w:rPr>
                <w:rFonts w:hint="eastAsia"/>
                <w:b w:val="0"/>
                <w:bCs w:val="0"/>
                <w:color w:val="000000" w:themeColor="text1"/>
                <w:sz w:val="21"/>
                <w:szCs w:val="21"/>
                <w:vertAlign w:val="baseline"/>
                <w:lang w:val="en-US" w:eastAsia="zh-CN"/>
              </w:rPr>
              <w:t>0</w:t>
            </w:r>
            <w:bookmarkEnd w:id="444"/>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5" w:name="_Toc16192"/>
            <w:r>
              <w:rPr>
                <w:rFonts w:hint="eastAsia"/>
                <w:b w:val="0"/>
                <w:bCs w:val="0"/>
                <w:color w:val="000000" w:themeColor="text1"/>
                <w:sz w:val="21"/>
                <w:szCs w:val="21"/>
                <w:vertAlign w:val="baseline"/>
                <w:lang w:val="en-US" w:eastAsia="zh-CN"/>
              </w:rPr>
              <w:t>达标</w:t>
            </w:r>
            <w:bookmarkEnd w:id="44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铁</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6" w:name="_Toc29822"/>
            <w:r>
              <w:rPr>
                <w:rFonts w:hint="eastAsia"/>
                <w:b w:val="0"/>
                <w:bCs w:val="0"/>
                <w:color w:val="000000" w:themeColor="text1"/>
                <w:sz w:val="21"/>
                <w:szCs w:val="21"/>
                <w:vertAlign w:val="baseline"/>
                <w:lang w:val="en-US" w:eastAsia="zh-CN"/>
              </w:rPr>
              <w:t>0.3</w:t>
            </w:r>
            <w:bookmarkEnd w:id="44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47" w:name="_Toc1460"/>
            <w:r>
              <w:rPr>
                <w:rFonts w:hint="eastAsia"/>
                <w:b w:val="0"/>
                <w:bCs w:val="0"/>
                <w:color w:val="000000" w:themeColor="text1"/>
                <w:sz w:val="21"/>
                <w:szCs w:val="21"/>
                <w:vertAlign w:val="baseline"/>
                <w:lang w:val="en-US" w:eastAsia="zh-CN"/>
              </w:rPr>
              <w:t>0</w:t>
            </w:r>
            <w:bookmarkEnd w:id="447"/>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8" w:name="_Toc15857"/>
            <w:r>
              <w:rPr>
                <w:rFonts w:hint="eastAsia"/>
                <w:b w:val="0"/>
                <w:bCs w:val="0"/>
                <w:color w:val="000000" w:themeColor="text1"/>
                <w:sz w:val="21"/>
                <w:szCs w:val="21"/>
                <w:vertAlign w:val="baseline"/>
                <w:lang w:val="en-US" w:eastAsia="zh-CN"/>
              </w:rPr>
              <w:t>达标</w:t>
            </w:r>
            <w:bookmarkEnd w:id="44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49" w:name="_Toc5515"/>
            <w:r>
              <w:rPr>
                <w:rFonts w:hint="eastAsia"/>
                <w:b w:val="0"/>
                <w:bCs w:val="0"/>
                <w:color w:val="000000" w:themeColor="text1"/>
                <w:sz w:val="21"/>
                <w:szCs w:val="21"/>
                <w:vertAlign w:val="baseline"/>
                <w:lang w:val="en-US" w:eastAsia="zh-CN"/>
              </w:rPr>
              <w:t>0.10</w:t>
            </w:r>
            <w:bookmarkEnd w:id="44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50" w:name="_Toc510"/>
            <w:r>
              <w:rPr>
                <w:rFonts w:hint="eastAsia"/>
                <w:b w:val="0"/>
                <w:bCs w:val="0"/>
                <w:color w:val="000000" w:themeColor="text1"/>
                <w:sz w:val="21"/>
                <w:szCs w:val="21"/>
                <w:vertAlign w:val="baseline"/>
                <w:lang w:val="en-US" w:eastAsia="zh-CN"/>
              </w:rPr>
              <w:t>0</w:t>
            </w:r>
            <w:bookmarkEnd w:id="450"/>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51" w:name="_Toc17998"/>
            <w:r>
              <w:rPr>
                <w:rFonts w:hint="eastAsia"/>
                <w:b w:val="0"/>
                <w:bCs w:val="0"/>
                <w:color w:val="000000" w:themeColor="text1"/>
                <w:sz w:val="21"/>
                <w:szCs w:val="21"/>
                <w:vertAlign w:val="baseline"/>
                <w:lang w:val="en-US" w:eastAsia="zh-CN"/>
              </w:rPr>
              <w:t>达标</w:t>
            </w:r>
            <w:bookmarkEnd w:id="4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1.25ND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52" w:name="_Toc29201"/>
            <w:r>
              <w:rPr>
                <w:rFonts w:hint="eastAsia"/>
                <w:b w:val="0"/>
                <w:bCs w:val="0"/>
                <w:color w:val="000000" w:themeColor="text1"/>
                <w:sz w:val="21"/>
                <w:szCs w:val="21"/>
                <w:vertAlign w:val="baseline"/>
                <w:lang w:val="en-US" w:eastAsia="zh-CN"/>
              </w:rPr>
              <w:t>/</w:t>
            </w:r>
            <w:bookmarkEnd w:id="45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53" w:name="_Toc929"/>
            <w:r>
              <w:rPr>
                <w:rFonts w:hint="eastAsia"/>
                <w:b w:val="0"/>
                <w:bCs w:val="0"/>
                <w:color w:val="000000" w:themeColor="text1"/>
                <w:sz w:val="21"/>
                <w:szCs w:val="21"/>
                <w:vertAlign w:val="baseline"/>
                <w:lang w:val="en-US" w:eastAsia="zh-CN"/>
              </w:rPr>
              <w:t>0</w:t>
            </w:r>
            <w:bookmarkEnd w:id="45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54" w:name="_Toc21403"/>
            <w:r>
              <w:rPr>
                <w:rFonts w:hint="eastAsia"/>
                <w:b w:val="0"/>
                <w:bCs w:val="0"/>
                <w:color w:val="000000" w:themeColor="text1"/>
                <w:sz w:val="21"/>
                <w:szCs w:val="21"/>
                <w:vertAlign w:val="baseline"/>
                <w:lang w:val="en-US" w:eastAsia="zh-CN"/>
              </w:rPr>
              <w:t>/</w:t>
            </w:r>
            <w:bookmarkEnd w:id="45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重碳酸根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379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55" w:name="_Toc19483"/>
            <w:r>
              <w:rPr>
                <w:rFonts w:hint="eastAsia"/>
                <w:b w:val="0"/>
                <w:bCs w:val="0"/>
                <w:color w:val="000000" w:themeColor="text1"/>
                <w:sz w:val="21"/>
                <w:szCs w:val="21"/>
                <w:vertAlign w:val="baseline"/>
                <w:lang w:val="en-US" w:eastAsia="zh-CN"/>
              </w:rPr>
              <w:t>/</w:t>
            </w:r>
            <w:bookmarkEnd w:id="45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56" w:name="_Toc1534"/>
            <w:r>
              <w:rPr>
                <w:rFonts w:hint="eastAsia"/>
                <w:b w:val="0"/>
                <w:bCs w:val="0"/>
                <w:color w:val="000000" w:themeColor="text1"/>
                <w:sz w:val="21"/>
                <w:szCs w:val="21"/>
                <w:vertAlign w:val="baseline"/>
                <w:lang w:val="en-US" w:eastAsia="zh-CN"/>
              </w:rPr>
              <w:t>/</w:t>
            </w:r>
            <w:bookmarkEnd w:id="456"/>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57" w:name="_Toc6176"/>
            <w:r>
              <w:rPr>
                <w:rFonts w:hint="eastAsia"/>
                <w:b w:val="0"/>
                <w:bCs w:val="0"/>
                <w:color w:val="000000" w:themeColor="text1"/>
                <w:sz w:val="21"/>
                <w:szCs w:val="21"/>
                <w:vertAlign w:val="baseline"/>
                <w:lang w:val="en-US" w:eastAsia="zh-CN"/>
              </w:rPr>
              <w:t>/</w:t>
            </w:r>
            <w:bookmarkEnd w:id="4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总硬度</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309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58" w:name="_Toc25738"/>
            <w:r>
              <w:rPr>
                <w:rFonts w:hint="eastAsia"/>
                <w:b w:val="0"/>
                <w:bCs w:val="0"/>
                <w:color w:val="000000" w:themeColor="text1"/>
                <w:sz w:val="21"/>
                <w:szCs w:val="21"/>
                <w:vertAlign w:val="baseline"/>
                <w:lang w:val="en-US" w:eastAsia="zh-CN"/>
              </w:rPr>
              <w:t>450</w:t>
            </w:r>
            <w:bookmarkEnd w:id="45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59" w:name="_Toc28749"/>
            <w:r>
              <w:rPr>
                <w:rFonts w:hint="eastAsia"/>
                <w:b w:val="0"/>
                <w:bCs w:val="0"/>
                <w:color w:val="000000" w:themeColor="text1"/>
                <w:sz w:val="21"/>
                <w:szCs w:val="21"/>
                <w:vertAlign w:val="baseline"/>
                <w:lang w:val="en-US" w:eastAsia="zh-CN"/>
              </w:rPr>
              <w:t>0.69</w:t>
            </w:r>
            <w:bookmarkEnd w:id="459"/>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0" w:name="_Toc19889"/>
            <w:r>
              <w:rPr>
                <w:rFonts w:hint="eastAsia"/>
                <w:b w:val="0"/>
                <w:bCs w:val="0"/>
                <w:color w:val="000000" w:themeColor="text1"/>
                <w:sz w:val="21"/>
                <w:szCs w:val="21"/>
                <w:vertAlign w:val="baseline"/>
                <w:lang w:val="en-US" w:eastAsia="zh-CN"/>
              </w:rPr>
              <w:t>达标</w:t>
            </w:r>
            <w:bookmarkEnd w:id="46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氨氮</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1" w:name="_Toc30832"/>
            <w:r>
              <w:rPr>
                <w:rFonts w:hint="eastAsia"/>
                <w:b w:val="0"/>
                <w:bCs w:val="0"/>
                <w:color w:val="000000" w:themeColor="text1"/>
                <w:sz w:val="21"/>
                <w:szCs w:val="21"/>
                <w:vertAlign w:val="baseline"/>
                <w:lang w:val="en-US" w:eastAsia="zh-CN"/>
              </w:rPr>
              <w:t>0.50</w:t>
            </w:r>
            <w:bookmarkEnd w:id="46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62" w:name="_Toc8354"/>
            <w:r>
              <w:rPr>
                <w:rFonts w:hint="eastAsia"/>
                <w:b w:val="0"/>
                <w:bCs w:val="0"/>
                <w:color w:val="000000" w:themeColor="text1"/>
                <w:sz w:val="21"/>
                <w:szCs w:val="21"/>
                <w:vertAlign w:val="baseline"/>
                <w:lang w:val="en-US" w:eastAsia="zh-CN"/>
              </w:rPr>
              <w:t>0</w:t>
            </w:r>
            <w:bookmarkEnd w:id="46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3" w:name="_Toc6954"/>
            <w:r>
              <w:rPr>
                <w:rFonts w:hint="eastAsia"/>
                <w:b w:val="0"/>
                <w:bCs w:val="0"/>
                <w:color w:val="000000" w:themeColor="text1"/>
                <w:sz w:val="21"/>
                <w:szCs w:val="21"/>
                <w:vertAlign w:val="baseline"/>
                <w:lang w:val="en-US" w:eastAsia="zh-CN"/>
              </w:rPr>
              <w:t>达标</w:t>
            </w:r>
            <w:bookmarkEnd w:id="4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氰化物</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0.002ND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4" w:name="_Toc19687"/>
            <w:r>
              <w:rPr>
                <w:rFonts w:hint="eastAsia"/>
                <w:b w:val="0"/>
                <w:bCs w:val="0"/>
                <w:color w:val="000000" w:themeColor="text1"/>
                <w:sz w:val="21"/>
                <w:szCs w:val="21"/>
                <w:vertAlign w:val="baseline"/>
                <w:lang w:val="en-US" w:eastAsia="zh-CN"/>
              </w:rPr>
              <w:t>0.05</w:t>
            </w:r>
            <w:bookmarkEnd w:id="46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65" w:name="_Toc9126"/>
            <w:r>
              <w:rPr>
                <w:rFonts w:hint="eastAsia"/>
                <w:b w:val="0"/>
                <w:bCs w:val="0"/>
                <w:color w:val="000000" w:themeColor="text1"/>
                <w:sz w:val="21"/>
                <w:szCs w:val="21"/>
                <w:vertAlign w:val="baseline"/>
                <w:lang w:val="en-US" w:eastAsia="zh-CN"/>
              </w:rPr>
              <w:t>0</w:t>
            </w:r>
            <w:bookmarkEnd w:id="465"/>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6" w:name="_Toc11190"/>
            <w:r>
              <w:rPr>
                <w:rFonts w:hint="eastAsia"/>
                <w:b w:val="0"/>
                <w:bCs w:val="0"/>
                <w:color w:val="000000" w:themeColor="text1"/>
                <w:sz w:val="21"/>
                <w:szCs w:val="21"/>
                <w:vertAlign w:val="baseline"/>
                <w:lang w:val="en-US" w:eastAsia="zh-CN"/>
              </w:rPr>
              <w:t>达标</w:t>
            </w:r>
            <w:bookmarkEnd w:id="46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挥发酚</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7" w:name="_Toc15887"/>
            <w:r>
              <w:rPr>
                <w:rFonts w:hint="eastAsia"/>
                <w:b w:val="0"/>
                <w:bCs w:val="0"/>
                <w:color w:val="000000" w:themeColor="text1"/>
                <w:sz w:val="21"/>
                <w:szCs w:val="21"/>
                <w:vertAlign w:val="baseline"/>
                <w:lang w:val="en-US" w:eastAsia="zh-CN"/>
              </w:rPr>
              <w:t>0.002</w:t>
            </w:r>
            <w:bookmarkEnd w:id="46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68" w:name="_Toc22809"/>
            <w:r>
              <w:rPr>
                <w:rFonts w:hint="eastAsia"/>
                <w:b w:val="0"/>
                <w:bCs w:val="0"/>
                <w:color w:val="000000" w:themeColor="text1"/>
                <w:sz w:val="21"/>
                <w:szCs w:val="21"/>
                <w:vertAlign w:val="baseline"/>
                <w:lang w:val="en-US" w:eastAsia="zh-CN"/>
              </w:rPr>
              <w:t>0</w:t>
            </w:r>
            <w:bookmarkEnd w:id="468"/>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69" w:name="_Toc23720"/>
            <w:r>
              <w:rPr>
                <w:rFonts w:hint="eastAsia"/>
                <w:b w:val="0"/>
                <w:bCs w:val="0"/>
                <w:color w:val="000000" w:themeColor="text1"/>
                <w:sz w:val="21"/>
                <w:szCs w:val="21"/>
                <w:vertAlign w:val="baseline"/>
                <w:lang w:val="en-US" w:eastAsia="zh-CN"/>
              </w:rPr>
              <w:t>达标</w:t>
            </w:r>
            <w:bookmarkEnd w:id="4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六价铬</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0" w:name="_Toc13089"/>
            <w:r>
              <w:rPr>
                <w:rFonts w:hint="eastAsia"/>
                <w:b w:val="0"/>
                <w:bCs w:val="0"/>
                <w:color w:val="000000" w:themeColor="text1"/>
                <w:sz w:val="21"/>
                <w:szCs w:val="21"/>
                <w:vertAlign w:val="baseline"/>
                <w:lang w:val="en-US" w:eastAsia="zh-CN"/>
              </w:rPr>
              <w:t>0.05</w:t>
            </w:r>
            <w:bookmarkEnd w:id="47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71" w:name="_Toc11957"/>
            <w:r>
              <w:rPr>
                <w:rFonts w:hint="eastAsia"/>
                <w:b w:val="0"/>
                <w:bCs w:val="0"/>
                <w:color w:val="000000" w:themeColor="text1"/>
                <w:sz w:val="21"/>
                <w:szCs w:val="21"/>
                <w:vertAlign w:val="baseline"/>
                <w:lang w:val="en-US" w:eastAsia="zh-CN"/>
              </w:rPr>
              <w:t>0</w:t>
            </w:r>
            <w:bookmarkEnd w:id="471"/>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2" w:name="_Toc6063"/>
            <w:r>
              <w:rPr>
                <w:rFonts w:hint="eastAsia"/>
                <w:b w:val="0"/>
                <w:bCs w:val="0"/>
                <w:color w:val="000000" w:themeColor="text1"/>
                <w:sz w:val="21"/>
                <w:szCs w:val="21"/>
                <w:vertAlign w:val="baseline"/>
                <w:lang w:val="en-US" w:eastAsia="zh-CN"/>
              </w:rPr>
              <w:t>达标</w:t>
            </w:r>
            <w:bookmarkEnd w:id="4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亚硝酸盐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3" w:name="_Toc32658"/>
            <w:r>
              <w:rPr>
                <w:rFonts w:hint="eastAsia"/>
                <w:b w:val="0"/>
                <w:bCs w:val="0"/>
                <w:color w:val="000000" w:themeColor="text1"/>
                <w:sz w:val="21"/>
                <w:szCs w:val="21"/>
                <w:vertAlign w:val="baseline"/>
                <w:lang w:val="en-US" w:eastAsia="zh-CN"/>
              </w:rPr>
              <w:t>1.00</w:t>
            </w:r>
            <w:bookmarkEnd w:id="47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74" w:name="_Toc32162"/>
            <w:r>
              <w:rPr>
                <w:rFonts w:hint="eastAsia"/>
                <w:b w:val="0"/>
                <w:bCs w:val="0"/>
                <w:color w:val="000000" w:themeColor="text1"/>
                <w:sz w:val="21"/>
                <w:szCs w:val="21"/>
                <w:vertAlign w:val="baseline"/>
                <w:lang w:val="en-US" w:eastAsia="zh-CN"/>
              </w:rPr>
              <w:t>0</w:t>
            </w:r>
            <w:bookmarkEnd w:id="474"/>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5" w:name="_Toc18355"/>
            <w:r>
              <w:rPr>
                <w:rFonts w:hint="eastAsia"/>
                <w:b w:val="0"/>
                <w:bCs w:val="0"/>
                <w:color w:val="000000" w:themeColor="text1"/>
                <w:sz w:val="21"/>
                <w:szCs w:val="21"/>
                <w:vertAlign w:val="baseline"/>
                <w:lang w:val="en-US" w:eastAsia="zh-CN"/>
              </w:rPr>
              <w:t>达标</w:t>
            </w:r>
            <w:bookmarkEnd w:id="4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溶解性总固体</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382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6" w:name="_Toc11377"/>
            <w:r>
              <w:rPr>
                <w:rFonts w:hint="eastAsia"/>
                <w:b w:val="0"/>
                <w:bCs w:val="0"/>
                <w:color w:val="000000" w:themeColor="text1"/>
                <w:sz w:val="21"/>
                <w:szCs w:val="21"/>
                <w:vertAlign w:val="baseline"/>
                <w:lang w:val="en-US" w:eastAsia="zh-CN"/>
              </w:rPr>
              <w:t>1000</w:t>
            </w:r>
            <w:bookmarkEnd w:id="47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77" w:name="_Toc18009"/>
            <w:r>
              <w:rPr>
                <w:rFonts w:hint="eastAsia"/>
                <w:b w:val="0"/>
                <w:bCs w:val="0"/>
                <w:color w:val="000000" w:themeColor="text1"/>
                <w:sz w:val="21"/>
                <w:szCs w:val="21"/>
                <w:vertAlign w:val="baseline"/>
                <w:lang w:val="en-US" w:eastAsia="zh-CN"/>
              </w:rPr>
              <w:t>0.38</w:t>
            </w:r>
            <w:bookmarkEnd w:id="47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8" w:name="_Toc11627"/>
            <w:r>
              <w:rPr>
                <w:rFonts w:hint="eastAsia"/>
                <w:b w:val="0"/>
                <w:bCs w:val="0"/>
                <w:color w:val="000000" w:themeColor="text1"/>
                <w:sz w:val="21"/>
                <w:szCs w:val="21"/>
                <w:vertAlign w:val="baseline"/>
                <w:lang w:val="en-US" w:eastAsia="zh-CN"/>
              </w:rPr>
              <w:t>达标</w:t>
            </w:r>
            <w:bookmarkEnd w:id="47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氟</w:t>
            </w:r>
            <w:r>
              <w:rPr>
                <w:rFonts w:hint="default" w:ascii="Times New Roman" w:hAnsi="Times New Roman" w:cs="Times New Roman"/>
                <w:b w:val="0"/>
                <w:bCs w:val="0"/>
                <w:color w:val="000000" w:themeColor="text1"/>
                <w:sz w:val="21"/>
                <w:szCs w:val="21"/>
                <w:highlight w:val="none"/>
                <w:lang w:val="en-US" w:eastAsia="zh-CN"/>
              </w:rPr>
              <w:t>化物（F</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0.644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79" w:name="_Toc29252"/>
            <w:r>
              <w:rPr>
                <w:rFonts w:hint="eastAsia"/>
                <w:b w:val="0"/>
                <w:bCs w:val="0"/>
                <w:color w:val="000000" w:themeColor="text1"/>
                <w:sz w:val="21"/>
                <w:szCs w:val="21"/>
                <w:vertAlign w:val="baseline"/>
                <w:lang w:val="en-US" w:eastAsia="zh-CN"/>
              </w:rPr>
              <w:t>1.0</w:t>
            </w:r>
            <w:bookmarkEnd w:id="47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80" w:name="_Toc11326"/>
            <w:r>
              <w:rPr>
                <w:rFonts w:hint="eastAsia"/>
                <w:b w:val="0"/>
                <w:bCs w:val="0"/>
                <w:color w:val="000000" w:themeColor="text1"/>
                <w:sz w:val="21"/>
                <w:szCs w:val="21"/>
                <w:vertAlign w:val="baseline"/>
                <w:lang w:val="en-US" w:eastAsia="zh-CN"/>
              </w:rPr>
              <w:t>0.64</w:t>
            </w:r>
            <w:bookmarkEnd w:id="48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81" w:name="_Toc16559"/>
            <w:r>
              <w:rPr>
                <w:rFonts w:hint="eastAsia"/>
                <w:b w:val="0"/>
                <w:bCs w:val="0"/>
                <w:color w:val="000000" w:themeColor="text1"/>
                <w:sz w:val="21"/>
                <w:szCs w:val="21"/>
                <w:vertAlign w:val="baseline"/>
                <w:lang w:val="en-US" w:eastAsia="zh-CN"/>
              </w:rPr>
              <w:t>达标</w:t>
            </w:r>
            <w:bookmarkEnd w:id="4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8.59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82" w:name="_Toc26740"/>
            <w:r>
              <w:rPr>
                <w:rFonts w:hint="eastAsia"/>
                <w:b w:val="0"/>
                <w:bCs w:val="0"/>
                <w:color w:val="000000" w:themeColor="text1"/>
                <w:sz w:val="21"/>
                <w:szCs w:val="21"/>
                <w:vertAlign w:val="baseline"/>
                <w:lang w:val="en-US" w:eastAsia="zh-CN"/>
              </w:rPr>
              <w:t>20.0</w:t>
            </w:r>
            <w:bookmarkEnd w:id="48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83" w:name="_Toc32075"/>
            <w:r>
              <w:rPr>
                <w:rFonts w:hint="eastAsia"/>
                <w:b w:val="0"/>
                <w:bCs w:val="0"/>
                <w:color w:val="000000" w:themeColor="text1"/>
                <w:sz w:val="21"/>
                <w:szCs w:val="21"/>
                <w:vertAlign w:val="baseline"/>
                <w:lang w:val="en-US" w:eastAsia="zh-CN"/>
              </w:rPr>
              <w:t>0.43</w:t>
            </w:r>
            <w:bookmarkEnd w:id="48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84" w:name="_Toc10240"/>
            <w:r>
              <w:rPr>
                <w:rFonts w:hint="eastAsia"/>
                <w:b w:val="0"/>
                <w:bCs w:val="0"/>
                <w:color w:val="000000" w:themeColor="text1"/>
                <w:sz w:val="21"/>
                <w:szCs w:val="21"/>
                <w:vertAlign w:val="baseline"/>
                <w:lang w:val="en-US" w:eastAsia="zh-CN"/>
              </w:rPr>
              <w:t>达标</w:t>
            </w:r>
            <w:bookmarkEnd w:id="48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硫酸盐（</w:t>
            </w:r>
            <w:r>
              <w:rPr>
                <w:rFonts w:hint="default" w:ascii="Times New Roman" w:hAnsi="Times New Roman" w:cs="Times New Roman"/>
                <w:b w:val="0"/>
                <w:bCs w:val="0"/>
                <w:color w:val="000000" w:themeColor="text1"/>
                <w:sz w:val="21"/>
                <w:szCs w:val="21"/>
                <w:highlight w:val="none"/>
                <w:lang w:val="en-US" w:eastAsia="zh-CN"/>
              </w:rPr>
              <w:t>SO</w:t>
            </w:r>
            <w:r>
              <w:rPr>
                <w:rFonts w:hint="default" w:ascii="Times New Roman" w:hAnsi="Times New Roman" w:cs="Times New Roman"/>
                <w:b w:val="0"/>
                <w:bCs w:val="0"/>
                <w:color w:val="000000" w:themeColor="text1"/>
                <w:sz w:val="21"/>
                <w:szCs w:val="21"/>
                <w:highlight w:val="none"/>
                <w:vertAlign w:val="subscript"/>
                <w:lang w:val="en-US" w:eastAsia="zh-CN"/>
              </w:rPr>
              <w:t>4</w:t>
            </w:r>
            <w:r>
              <w:rPr>
                <w:rFonts w:hint="default" w:ascii="Times New Roman" w:hAnsi="Times New Roman" w:cs="Times New Roman"/>
                <w:b w:val="0"/>
                <w:bCs w:val="0"/>
                <w:color w:val="000000" w:themeColor="text1"/>
                <w:sz w:val="21"/>
                <w:szCs w:val="21"/>
                <w:highlight w:val="none"/>
                <w:vertAlign w:val="superscript"/>
                <w:lang w:val="en-US" w:eastAsia="zh-CN"/>
              </w:rPr>
              <w:t>2-</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14.8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85" w:name="_Toc806"/>
            <w:r>
              <w:rPr>
                <w:rFonts w:hint="eastAsia"/>
                <w:b w:val="0"/>
                <w:bCs w:val="0"/>
                <w:color w:val="000000" w:themeColor="text1"/>
                <w:sz w:val="21"/>
                <w:szCs w:val="21"/>
                <w:vertAlign w:val="baseline"/>
                <w:lang w:val="en-US" w:eastAsia="zh-CN"/>
              </w:rPr>
              <w:t>250</w:t>
            </w:r>
            <w:bookmarkEnd w:id="48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86" w:name="_Toc23317"/>
            <w:r>
              <w:rPr>
                <w:rFonts w:hint="eastAsia"/>
                <w:b w:val="0"/>
                <w:bCs w:val="0"/>
                <w:color w:val="000000" w:themeColor="text1"/>
                <w:sz w:val="21"/>
                <w:szCs w:val="21"/>
                <w:vertAlign w:val="baseline"/>
                <w:lang w:val="en-US" w:eastAsia="zh-CN"/>
              </w:rPr>
              <w:t>0.06</w:t>
            </w:r>
            <w:bookmarkEnd w:id="486"/>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87" w:name="_Toc26004"/>
            <w:r>
              <w:rPr>
                <w:rFonts w:hint="eastAsia"/>
                <w:b w:val="0"/>
                <w:bCs w:val="0"/>
                <w:color w:val="000000" w:themeColor="text1"/>
                <w:sz w:val="21"/>
                <w:szCs w:val="21"/>
                <w:vertAlign w:val="baseline"/>
                <w:lang w:val="en-US" w:eastAsia="zh-CN"/>
              </w:rPr>
              <w:t>达标</w:t>
            </w:r>
            <w:bookmarkEnd w:id="4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氯化物（</w:t>
            </w:r>
            <w:r>
              <w:rPr>
                <w:rFonts w:hint="default" w:ascii="Times New Roman" w:hAnsi="Times New Roman" w:cs="Times New Roman"/>
                <w:b w:val="0"/>
                <w:bCs w:val="0"/>
                <w:color w:val="000000" w:themeColor="text1"/>
                <w:sz w:val="21"/>
                <w:szCs w:val="21"/>
                <w:highlight w:val="none"/>
                <w:lang w:val="en-US" w:eastAsia="zh-CN"/>
              </w:rPr>
              <w:t>Cl</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11.1</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88" w:name="_Toc25567"/>
            <w:r>
              <w:rPr>
                <w:rFonts w:hint="eastAsia"/>
                <w:b w:val="0"/>
                <w:bCs w:val="0"/>
                <w:color w:val="000000" w:themeColor="text1"/>
                <w:sz w:val="21"/>
                <w:szCs w:val="21"/>
                <w:vertAlign w:val="baseline"/>
                <w:lang w:val="en-US" w:eastAsia="zh-CN"/>
              </w:rPr>
              <w:t>250</w:t>
            </w:r>
            <w:bookmarkEnd w:id="48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89" w:name="_Toc20887"/>
            <w:r>
              <w:rPr>
                <w:rFonts w:hint="eastAsia"/>
                <w:b w:val="0"/>
                <w:bCs w:val="0"/>
                <w:color w:val="000000" w:themeColor="text1"/>
                <w:sz w:val="21"/>
                <w:szCs w:val="21"/>
                <w:vertAlign w:val="baseline"/>
                <w:lang w:val="en-US" w:eastAsia="zh-CN"/>
              </w:rPr>
              <w:t>0.04</w:t>
            </w:r>
            <w:bookmarkEnd w:id="489"/>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0" w:name="_Toc18644"/>
            <w:r>
              <w:rPr>
                <w:rFonts w:hint="eastAsia"/>
                <w:b w:val="0"/>
                <w:bCs w:val="0"/>
                <w:color w:val="000000" w:themeColor="text1"/>
                <w:sz w:val="21"/>
                <w:szCs w:val="21"/>
                <w:vertAlign w:val="baseline"/>
                <w:lang w:val="en-US" w:eastAsia="zh-CN"/>
              </w:rPr>
              <w:t>达标</w:t>
            </w:r>
            <w:bookmarkEnd w:id="49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rPr>
              <w:t>*</w:t>
            </w:r>
            <w:r>
              <w:rPr>
                <w:rFonts w:hint="eastAsia" w:ascii="Times New Roman" w:hAnsi="Times New Roman" w:cs="Times New Roman"/>
                <w:b w:val="0"/>
                <w:bCs w:val="0"/>
                <w:color w:val="000000" w:themeColor="text1"/>
                <w:kern w:val="2"/>
                <w:sz w:val="21"/>
                <w:szCs w:val="21"/>
                <w:highlight w:val="none"/>
                <w:lang w:val="en-US" w:eastAsia="zh-CN" w:bidi="ar-SA"/>
              </w:rPr>
              <w:t>钡</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0.0823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1" w:name="_Toc29533"/>
            <w:r>
              <w:rPr>
                <w:rFonts w:hint="eastAsia"/>
                <w:b w:val="0"/>
                <w:bCs w:val="0"/>
                <w:color w:val="000000" w:themeColor="text1"/>
                <w:sz w:val="21"/>
                <w:szCs w:val="21"/>
                <w:vertAlign w:val="baseline"/>
                <w:lang w:val="en-US" w:eastAsia="zh-CN"/>
              </w:rPr>
              <w:t>0.70</w:t>
            </w:r>
            <w:bookmarkEnd w:id="49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92" w:name="_Toc3765"/>
            <w:r>
              <w:rPr>
                <w:rFonts w:hint="eastAsia"/>
                <w:b w:val="0"/>
                <w:bCs w:val="0"/>
                <w:color w:val="000000" w:themeColor="text1"/>
                <w:sz w:val="21"/>
                <w:szCs w:val="21"/>
                <w:vertAlign w:val="baseline"/>
                <w:lang w:val="en-US" w:eastAsia="zh-CN"/>
              </w:rPr>
              <w:t>0.12</w:t>
            </w:r>
            <w:bookmarkEnd w:id="492"/>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3" w:name="_Toc18629"/>
            <w:r>
              <w:rPr>
                <w:rFonts w:hint="eastAsia"/>
                <w:b w:val="0"/>
                <w:bCs w:val="0"/>
                <w:color w:val="000000" w:themeColor="text1"/>
                <w:sz w:val="21"/>
                <w:szCs w:val="21"/>
                <w:vertAlign w:val="baseline"/>
                <w:lang w:val="en-US" w:eastAsia="zh-CN"/>
              </w:rPr>
              <w:t>达标</w:t>
            </w:r>
            <w:bookmarkEnd w:id="4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lang w:val="en-US" w:eastAsia="zh-CN"/>
              </w:rPr>
              <w:t>菌落</w:t>
            </w:r>
            <w:r>
              <w:rPr>
                <w:rFonts w:hint="default" w:ascii="Times New Roman" w:hAnsi="Times New Roman" w:cs="Times New Roman"/>
                <w:b w:val="0"/>
                <w:bCs w:val="0"/>
                <w:color w:val="000000" w:themeColor="text1"/>
                <w:sz w:val="21"/>
                <w:szCs w:val="21"/>
              </w:rPr>
              <w:t>总数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vertAlign w:val="baseline"/>
                <w:lang w:val="en-US" w:eastAsia="zh-CN" w:bidi="ar-SA"/>
              </w:rPr>
              <w:t>CFU/m</w:t>
            </w:r>
            <w:r>
              <w:rPr>
                <w:rFonts w:hint="default" w:ascii="Times New Roman" w:hAnsi="Times New Roman" w:cs="Times New Roman"/>
                <w:b w:val="0"/>
                <w:bCs w:val="0"/>
                <w:color w:val="000000" w:themeColor="text1"/>
                <w:sz w:val="21"/>
                <w:szCs w:val="21"/>
                <w:vertAlign w:val="baseline"/>
                <w:lang w:val="en-US" w:eastAsia="zh-CN"/>
              </w:rPr>
              <w:t>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28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4" w:name="_Toc8060"/>
            <w:r>
              <w:rPr>
                <w:rFonts w:hint="eastAsia"/>
                <w:b w:val="0"/>
                <w:bCs w:val="0"/>
                <w:color w:val="000000" w:themeColor="text1"/>
                <w:sz w:val="21"/>
                <w:szCs w:val="21"/>
                <w:vertAlign w:val="baseline"/>
                <w:lang w:val="en-US" w:eastAsia="zh-CN"/>
              </w:rPr>
              <w:t>100</w:t>
            </w:r>
            <w:bookmarkEnd w:id="49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95" w:name="_Toc20757"/>
            <w:r>
              <w:rPr>
                <w:rFonts w:hint="eastAsia"/>
                <w:b w:val="0"/>
                <w:bCs w:val="0"/>
                <w:color w:val="000000" w:themeColor="text1"/>
                <w:sz w:val="21"/>
                <w:szCs w:val="21"/>
                <w:vertAlign w:val="baseline"/>
                <w:lang w:val="en-US" w:eastAsia="zh-CN"/>
              </w:rPr>
              <w:t>0.28</w:t>
            </w:r>
            <w:bookmarkEnd w:id="49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6" w:name="_Toc3522"/>
            <w:r>
              <w:rPr>
                <w:rFonts w:hint="eastAsia"/>
                <w:b w:val="0"/>
                <w:bCs w:val="0"/>
                <w:color w:val="000000" w:themeColor="text1"/>
                <w:sz w:val="21"/>
                <w:szCs w:val="21"/>
                <w:vertAlign w:val="baseline"/>
                <w:lang w:val="en-US" w:eastAsia="zh-CN"/>
              </w:rPr>
              <w:t>达标</w:t>
            </w:r>
            <w:bookmarkEnd w:id="49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总大肠菌群</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vertAlign w:val="baseline"/>
                <w:lang w:val="en-US" w:eastAsia="zh-CN" w:bidi="ar-SA"/>
              </w:rPr>
              <w:t>MPN/100mL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7" w:name="_Toc19262"/>
            <w:r>
              <w:rPr>
                <w:rFonts w:hint="eastAsia"/>
                <w:b w:val="0"/>
                <w:bCs w:val="0"/>
                <w:color w:val="000000" w:themeColor="text1"/>
                <w:sz w:val="21"/>
                <w:szCs w:val="21"/>
                <w:vertAlign w:val="baseline"/>
                <w:lang w:val="en-US" w:eastAsia="zh-CN"/>
              </w:rPr>
              <w:t>3.0</w:t>
            </w:r>
            <w:bookmarkEnd w:id="49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498" w:name="_Toc32611"/>
            <w:r>
              <w:rPr>
                <w:rFonts w:hint="eastAsia"/>
                <w:b w:val="0"/>
                <w:bCs w:val="0"/>
                <w:color w:val="000000" w:themeColor="text1"/>
                <w:sz w:val="21"/>
                <w:szCs w:val="21"/>
                <w:vertAlign w:val="baseline"/>
                <w:lang w:val="en-US" w:eastAsia="zh-CN"/>
              </w:rPr>
              <w:t>0.67</w:t>
            </w:r>
            <w:bookmarkEnd w:id="49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eastAsia="宋体"/>
                <w:b w:val="0"/>
                <w:bCs w:val="0"/>
                <w:color w:val="000000" w:themeColor="text1"/>
                <w:sz w:val="21"/>
                <w:szCs w:val="21"/>
                <w:vertAlign w:val="baseline"/>
                <w:lang w:val="en-US" w:eastAsia="zh-CN"/>
              </w:rPr>
            </w:pPr>
            <w:bookmarkStart w:id="499" w:name="_Toc12450"/>
            <w:r>
              <w:rPr>
                <w:rFonts w:hint="eastAsia"/>
                <w:b w:val="0"/>
                <w:bCs w:val="0"/>
                <w:color w:val="000000" w:themeColor="text1"/>
                <w:sz w:val="21"/>
                <w:szCs w:val="21"/>
                <w:vertAlign w:val="baseline"/>
                <w:lang w:val="en-US" w:eastAsia="zh-CN"/>
              </w:rPr>
              <w:t>达标</w:t>
            </w:r>
            <w:bookmarkEnd w:id="49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restart"/>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500" w:name="_Toc13698"/>
            <w:r>
              <w:rPr>
                <w:rFonts w:hint="eastAsia" w:cs="Times New Roman"/>
                <w:b w:val="0"/>
                <w:bCs w:val="0"/>
                <w:color w:val="000000" w:themeColor="text1"/>
                <w:kern w:val="2"/>
                <w:sz w:val="21"/>
                <w:szCs w:val="21"/>
                <w:highlight w:val="none"/>
                <w:lang w:val="en-US" w:eastAsia="zh-CN" w:bidi="ar-SA"/>
              </w:rPr>
              <w:t>W3：</w:t>
            </w:r>
            <w:r>
              <w:rPr>
                <w:rFonts w:hint="eastAsia" w:ascii="Times New Roman" w:hAnsi="Times New Roman" w:cs="Times New Roman"/>
                <w:b w:val="0"/>
                <w:bCs w:val="0"/>
                <w:color w:val="000000" w:themeColor="text1"/>
                <w:kern w:val="2"/>
                <w:sz w:val="21"/>
                <w:szCs w:val="21"/>
                <w:highlight w:val="none"/>
                <w:lang w:val="en-US" w:eastAsia="zh-CN" w:bidi="ar-SA"/>
              </w:rPr>
              <w:t>构皮沟1号水井</w:t>
            </w:r>
            <w:bookmarkEnd w:id="500"/>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pH值</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highlight w:val="none"/>
                <w:lang w:val="en-US" w:eastAsia="zh-CN"/>
              </w:rPr>
              <w:t>无量纲</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01" w:name="_Toc29756"/>
            <w:r>
              <w:rPr>
                <w:rFonts w:hint="eastAsia" w:ascii="Times New Roman" w:hAnsi="Times New Roman" w:cs="Times New Roman" w:eastAsiaTheme="minorEastAsia"/>
                <w:b w:val="0"/>
                <w:bCs w:val="0"/>
                <w:color w:val="000000" w:themeColor="text1"/>
                <w:kern w:val="2"/>
                <w:sz w:val="21"/>
                <w:szCs w:val="21"/>
                <w:highlight w:val="none"/>
                <w:lang w:val="en-US" w:eastAsia="zh-CN" w:bidi="ar-SA"/>
              </w:rPr>
              <w:t>6.5~8.5</w:t>
            </w:r>
            <w:bookmarkEnd w:id="50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02" w:name="_Toc19050"/>
            <w:r>
              <w:rPr>
                <w:rFonts w:hint="eastAsia"/>
                <w:b w:val="0"/>
                <w:bCs w:val="0"/>
                <w:color w:val="000000" w:themeColor="text1"/>
                <w:sz w:val="21"/>
                <w:szCs w:val="21"/>
                <w:vertAlign w:val="baseline"/>
                <w:lang w:val="en-US" w:eastAsia="zh-CN"/>
              </w:rPr>
              <w:t>0.27</w:t>
            </w:r>
            <w:bookmarkEnd w:id="502"/>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03" w:name="_Toc24955"/>
            <w:r>
              <w:rPr>
                <w:rFonts w:hint="eastAsia"/>
                <w:b w:val="0"/>
                <w:bCs w:val="0"/>
                <w:color w:val="000000" w:themeColor="text1"/>
                <w:sz w:val="21"/>
                <w:szCs w:val="21"/>
                <w:vertAlign w:val="baseline"/>
                <w:lang w:val="en-US" w:eastAsia="zh-CN"/>
              </w:rPr>
              <w:t>达标</w:t>
            </w:r>
            <w:bookmarkEnd w:id="5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vertAlign w:val="baseline"/>
                <w:lang w:val="en-US" w:eastAsia="zh-CN"/>
              </w:rPr>
              <w:t>钾（K</w:t>
            </w:r>
            <w:r>
              <w:rPr>
                <w:rFonts w:hint="eastAsia" w:ascii="Times New Roman" w:hAnsi="Times New Roman" w:cs="Times New Roman"/>
                <w:b w:val="0"/>
                <w:bCs w:val="0"/>
                <w:color w:val="000000" w:themeColor="text1"/>
                <w:sz w:val="21"/>
                <w:szCs w:val="21"/>
                <w:highlight w:val="none"/>
                <w:vertAlign w:val="superscript"/>
                <w:lang w:val="en-US" w:eastAsia="zh-CN"/>
              </w:rPr>
              <w:t>+</w:t>
            </w:r>
            <w:r>
              <w:rPr>
                <w:rFonts w:hint="eastAsia" w:ascii="Times New Roman" w:hAnsi="Times New Roman" w:cs="Times New Roman"/>
                <w:b w:val="0"/>
                <w:bCs w:val="0"/>
                <w:color w:val="000000" w:themeColor="text1"/>
                <w:sz w:val="21"/>
                <w:szCs w:val="21"/>
                <w:highlight w:val="none"/>
                <w:vertAlign w:val="baseli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1.08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04" w:name="_Toc7527"/>
            <w:r>
              <w:rPr>
                <w:rFonts w:hint="eastAsia"/>
                <w:b w:val="0"/>
                <w:bCs w:val="0"/>
                <w:color w:val="000000" w:themeColor="text1"/>
                <w:sz w:val="21"/>
                <w:szCs w:val="21"/>
                <w:vertAlign w:val="baseline"/>
                <w:lang w:val="en-US" w:eastAsia="zh-CN"/>
              </w:rPr>
              <w:t>/</w:t>
            </w:r>
            <w:bookmarkEnd w:id="50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05" w:name="_Toc15476"/>
            <w:r>
              <w:rPr>
                <w:rFonts w:hint="eastAsia"/>
                <w:b w:val="0"/>
                <w:bCs w:val="0"/>
                <w:color w:val="000000" w:themeColor="text1"/>
                <w:sz w:val="21"/>
                <w:szCs w:val="21"/>
                <w:vertAlign w:val="baseline"/>
                <w:lang w:val="en-US" w:eastAsia="zh-CN"/>
              </w:rPr>
              <w:t>/</w:t>
            </w:r>
            <w:bookmarkEnd w:id="50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06" w:name="_Toc9292"/>
            <w:r>
              <w:rPr>
                <w:rFonts w:hint="eastAsia"/>
                <w:b w:val="0"/>
                <w:bCs w:val="0"/>
                <w:color w:val="000000" w:themeColor="text1"/>
                <w:sz w:val="21"/>
                <w:szCs w:val="21"/>
                <w:vertAlign w:val="baseline"/>
                <w:lang w:val="en-US" w:eastAsia="zh-CN"/>
              </w:rPr>
              <w:t>/</w:t>
            </w:r>
            <w:bookmarkEnd w:id="50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钠（</w:t>
            </w:r>
            <w:r>
              <w:rPr>
                <w:rFonts w:hint="default" w:ascii="Times New Roman" w:hAnsi="Times New Roman" w:cs="Times New Roman"/>
                <w:b w:val="0"/>
                <w:bCs w:val="0"/>
                <w:color w:val="000000" w:themeColor="text1"/>
                <w:sz w:val="21"/>
                <w:szCs w:val="21"/>
                <w:highlight w:val="none"/>
              </w:rPr>
              <w:t>Na</w:t>
            </w:r>
            <w:r>
              <w:rPr>
                <w:rFonts w:hint="default" w:ascii="Times New Roman" w:hAnsi="Times New Roman" w:cs="Times New Roman"/>
                <w:b w:val="0"/>
                <w:bCs w:val="0"/>
                <w:color w:val="000000" w:themeColor="text1"/>
                <w:sz w:val="21"/>
                <w:szCs w:val="21"/>
                <w:highlight w:val="none"/>
                <w:vertAlign w:val="superscript"/>
              </w:rPr>
              <w:t>+</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8.63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07" w:name="_Toc9595"/>
            <w:r>
              <w:rPr>
                <w:rFonts w:hint="eastAsia"/>
                <w:b w:val="0"/>
                <w:bCs w:val="0"/>
                <w:color w:val="000000" w:themeColor="text1"/>
                <w:sz w:val="21"/>
                <w:szCs w:val="21"/>
                <w:vertAlign w:val="baseline"/>
                <w:lang w:val="en-US" w:eastAsia="zh-CN"/>
              </w:rPr>
              <w:t>200</w:t>
            </w:r>
            <w:bookmarkEnd w:id="50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08" w:name="_Toc8380"/>
            <w:r>
              <w:rPr>
                <w:rFonts w:hint="eastAsia"/>
                <w:b w:val="0"/>
                <w:bCs w:val="0"/>
                <w:color w:val="000000" w:themeColor="text1"/>
                <w:sz w:val="21"/>
                <w:szCs w:val="21"/>
                <w:vertAlign w:val="baseline"/>
                <w:lang w:val="en-US" w:eastAsia="zh-CN"/>
              </w:rPr>
              <w:t>0.04</w:t>
            </w:r>
            <w:bookmarkEnd w:id="50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09" w:name="_Toc30650"/>
            <w:r>
              <w:rPr>
                <w:rFonts w:hint="eastAsia"/>
                <w:b w:val="0"/>
                <w:bCs w:val="0"/>
                <w:color w:val="000000" w:themeColor="text1"/>
                <w:sz w:val="21"/>
                <w:szCs w:val="21"/>
                <w:vertAlign w:val="baseline"/>
                <w:lang w:val="en-US" w:eastAsia="zh-CN"/>
              </w:rPr>
              <w:t>达标</w:t>
            </w:r>
            <w:bookmarkEnd w:id="50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钙（</w:t>
            </w:r>
            <w:r>
              <w:rPr>
                <w:rFonts w:hint="default" w:ascii="Times New Roman" w:hAnsi="Times New Roman" w:cs="Times New Roman"/>
                <w:b w:val="0"/>
                <w:bCs w:val="0"/>
                <w:color w:val="000000" w:themeColor="text1"/>
                <w:sz w:val="21"/>
                <w:szCs w:val="21"/>
                <w:highlight w:val="none"/>
              </w:rPr>
              <w:t>Ca</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146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0" w:name="_Toc2284"/>
            <w:r>
              <w:rPr>
                <w:rFonts w:hint="eastAsia"/>
                <w:b w:val="0"/>
                <w:bCs w:val="0"/>
                <w:color w:val="000000" w:themeColor="text1"/>
                <w:sz w:val="21"/>
                <w:szCs w:val="21"/>
                <w:vertAlign w:val="baseline"/>
                <w:lang w:val="en-US" w:eastAsia="zh-CN"/>
              </w:rPr>
              <w:t>/</w:t>
            </w:r>
            <w:bookmarkEnd w:id="51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11" w:name="_Toc386"/>
            <w:r>
              <w:rPr>
                <w:rFonts w:hint="eastAsia"/>
                <w:b w:val="0"/>
                <w:bCs w:val="0"/>
                <w:color w:val="000000" w:themeColor="text1"/>
                <w:sz w:val="21"/>
                <w:szCs w:val="21"/>
                <w:vertAlign w:val="baseline"/>
                <w:lang w:val="en-US" w:eastAsia="zh-CN"/>
              </w:rPr>
              <w:t>/</w:t>
            </w:r>
            <w:bookmarkEnd w:id="51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2" w:name="_Toc1837"/>
            <w:r>
              <w:rPr>
                <w:rFonts w:hint="eastAsia"/>
                <w:b w:val="0"/>
                <w:bCs w:val="0"/>
                <w:color w:val="000000" w:themeColor="text1"/>
                <w:sz w:val="21"/>
                <w:szCs w:val="21"/>
                <w:vertAlign w:val="baseline"/>
                <w:lang w:val="en-US" w:eastAsia="zh-CN"/>
              </w:rPr>
              <w:t>/</w:t>
            </w:r>
            <w:bookmarkEnd w:id="51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镁（</w:t>
            </w:r>
            <w:r>
              <w:rPr>
                <w:rFonts w:hint="default" w:ascii="Times New Roman" w:hAnsi="Times New Roman" w:cs="Times New Roman"/>
                <w:b w:val="0"/>
                <w:bCs w:val="0"/>
                <w:color w:val="000000" w:themeColor="text1"/>
                <w:sz w:val="21"/>
                <w:szCs w:val="21"/>
                <w:highlight w:val="none"/>
              </w:rPr>
              <w:t>Mg</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8.78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3" w:name="_Toc3098"/>
            <w:r>
              <w:rPr>
                <w:rFonts w:hint="eastAsia"/>
                <w:b w:val="0"/>
                <w:bCs w:val="0"/>
                <w:color w:val="000000" w:themeColor="text1"/>
                <w:sz w:val="21"/>
                <w:szCs w:val="21"/>
                <w:vertAlign w:val="baseline"/>
                <w:lang w:val="en-US" w:eastAsia="zh-CN"/>
              </w:rPr>
              <w:t>/</w:t>
            </w:r>
            <w:bookmarkEnd w:id="51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14" w:name="_Toc20217"/>
            <w:r>
              <w:rPr>
                <w:rFonts w:hint="eastAsia"/>
                <w:b w:val="0"/>
                <w:bCs w:val="0"/>
                <w:color w:val="000000" w:themeColor="text1"/>
                <w:sz w:val="21"/>
                <w:szCs w:val="21"/>
                <w:vertAlign w:val="baseline"/>
                <w:lang w:val="en-US" w:eastAsia="zh-CN"/>
              </w:rPr>
              <w:t>/</w:t>
            </w:r>
            <w:bookmarkEnd w:id="51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5" w:name="_Toc5915"/>
            <w:r>
              <w:rPr>
                <w:rFonts w:hint="eastAsia"/>
                <w:b w:val="0"/>
                <w:bCs w:val="0"/>
                <w:color w:val="000000" w:themeColor="text1"/>
                <w:sz w:val="21"/>
                <w:szCs w:val="21"/>
                <w:vertAlign w:val="baseline"/>
                <w:lang w:val="en-US" w:eastAsia="zh-CN"/>
              </w:rPr>
              <w:t>/</w:t>
            </w:r>
            <w:bookmarkEnd w:id="51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砷</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6" w:name="_Toc15206"/>
            <w:r>
              <w:rPr>
                <w:rFonts w:hint="eastAsia"/>
                <w:b w:val="0"/>
                <w:bCs w:val="0"/>
                <w:color w:val="000000" w:themeColor="text1"/>
                <w:sz w:val="21"/>
                <w:szCs w:val="21"/>
                <w:vertAlign w:val="baseline"/>
                <w:lang w:val="en-US" w:eastAsia="zh-CN"/>
              </w:rPr>
              <w:t>0.01</w:t>
            </w:r>
            <w:bookmarkEnd w:id="51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17" w:name="_Toc2972"/>
            <w:r>
              <w:rPr>
                <w:rFonts w:hint="eastAsia"/>
                <w:b w:val="0"/>
                <w:bCs w:val="0"/>
                <w:color w:val="000000" w:themeColor="text1"/>
                <w:sz w:val="21"/>
                <w:szCs w:val="21"/>
                <w:vertAlign w:val="baseline"/>
                <w:lang w:val="en-US" w:eastAsia="zh-CN"/>
              </w:rPr>
              <w:t>0</w:t>
            </w:r>
            <w:bookmarkEnd w:id="517"/>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8" w:name="_Toc2600"/>
            <w:r>
              <w:rPr>
                <w:rFonts w:hint="eastAsia"/>
                <w:b w:val="0"/>
                <w:bCs w:val="0"/>
                <w:color w:val="000000" w:themeColor="text1"/>
                <w:sz w:val="21"/>
                <w:szCs w:val="21"/>
                <w:vertAlign w:val="baseline"/>
                <w:lang w:val="en-US" w:eastAsia="zh-CN"/>
              </w:rPr>
              <w:t>达标</w:t>
            </w:r>
            <w:bookmarkEnd w:id="51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汞</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19" w:name="_Toc3505"/>
            <w:r>
              <w:rPr>
                <w:rFonts w:hint="eastAsia"/>
                <w:b w:val="0"/>
                <w:bCs w:val="0"/>
                <w:color w:val="000000" w:themeColor="text1"/>
                <w:sz w:val="21"/>
                <w:szCs w:val="21"/>
                <w:vertAlign w:val="baseline"/>
                <w:lang w:val="en-US" w:eastAsia="zh-CN"/>
              </w:rPr>
              <w:t>0.001</w:t>
            </w:r>
            <w:bookmarkEnd w:id="51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20" w:name="_Toc24444"/>
            <w:r>
              <w:rPr>
                <w:rFonts w:hint="eastAsia"/>
                <w:b w:val="0"/>
                <w:bCs w:val="0"/>
                <w:color w:val="000000" w:themeColor="text1"/>
                <w:sz w:val="21"/>
                <w:szCs w:val="21"/>
                <w:vertAlign w:val="baseline"/>
                <w:lang w:val="en-US" w:eastAsia="zh-CN"/>
              </w:rPr>
              <w:t>0</w:t>
            </w:r>
            <w:bookmarkEnd w:id="520"/>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21" w:name="_Toc1816"/>
            <w:r>
              <w:rPr>
                <w:rFonts w:hint="eastAsia"/>
                <w:b w:val="0"/>
                <w:bCs w:val="0"/>
                <w:color w:val="000000" w:themeColor="text1"/>
                <w:sz w:val="21"/>
                <w:szCs w:val="21"/>
                <w:vertAlign w:val="baseline"/>
                <w:lang w:val="en-US" w:eastAsia="zh-CN"/>
              </w:rPr>
              <w:t>达标</w:t>
            </w:r>
            <w:bookmarkEnd w:id="52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铅</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22" w:name="_Toc7168"/>
            <w:r>
              <w:rPr>
                <w:rFonts w:hint="eastAsia"/>
                <w:b w:val="0"/>
                <w:bCs w:val="0"/>
                <w:color w:val="000000" w:themeColor="text1"/>
                <w:sz w:val="21"/>
                <w:szCs w:val="21"/>
                <w:vertAlign w:val="baseline"/>
                <w:lang w:val="en-US" w:eastAsia="zh-CN"/>
              </w:rPr>
              <w:t>0.01</w:t>
            </w:r>
            <w:bookmarkEnd w:id="52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23" w:name="_Toc136"/>
            <w:r>
              <w:rPr>
                <w:rFonts w:hint="eastAsia"/>
                <w:b w:val="0"/>
                <w:bCs w:val="0"/>
                <w:color w:val="000000" w:themeColor="text1"/>
                <w:sz w:val="21"/>
                <w:szCs w:val="21"/>
                <w:vertAlign w:val="baseline"/>
                <w:lang w:val="en-US" w:eastAsia="zh-CN"/>
              </w:rPr>
              <w:t>0</w:t>
            </w:r>
            <w:bookmarkEnd w:id="523"/>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24" w:name="_Toc843"/>
            <w:r>
              <w:rPr>
                <w:rFonts w:hint="eastAsia"/>
                <w:b w:val="0"/>
                <w:bCs w:val="0"/>
                <w:color w:val="000000" w:themeColor="text1"/>
                <w:sz w:val="21"/>
                <w:szCs w:val="21"/>
                <w:vertAlign w:val="baseline"/>
                <w:lang w:val="en-US" w:eastAsia="zh-CN"/>
              </w:rPr>
              <w:t>达标</w:t>
            </w:r>
            <w:bookmarkEnd w:id="52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镉</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25" w:name="_Toc1628"/>
            <w:r>
              <w:rPr>
                <w:rFonts w:hint="eastAsia"/>
                <w:b w:val="0"/>
                <w:bCs w:val="0"/>
                <w:color w:val="000000" w:themeColor="text1"/>
                <w:sz w:val="21"/>
                <w:szCs w:val="21"/>
                <w:vertAlign w:val="baseline"/>
                <w:lang w:val="en-US" w:eastAsia="zh-CN"/>
              </w:rPr>
              <w:t>0.005</w:t>
            </w:r>
            <w:bookmarkEnd w:id="52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26" w:name="_Toc17865"/>
            <w:r>
              <w:rPr>
                <w:rFonts w:hint="eastAsia"/>
                <w:b w:val="0"/>
                <w:bCs w:val="0"/>
                <w:color w:val="000000" w:themeColor="text1"/>
                <w:sz w:val="21"/>
                <w:szCs w:val="21"/>
                <w:vertAlign w:val="baseline"/>
                <w:lang w:val="en-US" w:eastAsia="zh-CN"/>
              </w:rPr>
              <w:t>0</w:t>
            </w:r>
            <w:bookmarkEnd w:id="52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27" w:name="_Toc11669"/>
            <w:r>
              <w:rPr>
                <w:rFonts w:hint="eastAsia"/>
                <w:b w:val="0"/>
                <w:bCs w:val="0"/>
                <w:color w:val="000000" w:themeColor="text1"/>
                <w:sz w:val="21"/>
                <w:szCs w:val="21"/>
                <w:vertAlign w:val="baseline"/>
                <w:lang w:val="en-US" w:eastAsia="zh-CN"/>
              </w:rPr>
              <w:t>达标</w:t>
            </w:r>
            <w:bookmarkEnd w:id="52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铁</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28" w:name="_Toc17451"/>
            <w:r>
              <w:rPr>
                <w:rFonts w:hint="eastAsia"/>
                <w:b w:val="0"/>
                <w:bCs w:val="0"/>
                <w:color w:val="000000" w:themeColor="text1"/>
                <w:sz w:val="21"/>
                <w:szCs w:val="21"/>
                <w:vertAlign w:val="baseline"/>
                <w:lang w:val="en-US" w:eastAsia="zh-CN"/>
              </w:rPr>
              <w:t>0.3</w:t>
            </w:r>
            <w:bookmarkEnd w:id="52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29" w:name="_Toc5612"/>
            <w:r>
              <w:rPr>
                <w:rFonts w:hint="eastAsia"/>
                <w:b w:val="0"/>
                <w:bCs w:val="0"/>
                <w:color w:val="000000" w:themeColor="text1"/>
                <w:sz w:val="21"/>
                <w:szCs w:val="21"/>
                <w:vertAlign w:val="baseline"/>
                <w:lang w:val="en-US" w:eastAsia="zh-CN"/>
              </w:rPr>
              <w:t>0</w:t>
            </w:r>
            <w:bookmarkEnd w:id="52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0" w:name="_Toc8650"/>
            <w:r>
              <w:rPr>
                <w:rFonts w:hint="eastAsia"/>
                <w:b w:val="0"/>
                <w:bCs w:val="0"/>
                <w:color w:val="000000" w:themeColor="text1"/>
                <w:sz w:val="21"/>
                <w:szCs w:val="21"/>
                <w:vertAlign w:val="baseline"/>
                <w:lang w:val="en-US" w:eastAsia="zh-CN"/>
              </w:rPr>
              <w:t>达标</w:t>
            </w:r>
            <w:bookmarkEnd w:id="53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1" w:name="_Toc30140"/>
            <w:r>
              <w:rPr>
                <w:rFonts w:hint="eastAsia"/>
                <w:b w:val="0"/>
                <w:bCs w:val="0"/>
                <w:color w:val="000000" w:themeColor="text1"/>
                <w:sz w:val="21"/>
                <w:szCs w:val="21"/>
                <w:vertAlign w:val="baseline"/>
                <w:lang w:val="en-US" w:eastAsia="zh-CN"/>
              </w:rPr>
              <w:t>0.10</w:t>
            </w:r>
            <w:bookmarkEnd w:id="53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32" w:name="_Toc25208"/>
            <w:r>
              <w:rPr>
                <w:rFonts w:hint="eastAsia"/>
                <w:b w:val="0"/>
                <w:bCs w:val="0"/>
                <w:color w:val="000000" w:themeColor="text1"/>
                <w:sz w:val="21"/>
                <w:szCs w:val="21"/>
                <w:vertAlign w:val="baseline"/>
                <w:lang w:val="en-US" w:eastAsia="zh-CN"/>
              </w:rPr>
              <w:t>0</w:t>
            </w:r>
            <w:bookmarkEnd w:id="53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3" w:name="_Toc13566"/>
            <w:r>
              <w:rPr>
                <w:rFonts w:hint="eastAsia"/>
                <w:b w:val="0"/>
                <w:bCs w:val="0"/>
                <w:color w:val="000000" w:themeColor="text1"/>
                <w:sz w:val="21"/>
                <w:szCs w:val="21"/>
                <w:vertAlign w:val="baseline"/>
                <w:lang w:val="en-US" w:eastAsia="zh-CN"/>
              </w:rPr>
              <w:t>达标</w:t>
            </w:r>
            <w:bookmarkEnd w:id="53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4" w:name="_Toc15341"/>
            <w:r>
              <w:rPr>
                <w:rFonts w:hint="eastAsia"/>
                <w:b w:val="0"/>
                <w:bCs w:val="0"/>
                <w:color w:val="000000" w:themeColor="text1"/>
                <w:sz w:val="21"/>
                <w:szCs w:val="21"/>
                <w:vertAlign w:val="baseline"/>
                <w:lang w:val="en-US" w:eastAsia="zh-CN"/>
              </w:rPr>
              <w:t>/</w:t>
            </w:r>
            <w:bookmarkEnd w:id="53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35" w:name="_Toc4493"/>
            <w:r>
              <w:rPr>
                <w:rFonts w:hint="eastAsia"/>
                <w:b w:val="0"/>
                <w:bCs w:val="0"/>
                <w:color w:val="000000" w:themeColor="text1"/>
                <w:sz w:val="21"/>
                <w:szCs w:val="21"/>
                <w:vertAlign w:val="baseline"/>
                <w:lang w:val="en-US" w:eastAsia="zh-CN"/>
              </w:rPr>
              <w:t>/</w:t>
            </w:r>
            <w:bookmarkEnd w:id="53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6" w:name="_Toc24468"/>
            <w:r>
              <w:rPr>
                <w:rFonts w:hint="eastAsia"/>
                <w:b w:val="0"/>
                <w:bCs w:val="0"/>
                <w:color w:val="000000" w:themeColor="text1"/>
                <w:sz w:val="21"/>
                <w:szCs w:val="21"/>
                <w:vertAlign w:val="baseline"/>
                <w:lang w:val="en-US" w:eastAsia="zh-CN"/>
              </w:rPr>
              <w:t>/</w:t>
            </w:r>
            <w:bookmarkEnd w:id="53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重碳酸根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505</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7" w:name="_Toc7740"/>
            <w:r>
              <w:rPr>
                <w:rFonts w:hint="eastAsia"/>
                <w:b w:val="0"/>
                <w:bCs w:val="0"/>
                <w:color w:val="000000" w:themeColor="text1"/>
                <w:sz w:val="21"/>
                <w:szCs w:val="21"/>
                <w:vertAlign w:val="baseline"/>
                <w:lang w:val="en-US" w:eastAsia="zh-CN"/>
              </w:rPr>
              <w:t>/</w:t>
            </w:r>
            <w:bookmarkEnd w:id="53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38" w:name="_Toc26560"/>
            <w:r>
              <w:rPr>
                <w:rFonts w:hint="eastAsia"/>
                <w:b w:val="0"/>
                <w:bCs w:val="0"/>
                <w:color w:val="000000" w:themeColor="text1"/>
                <w:sz w:val="21"/>
                <w:szCs w:val="21"/>
                <w:vertAlign w:val="baseline"/>
                <w:lang w:val="en-US" w:eastAsia="zh-CN"/>
              </w:rPr>
              <w:t>/</w:t>
            </w:r>
            <w:bookmarkEnd w:id="53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39" w:name="_Toc15281"/>
            <w:r>
              <w:rPr>
                <w:rFonts w:hint="eastAsia"/>
                <w:b w:val="0"/>
                <w:bCs w:val="0"/>
                <w:color w:val="000000" w:themeColor="text1"/>
                <w:sz w:val="21"/>
                <w:szCs w:val="21"/>
                <w:vertAlign w:val="baseline"/>
                <w:lang w:val="en-US" w:eastAsia="zh-CN"/>
              </w:rPr>
              <w:t>/</w:t>
            </w:r>
            <w:bookmarkEnd w:id="5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总硬度</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404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0" w:name="_Toc11156"/>
            <w:r>
              <w:rPr>
                <w:rFonts w:hint="eastAsia"/>
                <w:b w:val="0"/>
                <w:bCs w:val="0"/>
                <w:color w:val="000000" w:themeColor="text1"/>
                <w:sz w:val="21"/>
                <w:szCs w:val="21"/>
                <w:vertAlign w:val="baseline"/>
                <w:lang w:val="en-US" w:eastAsia="zh-CN"/>
              </w:rPr>
              <w:t>450</w:t>
            </w:r>
            <w:bookmarkEnd w:id="54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41" w:name="_Toc24885"/>
            <w:r>
              <w:rPr>
                <w:rFonts w:hint="eastAsia"/>
                <w:b w:val="0"/>
                <w:bCs w:val="0"/>
                <w:color w:val="000000" w:themeColor="text1"/>
                <w:sz w:val="21"/>
                <w:szCs w:val="21"/>
                <w:vertAlign w:val="baseline"/>
                <w:lang w:val="en-US" w:eastAsia="zh-CN"/>
              </w:rPr>
              <w:t>0.90</w:t>
            </w:r>
            <w:bookmarkEnd w:id="54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2" w:name="_Toc5925"/>
            <w:r>
              <w:rPr>
                <w:rFonts w:hint="eastAsia"/>
                <w:b w:val="0"/>
                <w:bCs w:val="0"/>
                <w:color w:val="000000" w:themeColor="text1"/>
                <w:sz w:val="21"/>
                <w:szCs w:val="21"/>
                <w:vertAlign w:val="baseline"/>
                <w:lang w:val="en-US" w:eastAsia="zh-CN"/>
              </w:rPr>
              <w:t>达标</w:t>
            </w:r>
            <w:bookmarkEnd w:id="54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氨氮</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3" w:name="_Toc31950"/>
            <w:r>
              <w:rPr>
                <w:rFonts w:hint="eastAsia"/>
                <w:b w:val="0"/>
                <w:bCs w:val="0"/>
                <w:color w:val="000000" w:themeColor="text1"/>
                <w:sz w:val="21"/>
                <w:szCs w:val="21"/>
                <w:vertAlign w:val="baseline"/>
                <w:lang w:val="en-US" w:eastAsia="zh-CN"/>
              </w:rPr>
              <w:t>0.50</w:t>
            </w:r>
            <w:bookmarkEnd w:id="54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44" w:name="_Toc11616"/>
            <w:r>
              <w:rPr>
                <w:rFonts w:hint="eastAsia"/>
                <w:b w:val="0"/>
                <w:bCs w:val="0"/>
                <w:color w:val="000000" w:themeColor="text1"/>
                <w:sz w:val="21"/>
                <w:szCs w:val="21"/>
                <w:vertAlign w:val="baseline"/>
                <w:lang w:val="en-US" w:eastAsia="zh-CN"/>
              </w:rPr>
              <w:t>0</w:t>
            </w:r>
            <w:bookmarkEnd w:id="544"/>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5" w:name="_Toc2379"/>
            <w:r>
              <w:rPr>
                <w:rFonts w:hint="eastAsia"/>
                <w:b w:val="0"/>
                <w:bCs w:val="0"/>
                <w:color w:val="000000" w:themeColor="text1"/>
                <w:sz w:val="21"/>
                <w:szCs w:val="21"/>
                <w:vertAlign w:val="baseline"/>
                <w:lang w:val="en-US" w:eastAsia="zh-CN"/>
              </w:rPr>
              <w:t>达标</w:t>
            </w:r>
            <w:bookmarkEnd w:id="54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氰化物</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6" w:name="_Toc28331"/>
            <w:r>
              <w:rPr>
                <w:rFonts w:hint="eastAsia"/>
                <w:b w:val="0"/>
                <w:bCs w:val="0"/>
                <w:color w:val="000000" w:themeColor="text1"/>
                <w:sz w:val="21"/>
                <w:szCs w:val="21"/>
                <w:vertAlign w:val="baseline"/>
                <w:lang w:val="en-US" w:eastAsia="zh-CN"/>
              </w:rPr>
              <w:t>0.05</w:t>
            </w:r>
            <w:bookmarkEnd w:id="54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47" w:name="_Toc15958"/>
            <w:r>
              <w:rPr>
                <w:rFonts w:hint="eastAsia"/>
                <w:b w:val="0"/>
                <w:bCs w:val="0"/>
                <w:color w:val="000000" w:themeColor="text1"/>
                <w:sz w:val="21"/>
                <w:szCs w:val="21"/>
                <w:vertAlign w:val="baseline"/>
                <w:lang w:val="en-US" w:eastAsia="zh-CN"/>
              </w:rPr>
              <w:t>0</w:t>
            </w:r>
            <w:bookmarkEnd w:id="547"/>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8" w:name="_Toc20061"/>
            <w:r>
              <w:rPr>
                <w:rFonts w:hint="eastAsia"/>
                <w:b w:val="0"/>
                <w:bCs w:val="0"/>
                <w:color w:val="000000" w:themeColor="text1"/>
                <w:sz w:val="21"/>
                <w:szCs w:val="21"/>
                <w:vertAlign w:val="baseline"/>
                <w:lang w:val="en-US" w:eastAsia="zh-CN"/>
              </w:rPr>
              <w:t>达标</w:t>
            </w:r>
            <w:bookmarkEnd w:id="54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挥发酚</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49" w:name="_Toc26076"/>
            <w:r>
              <w:rPr>
                <w:rFonts w:hint="eastAsia"/>
                <w:b w:val="0"/>
                <w:bCs w:val="0"/>
                <w:color w:val="000000" w:themeColor="text1"/>
                <w:sz w:val="21"/>
                <w:szCs w:val="21"/>
                <w:vertAlign w:val="baseline"/>
                <w:lang w:val="en-US" w:eastAsia="zh-CN"/>
              </w:rPr>
              <w:t>0.002</w:t>
            </w:r>
            <w:bookmarkEnd w:id="54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50" w:name="_Toc21757"/>
            <w:r>
              <w:rPr>
                <w:rFonts w:hint="eastAsia"/>
                <w:b w:val="0"/>
                <w:bCs w:val="0"/>
                <w:color w:val="000000" w:themeColor="text1"/>
                <w:sz w:val="21"/>
                <w:szCs w:val="21"/>
                <w:vertAlign w:val="baseline"/>
                <w:lang w:val="en-US" w:eastAsia="zh-CN"/>
              </w:rPr>
              <w:t>0</w:t>
            </w:r>
            <w:bookmarkEnd w:id="550"/>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51" w:name="_Toc15743"/>
            <w:r>
              <w:rPr>
                <w:rFonts w:hint="eastAsia"/>
                <w:b w:val="0"/>
                <w:bCs w:val="0"/>
                <w:color w:val="000000" w:themeColor="text1"/>
                <w:sz w:val="21"/>
                <w:szCs w:val="21"/>
                <w:vertAlign w:val="baseline"/>
                <w:lang w:val="en-US" w:eastAsia="zh-CN"/>
              </w:rPr>
              <w:t>达标</w:t>
            </w:r>
            <w:bookmarkEnd w:id="5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六价铬</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52" w:name="_Toc6264"/>
            <w:r>
              <w:rPr>
                <w:rFonts w:hint="eastAsia"/>
                <w:b w:val="0"/>
                <w:bCs w:val="0"/>
                <w:color w:val="000000" w:themeColor="text1"/>
                <w:sz w:val="21"/>
                <w:szCs w:val="21"/>
                <w:vertAlign w:val="baseline"/>
                <w:lang w:val="en-US" w:eastAsia="zh-CN"/>
              </w:rPr>
              <w:t>0.05</w:t>
            </w:r>
            <w:bookmarkEnd w:id="55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53" w:name="_Toc22273"/>
            <w:r>
              <w:rPr>
                <w:rFonts w:hint="eastAsia"/>
                <w:b w:val="0"/>
                <w:bCs w:val="0"/>
                <w:color w:val="000000" w:themeColor="text1"/>
                <w:sz w:val="21"/>
                <w:szCs w:val="21"/>
                <w:vertAlign w:val="baseline"/>
                <w:lang w:val="en-US" w:eastAsia="zh-CN"/>
              </w:rPr>
              <w:t>0</w:t>
            </w:r>
            <w:bookmarkEnd w:id="553"/>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54" w:name="_Toc17978"/>
            <w:r>
              <w:rPr>
                <w:rFonts w:hint="eastAsia"/>
                <w:b w:val="0"/>
                <w:bCs w:val="0"/>
                <w:color w:val="000000" w:themeColor="text1"/>
                <w:sz w:val="21"/>
                <w:szCs w:val="21"/>
                <w:vertAlign w:val="baseline"/>
                <w:lang w:val="en-US" w:eastAsia="zh-CN"/>
              </w:rPr>
              <w:t>达标</w:t>
            </w:r>
            <w:bookmarkEnd w:id="55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亚硝酸盐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55" w:name="_Toc27784"/>
            <w:r>
              <w:rPr>
                <w:rFonts w:hint="eastAsia"/>
                <w:b w:val="0"/>
                <w:bCs w:val="0"/>
                <w:color w:val="000000" w:themeColor="text1"/>
                <w:sz w:val="21"/>
                <w:szCs w:val="21"/>
                <w:vertAlign w:val="baseline"/>
                <w:lang w:val="en-US" w:eastAsia="zh-CN"/>
              </w:rPr>
              <w:t>1.00</w:t>
            </w:r>
            <w:bookmarkEnd w:id="55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56" w:name="_Toc99"/>
            <w:r>
              <w:rPr>
                <w:rFonts w:hint="eastAsia"/>
                <w:b w:val="0"/>
                <w:bCs w:val="0"/>
                <w:color w:val="000000" w:themeColor="text1"/>
                <w:sz w:val="21"/>
                <w:szCs w:val="21"/>
                <w:vertAlign w:val="baseline"/>
                <w:lang w:val="en-US" w:eastAsia="zh-CN"/>
              </w:rPr>
              <w:t>0</w:t>
            </w:r>
            <w:bookmarkEnd w:id="55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57" w:name="_Toc18546"/>
            <w:r>
              <w:rPr>
                <w:rFonts w:hint="eastAsia"/>
                <w:b w:val="0"/>
                <w:bCs w:val="0"/>
                <w:color w:val="000000" w:themeColor="text1"/>
                <w:sz w:val="21"/>
                <w:szCs w:val="21"/>
                <w:vertAlign w:val="baseline"/>
                <w:lang w:val="en-US" w:eastAsia="zh-CN"/>
              </w:rPr>
              <w:t>达标</w:t>
            </w:r>
            <w:bookmarkEnd w:id="5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溶解性总固体</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491</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58" w:name="_Toc23955"/>
            <w:r>
              <w:rPr>
                <w:rFonts w:hint="eastAsia"/>
                <w:b w:val="0"/>
                <w:bCs w:val="0"/>
                <w:color w:val="000000" w:themeColor="text1"/>
                <w:sz w:val="21"/>
                <w:szCs w:val="21"/>
                <w:vertAlign w:val="baseline"/>
                <w:lang w:val="en-US" w:eastAsia="zh-CN"/>
              </w:rPr>
              <w:t>1000</w:t>
            </w:r>
            <w:bookmarkEnd w:id="55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59" w:name="_Toc11699"/>
            <w:r>
              <w:rPr>
                <w:rFonts w:hint="eastAsia"/>
                <w:b w:val="0"/>
                <w:bCs w:val="0"/>
                <w:color w:val="000000" w:themeColor="text1"/>
                <w:sz w:val="21"/>
                <w:szCs w:val="21"/>
                <w:vertAlign w:val="baseline"/>
                <w:lang w:val="en-US" w:eastAsia="zh-CN"/>
              </w:rPr>
              <w:t>0.49</w:t>
            </w:r>
            <w:bookmarkEnd w:id="559"/>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0" w:name="_Toc18554"/>
            <w:r>
              <w:rPr>
                <w:rFonts w:hint="eastAsia"/>
                <w:b w:val="0"/>
                <w:bCs w:val="0"/>
                <w:color w:val="000000" w:themeColor="text1"/>
                <w:sz w:val="21"/>
                <w:szCs w:val="21"/>
                <w:vertAlign w:val="baseline"/>
                <w:lang w:val="en-US" w:eastAsia="zh-CN"/>
              </w:rPr>
              <w:t>达标</w:t>
            </w:r>
            <w:bookmarkEnd w:id="56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氟</w:t>
            </w:r>
            <w:r>
              <w:rPr>
                <w:rFonts w:hint="default" w:ascii="Times New Roman" w:hAnsi="Times New Roman" w:cs="Times New Roman"/>
                <w:b w:val="0"/>
                <w:bCs w:val="0"/>
                <w:color w:val="000000" w:themeColor="text1"/>
                <w:sz w:val="21"/>
                <w:szCs w:val="21"/>
                <w:highlight w:val="none"/>
                <w:lang w:val="en-US" w:eastAsia="zh-CN"/>
              </w:rPr>
              <w:t>化物（F</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0.712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1" w:name="_Toc27037"/>
            <w:r>
              <w:rPr>
                <w:rFonts w:hint="eastAsia"/>
                <w:b w:val="0"/>
                <w:bCs w:val="0"/>
                <w:color w:val="000000" w:themeColor="text1"/>
                <w:sz w:val="21"/>
                <w:szCs w:val="21"/>
                <w:vertAlign w:val="baseline"/>
                <w:lang w:val="en-US" w:eastAsia="zh-CN"/>
              </w:rPr>
              <w:t>1.0</w:t>
            </w:r>
            <w:bookmarkEnd w:id="56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62" w:name="_Toc14588"/>
            <w:r>
              <w:rPr>
                <w:rFonts w:hint="eastAsia"/>
                <w:b w:val="0"/>
                <w:bCs w:val="0"/>
                <w:color w:val="000000" w:themeColor="text1"/>
                <w:sz w:val="21"/>
                <w:szCs w:val="21"/>
                <w:vertAlign w:val="baseline"/>
                <w:lang w:val="en-US" w:eastAsia="zh-CN"/>
              </w:rPr>
              <w:t>0.71</w:t>
            </w:r>
            <w:bookmarkEnd w:id="562"/>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3" w:name="_Toc23800"/>
            <w:r>
              <w:rPr>
                <w:rFonts w:hint="eastAsia"/>
                <w:b w:val="0"/>
                <w:bCs w:val="0"/>
                <w:color w:val="000000" w:themeColor="text1"/>
                <w:sz w:val="21"/>
                <w:szCs w:val="21"/>
                <w:vertAlign w:val="baseline"/>
                <w:lang w:val="en-US" w:eastAsia="zh-CN"/>
              </w:rPr>
              <w:t>达标</w:t>
            </w:r>
            <w:bookmarkEnd w:id="5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highlight w:val="none"/>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7.38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4" w:name="_Toc31596"/>
            <w:r>
              <w:rPr>
                <w:rFonts w:hint="eastAsia"/>
                <w:b w:val="0"/>
                <w:bCs w:val="0"/>
                <w:color w:val="000000" w:themeColor="text1"/>
                <w:sz w:val="21"/>
                <w:szCs w:val="21"/>
                <w:vertAlign w:val="baseline"/>
                <w:lang w:val="en-US" w:eastAsia="zh-CN"/>
              </w:rPr>
              <w:t>20.0</w:t>
            </w:r>
            <w:bookmarkEnd w:id="56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65" w:name="_Toc32459"/>
            <w:r>
              <w:rPr>
                <w:rFonts w:hint="eastAsia"/>
                <w:b w:val="0"/>
                <w:bCs w:val="0"/>
                <w:color w:val="000000" w:themeColor="text1"/>
                <w:sz w:val="21"/>
                <w:szCs w:val="21"/>
                <w:vertAlign w:val="baseline"/>
                <w:lang w:val="en-US" w:eastAsia="zh-CN"/>
              </w:rPr>
              <w:t>0.37</w:t>
            </w:r>
            <w:bookmarkEnd w:id="56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6" w:name="_Toc7849"/>
            <w:r>
              <w:rPr>
                <w:rFonts w:hint="eastAsia"/>
                <w:b w:val="0"/>
                <w:bCs w:val="0"/>
                <w:color w:val="000000" w:themeColor="text1"/>
                <w:sz w:val="21"/>
                <w:szCs w:val="21"/>
                <w:vertAlign w:val="baseline"/>
                <w:lang w:val="en-US" w:eastAsia="zh-CN"/>
              </w:rPr>
              <w:t>达标</w:t>
            </w:r>
            <w:bookmarkEnd w:id="56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硫酸盐（</w:t>
            </w:r>
            <w:r>
              <w:rPr>
                <w:rFonts w:hint="default" w:ascii="Times New Roman" w:hAnsi="Times New Roman" w:cs="Times New Roman"/>
                <w:b w:val="0"/>
                <w:bCs w:val="0"/>
                <w:color w:val="000000" w:themeColor="text1"/>
                <w:sz w:val="21"/>
                <w:szCs w:val="21"/>
                <w:highlight w:val="none"/>
                <w:lang w:val="en-US" w:eastAsia="zh-CN"/>
              </w:rPr>
              <w:t>SO</w:t>
            </w:r>
            <w:r>
              <w:rPr>
                <w:rFonts w:hint="default" w:ascii="Times New Roman" w:hAnsi="Times New Roman" w:cs="Times New Roman"/>
                <w:b w:val="0"/>
                <w:bCs w:val="0"/>
                <w:color w:val="000000" w:themeColor="text1"/>
                <w:sz w:val="21"/>
                <w:szCs w:val="21"/>
                <w:highlight w:val="none"/>
                <w:vertAlign w:val="subscript"/>
                <w:lang w:val="en-US" w:eastAsia="zh-CN"/>
              </w:rPr>
              <w:t>4</w:t>
            </w:r>
            <w:r>
              <w:rPr>
                <w:rFonts w:hint="default" w:ascii="Times New Roman" w:hAnsi="Times New Roman" w:cs="Times New Roman"/>
                <w:b w:val="0"/>
                <w:bCs w:val="0"/>
                <w:color w:val="000000" w:themeColor="text1"/>
                <w:sz w:val="21"/>
                <w:szCs w:val="21"/>
                <w:highlight w:val="none"/>
                <w:vertAlign w:val="superscript"/>
                <w:lang w:val="en-US" w:eastAsia="zh-CN"/>
              </w:rPr>
              <w:t>2-</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19.0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7" w:name="_Toc11915"/>
            <w:r>
              <w:rPr>
                <w:rFonts w:hint="eastAsia"/>
                <w:b w:val="0"/>
                <w:bCs w:val="0"/>
                <w:color w:val="000000" w:themeColor="text1"/>
                <w:sz w:val="21"/>
                <w:szCs w:val="21"/>
                <w:vertAlign w:val="baseline"/>
                <w:lang w:val="en-US" w:eastAsia="zh-CN"/>
              </w:rPr>
              <w:t>250</w:t>
            </w:r>
            <w:bookmarkEnd w:id="56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68" w:name="_Toc10278"/>
            <w:r>
              <w:rPr>
                <w:rFonts w:hint="eastAsia"/>
                <w:b w:val="0"/>
                <w:bCs w:val="0"/>
                <w:color w:val="000000" w:themeColor="text1"/>
                <w:sz w:val="21"/>
                <w:szCs w:val="21"/>
                <w:vertAlign w:val="baseline"/>
                <w:lang w:val="en-US" w:eastAsia="zh-CN"/>
              </w:rPr>
              <w:t>0.08</w:t>
            </w:r>
            <w:bookmarkEnd w:id="56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69" w:name="_Toc25889"/>
            <w:r>
              <w:rPr>
                <w:rFonts w:hint="eastAsia"/>
                <w:b w:val="0"/>
                <w:bCs w:val="0"/>
                <w:color w:val="000000" w:themeColor="text1"/>
                <w:sz w:val="21"/>
                <w:szCs w:val="21"/>
                <w:vertAlign w:val="baseline"/>
                <w:lang w:val="en-US" w:eastAsia="zh-CN"/>
              </w:rPr>
              <w:t>达标</w:t>
            </w:r>
            <w:bookmarkEnd w:id="5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氯化物（</w:t>
            </w:r>
            <w:r>
              <w:rPr>
                <w:rFonts w:hint="default" w:ascii="Times New Roman" w:hAnsi="Times New Roman" w:cs="Times New Roman"/>
                <w:b w:val="0"/>
                <w:bCs w:val="0"/>
                <w:color w:val="000000" w:themeColor="text1"/>
                <w:sz w:val="21"/>
                <w:szCs w:val="21"/>
                <w:highlight w:val="none"/>
                <w:lang w:val="en-US" w:eastAsia="zh-CN"/>
              </w:rPr>
              <w:t>Cl</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12.3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0" w:name="_Toc18086"/>
            <w:r>
              <w:rPr>
                <w:rFonts w:hint="eastAsia"/>
                <w:b w:val="0"/>
                <w:bCs w:val="0"/>
                <w:color w:val="000000" w:themeColor="text1"/>
                <w:sz w:val="21"/>
                <w:szCs w:val="21"/>
                <w:vertAlign w:val="baseline"/>
                <w:lang w:val="en-US" w:eastAsia="zh-CN"/>
              </w:rPr>
              <w:t>250</w:t>
            </w:r>
            <w:bookmarkEnd w:id="570"/>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71" w:name="_Toc10895"/>
            <w:r>
              <w:rPr>
                <w:rFonts w:hint="eastAsia"/>
                <w:b w:val="0"/>
                <w:bCs w:val="0"/>
                <w:color w:val="000000" w:themeColor="text1"/>
                <w:sz w:val="21"/>
                <w:szCs w:val="21"/>
                <w:vertAlign w:val="baseline"/>
                <w:lang w:val="en-US" w:eastAsia="zh-CN"/>
              </w:rPr>
              <w:t>0.05</w:t>
            </w:r>
            <w:bookmarkEnd w:id="57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2" w:name="_Toc2394"/>
            <w:r>
              <w:rPr>
                <w:rFonts w:hint="eastAsia"/>
                <w:b w:val="0"/>
                <w:bCs w:val="0"/>
                <w:color w:val="000000" w:themeColor="text1"/>
                <w:sz w:val="21"/>
                <w:szCs w:val="21"/>
                <w:vertAlign w:val="baseline"/>
                <w:lang w:val="en-US" w:eastAsia="zh-CN"/>
              </w:rPr>
              <w:t>达标</w:t>
            </w:r>
            <w:bookmarkEnd w:id="5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w:t>
            </w:r>
            <w:r>
              <w:rPr>
                <w:rFonts w:hint="eastAsia" w:ascii="Times New Roman" w:hAnsi="Times New Roman" w:cs="Times New Roman"/>
                <w:b w:val="0"/>
                <w:bCs w:val="0"/>
                <w:color w:val="000000" w:themeColor="text1"/>
                <w:kern w:val="2"/>
                <w:sz w:val="21"/>
                <w:szCs w:val="21"/>
                <w:highlight w:val="none"/>
                <w:lang w:val="en-US" w:eastAsia="zh-CN" w:bidi="ar-SA"/>
              </w:rPr>
              <w:t>钡</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0.0838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3" w:name="_Toc8596"/>
            <w:r>
              <w:rPr>
                <w:rFonts w:hint="eastAsia"/>
                <w:b w:val="0"/>
                <w:bCs w:val="0"/>
                <w:color w:val="000000" w:themeColor="text1"/>
                <w:sz w:val="21"/>
                <w:szCs w:val="21"/>
                <w:vertAlign w:val="baseline"/>
                <w:lang w:val="en-US" w:eastAsia="zh-CN"/>
              </w:rPr>
              <w:t>0.70</w:t>
            </w:r>
            <w:bookmarkEnd w:id="57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74" w:name="_Toc32392"/>
            <w:r>
              <w:rPr>
                <w:rFonts w:hint="eastAsia"/>
                <w:b w:val="0"/>
                <w:bCs w:val="0"/>
                <w:color w:val="000000" w:themeColor="text1"/>
                <w:sz w:val="21"/>
                <w:szCs w:val="21"/>
                <w:vertAlign w:val="baseline"/>
                <w:lang w:val="en-US" w:eastAsia="zh-CN"/>
              </w:rPr>
              <w:t>0.12</w:t>
            </w:r>
            <w:bookmarkEnd w:id="57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5" w:name="_Toc27766"/>
            <w:r>
              <w:rPr>
                <w:rFonts w:hint="eastAsia"/>
                <w:b w:val="0"/>
                <w:bCs w:val="0"/>
                <w:color w:val="000000" w:themeColor="text1"/>
                <w:sz w:val="21"/>
                <w:szCs w:val="21"/>
                <w:vertAlign w:val="baseline"/>
                <w:lang w:val="en-US" w:eastAsia="zh-CN"/>
              </w:rPr>
              <w:t>达标</w:t>
            </w:r>
            <w:bookmarkEnd w:id="5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lang w:val="en-US" w:eastAsia="zh-CN"/>
              </w:rPr>
              <w:t>菌落</w:t>
            </w:r>
            <w:r>
              <w:rPr>
                <w:rFonts w:hint="default" w:ascii="Times New Roman" w:hAnsi="Times New Roman" w:cs="Times New Roman"/>
                <w:b w:val="0"/>
                <w:bCs w:val="0"/>
                <w:color w:val="000000" w:themeColor="text1"/>
                <w:sz w:val="21"/>
                <w:szCs w:val="21"/>
              </w:rPr>
              <w:t>总数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highlight w:val="none"/>
                <w:vertAlign w:val="baseline"/>
                <w:lang w:val="en-US" w:eastAsia="zh-CN" w:bidi="ar-SA"/>
              </w:rPr>
              <w:t>CFU/m</w:t>
            </w:r>
            <w:r>
              <w:rPr>
                <w:rFonts w:hint="default" w:ascii="Times New Roman" w:hAnsi="Times New Roman" w:cs="Times New Roman"/>
                <w:b w:val="0"/>
                <w:bCs w:val="0"/>
                <w:color w:val="000000" w:themeColor="text1"/>
                <w:sz w:val="21"/>
                <w:szCs w:val="21"/>
                <w:vertAlign w:val="baseline"/>
                <w:lang w:val="en-US" w:eastAsia="zh-CN"/>
              </w:rPr>
              <w:t>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6" w:name="_Toc29499"/>
            <w:r>
              <w:rPr>
                <w:rFonts w:hint="eastAsia"/>
                <w:b w:val="0"/>
                <w:bCs w:val="0"/>
                <w:color w:val="000000" w:themeColor="text1"/>
                <w:sz w:val="21"/>
                <w:szCs w:val="21"/>
                <w:vertAlign w:val="baseline"/>
                <w:lang w:val="en-US" w:eastAsia="zh-CN"/>
              </w:rPr>
              <w:t>100</w:t>
            </w:r>
            <w:bookmarkEnd w:id="57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77" w:name="_Toc4206"/>
            <w:r>
              <w:rPr>
                <w:rFonts w:hint="eastAsia"/>
                <w:b w:val="0"/>
                <w:bCs w:val="0"/>
                <w:color w:val="000000" w:themeColor="text1"/>
                <w:sz w:val="21"/>
                <w:szCs w:val="21"/>
                <w:vertAlign w:val="baseline"/>
                <w:lang w:val="en-US" w:eastAsia="zh-CN"/>
              </w:rPr>
              <w:t>0.26</w:t>
            </w:r>
            <w:bookmarkEnd w:id="57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8" w:name="_Toc31422"/>
            <w:r>
              <w:rPr>
                <w:rFonts w:hint="eastAsia"/>
                <w:b w:val="0"/>
                <w:bCs w:val="0"/>
                <w:color w:val="000000" w:themeColor="text1"/>
                <w:sz w:val="21"/>
                <w:szCs w:val="21"/>
                <w:vertAlign w:val="baseline"/>
                <w:lang w:val="en-US" w:eastAsia="zh-CN"/>
              </w:rPr>
              <w:t>达标</w:t>
            </w:r>
            <w:bookmarkEnd w:id="57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总大肠菌群</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vertAlign w:val="baseline"/>
                <w:lang w:val="en-US" w:eastAsia="zh-CN" w:bidi="ar-SA"/>
              </w:rPr>
              <w:t>MPN/100mL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79" w:name="_Toc13000"/>
            <w:r>
              <w:rPr>
                <w:rFonts w:hint="eastAsia"/>
                <w:b w:val="0"/>
                <w:bCs w:val="0"/>
                <w:color w:val="000000" w:themeColor="text1"/>
                <w:sz w:val="21"/>
                <w:szCs w:val="21"/>
                <w:vertAlign w:val="baseline"/>
                <w:lang w:val="en-US" w:eastAsia="zh-CN"/>
              </w:rPr>
              <w:t>3.0</w:t>
            </w:r>
            <w:bookmarkEnd w:id="57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80" w:name="_Toc12203"/>
            <w:r>
              <w:rPr>
                <w:rFonts w:hint="eastAsia"/>
                <w:b w:val="0"/>
                <w:bCs w:val="0"/>
                <w:color w:val="000000" w:themeColor="text1"/>
                <w:sz w:val="21"/>
                <w:szCs w:val="21"/>
                <w:vertAlign w:val="baseline"/>
                <w:lang w:val="en-US" w:eastAsia="zh-CN"/>
              </w:rPr>
              <w:t>0.67</w:t>
            </w:r>
            <w:bookmarkEnd w:id="58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81" w:name="_Toc27692"/>
            <w:r>
              <w:rPr>
                <w:rFonts w:hint="eastAsia"/>
                <w:b w:val="0"/>
                <w:bCs w:val="0"/>
                <w:color w:val="000000" w:themeColor="text1"/>
                <w:sz w:val="21"/>
                <w:szCs w:val="21"/>
                <w:vertAlign w:val="baseline"/>
                <w:lang w:val="en-US" w:eastAsia="zh-CN"/>
              </w:rPr>
              <w:t>达标</w:t>
            </w:r>
            <w:bookmarkEnd w:id="5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restart"/>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bookmarkStart w:id="582" w:name="_Toc30369"/>
            <w:r>
              <w:rPr>
                <w:rFonts w:hint="eastAsia" w:cs="Times New Roman"/>
                <w:b w:val="0"/>
                <w:bCs w:val="0"/>
                <w:color w:val="000000" w:themeColor="text1"/>
                <w:kern w:val="2"/>
                <w:sz w:val="21"/>
                <w:szCs w:val="21"/>
                <w:highlight w:val="none"/>
                <w:lang w:val="en-US" w:eastAsia="zh-CN" w:bidi="ar-SA"/>
              </w:rPr>
              <w:t>W4：</w:t>
            </w:r>
            <w:r>
              <w:rPr>
                <w:rFonts w:hint="eastAsia" w:ascii="Times New Roman" w:hAnsi="Times New Roman" w:cs="Times New Roman"/>
                <w:b w:val="0"/>
                <w:bCs w:val="0"/>
                <w:color w:val="000000" w:themeColor="text1"/>
                <w:kern w:val="2"/>
                <w:sz w:val="21"/>
                <w:szCs w:val="21"/>
                <w:highlight w:val="none"/>
                <w:lang w:val="en-US" w:eastAsia="zh-CN" w:bidi="ar-SA"/>
              </w:rPr>
              <w:t>构皮沟2号水井</w:t>
            </w:r>
            <w:bookmarkEnd w:id="582"/>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pH值</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highlight w:val="none"/>
                <w:lang w:val="en-US" w:eastAsia="zh-CN"/>
              </w:rPr>
              <w:t>无量纲</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83" w:name="_Toc19207"/>
            <w:r>
              <w:rPr>
                <w:rFonts w:hint="eastAsia" w:ascii="Times New Roman" w:hAnsi="Times New Roman" w:cs="Times New Roman" w:eastAsiaTheme="minorEastAsia"/>
                <w:b w:val="0"/>
                <w:bCs w:val="0"/>
                <w:color w:val="000000" w:themeColor="text1"/>
                <w:kern w:val="2"/>
                <w:sz w:val="21"/>
                <w:szCs w:val="21"/>
                <w:highlight w:val="none"/>
                <w:lang w:val="en-US" w:eastAsia="zh-CN" w:bidi="ar-SA"/>
              </w:rPr>
              <w:t>6.5~8.5</w:t>
            </w:r>
            <w:bookmarkEnd w:id="583"/>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84" w:name="_Toc6007"/>
            <w:r>
              <w:rPr>
                <w:rFonts w:hint="eastAsia"/>
                <w:b w:val="0"/>
                <w:bCs w:val="0"/>
                <w:color w:val="000000" w:themeColor="text1"/>
                <w:sz w:val="21"/>
                <w:szCs w:val="21"/>
                <w:vertAlign w:val="baseline"/>
                <w:lang w:val="en-US" w:eastAsia="zh-CN"/>
              </w:rPr>
              <w:t>0.20</w:t>
            </w:r>
            <w:bookmarkEnd w:id="58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85" w:name="_Toc9838"/>
            <w:r>
              <w:rPr>
                <w:rFonts w:hint="eastAsia"/>
                <w:b w:val="0"/>
                <w:bCs w:val="0"/>
                <w:color w:val="000000" w:themeColor="text1"/>
                <w:sz w:val="21"/>
                <w:szCs w:val="21"/>
                <w:vertAlign w:val="baseline"/>
                <w:lang w:val="en-US" w:eastAsia="zh-CN"/>
              </w:rPr>
              <w:t>达标</w:t>
            </w:r>
            <w:bookmarkEnd w:id="58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vertAlign w:val="baseline"/>
                <w:lang w:val="en-US" w:eastAsia="zh-CN"/>
              </w:rPr>
              <w:t>钾（K</w:t>
            </w:r>
            <w:r>
              <w:rPr>
                <w:rFonts w:hint="eastAsia" w:ascii="Times New Roman" w:hAnsi="Times New Roman" w:cs="Times New Roman"/>
                <w:b w:val="0"/>
                <w:bCs w:val="0"/>
                <w:color w:val="000000" w:themeColor="text1"/>
                <w:sz w:val="21"/>
                <w:szCs w:val="21"/>
                <w:highlight w:val="none"/>
                <w:vertAlign w:val="superscript"/>
                <w:lang w:val="en-US" w:eastAsia="zh-CN"/>
              </w:rPr>
              <w:t>+</w:t>
            </w:r>
            <w:r>
              <w:rPr>
                <w:rFonts w:hint="eastAsia" w:ascii="Times New Roman" w:hAnsi="Times New Roman" w:cs="Times New Roman"/>
                <w:b w:val="0"/>
                <w:bCs w:val="0"/>
                <w:color w:val="000000" w:themeColor="text1"/>
                <w:sz w:val="21"/>
                <w:szCs w:val="21"/>
                <w:highlight w:val="none"/>
                <w:vertAlign w:val="baseli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1.45</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86" w:name="_Toc26912"/>
            <w:r>
              <w:rPr>
                <w:rFonts w:hint="eastAsia"/>
                <w:b w:val="0"/>
                <w:bCs w:val="0"/>
                <w:color w:val="000000" w:themeColor="text1"/>
                <w:sz w:val="21"/>
                <w:szCs w:val="21"/>
                <w:vertAlign w:val="baseline"/>
                <w:lang w:val="en-US" w:eastAsia="zh-CN"/>
              </w:rPr>
              <w:t>/</w:t>
            </w:r>
            <w:bookmarkEnd w:id="586"/>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87" w:name="_Toc11511"/>
            <w:r>
              <w:rPr>
                <w:rFonts w:hint="eastAsia"/>
                <w:b w:val="0"/>
                <w:bCs w:val="0"/>
                <w:color w:val="000000" w:themeColor="text1"/>
                <w:sz w:val="21"/>
                <w:szCs w:val="21"/>
                <w:vertAlign w:val="baseline"/>
                <w:lang w:val="en-US" w:eastAsia="zh-CN"/>
              </w:rPr>
              <w:t>/</w:t>
            </w:r>
            <w:bookmarkEnd w:id="58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88" w:name="_Toc28062"/>
            <w:r>
              <w:rPr>
                <w:rFonts w:hint="eastAsia"/>
                <w:b w:val="0"/>
                <w:bCs w:val="0"/>
                <w:color w:val="000000" w:themeColor="text1"/>
                <w:sz w:val="21"/>
                <w:szCs w:val="21"/>
                <w:vertAlign w:val="baseline"/>
                <w:lang w:val="en-US" w:eastAsia="zh-CN"/>
              </w:rPr>
              <w:t>/</w:t>
            </w:r>
            <w:bookmarkEnd w:id="58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钠（</w:t>
            </w:r>
            <w:r>
              <w:rPr>
                <w:rFonts w:hint="default" w:ascii="Times New Roman" w:hAnsi="Times New Roman" w:cs="Times New Roman"/>
                <w:b w:val="0"/>
                <w:bCs w:val="0"/>
                <w:color w:val="000000" w:themeColor="text1"/>
                <w:sz w:val="21"/>
                <w:szCs w:val="21"/>
                <w:highlight w:val="none"/>
              </w:rPr>
              <w:t>Na</w:t>
            </w:r>
            <w:r>
              <w:rPr>
                <w:rFonts w:hint="default" w:ascii="Times New Roman" w:hAnsi="Times New Roman" w:cs="Times New Roman"/>
                <w:b w:val="0"/>
                <w:bCs w:val="0"/>
                <w:color w:val="000000" w:themeColor="text1"/>
                <w:sz w:val="21"/>
                <w:szCs w:val="21"/>
                <w:highlight w:val="none"/>
                <w:vertAlign w:val="superscript"/>
              </w:rPr>
              <w:t>+</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9.13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89" w:name="_Toc14158"/>
            <w:r>
              <w:rPr>
                <w:rFonts w:hint="eastAsia"/>
                <w:b w:val="0"/>
                <w:bCs w:val="0"/>
                <w:color w:val="000000" w:themeColor="text1"/>
                <w:sz w:val="21"/>
                <w:szCs w:val="21"/>
                <w:vertAlign w:val="baseline"/>
                <w:lang w:val="en-US" w:eastAsia="zh-CN"/>
              </w:rPr>
              <w:t>200</w:t>
            </w:r>
            <w:bookmarkEnd w:id="589"/>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90" w:name="_Toc26303"/>
            <w:r>
              <w:rPr>
                <w:rFonts w:hint="eastAsia"/>
                <w:b w:val="0"/>
                <w:bCs w:val="0"/>
                <w:color w:val="000000" w:themeColor="text1"/>
                <w:sz w:val="21"/>
                <w:szCs w:val="21"/>
                <w:vertAlign w:val="baseline"/>
                <w:lang w:val="en-US" w:eastAsia="zh-CN"/>
              </w:rPr>
              <w:t>0.05</w:t>
            </w:r>
            <w:bookmarkEnd w:id="59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91" w:name="_Toc25755"/>
            <w:r>
              <w:rPr>
                <w:rFonts w:hint="eastAsia"/>
                <w:b w:val="0"/>
                <w:bCs w:val="0"/>
                <w:color w:val="000000" w:themeColor="text1"/>
                <w:sz w:val="21"/>
                <w:szCs w:val="21"/>
                <w:vertAlign w:val="baseline"/>
                <w:lang w:val="en-US" w:eastAsia="zh-CN"/>
              </w:rPr>
              <w:t>达标</w:t>
            </w:r>
            <w:bookmarkEnd w:id="59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钙（</w:t>
            </w:r>
            <w:r>
              <w:rPr>
                <w:rFonts w:hint="default" w:ascii="Times New Roman" w:hAnsi="Times New Roman" w:cs="Times New Roman"/>
                <w:b w:val="0"/>
                <w:bCs w:val="0"/>
                <w:color w:val="000000" w:themeColor="text1"/>
                <w:sz w:val="21"/>
                <w:szCs w:val="21"/>
                <w:highlight w:val="none"/>
              </w:rPr>
              <w:t>Ca</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121</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92" w:name="_Toc29038"/>
            <w:r>
              <w:rPr>
                <w:rFonts w:hint="eastAsia"/>
                <w:b w:val="0"/>
                <w:bCs w:val="0"/>
                <w:color w:val="000000" w:themeColor="text1"/>
                <w:sz w:val="21"/>
                <w:szCs w:val="21"/>
                <w:vertAlign w:val="baseline"/>
                <w:lang w:val="en-US" w:eastAsia="zh-CN"/>
              </w:rPr>
              <w:t>/</w:t>
            </w:r>
            <w:bookmarkEnd w:id="592"/>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93" w:name="_Toc30449"/>
            <w:r>
              <w:rPr>
                <w:rFonts w:hint="eastAsia"/>
                <w:b w:val="0"/>
                <w:bCs w:val="0"/>
                <w:color w:val="000000" w:themeColor="text1"/>
                <w:sz w:val="21"/>
                <w:szCs w:val="21"/>
                <w:vertAlign w:val="baseline"/>
                <w:lang w:val="en-US" w:eastAsia="zh-CN"/>
              </w:rPr>
              <w:t>/</w:t>
            </w:r>
            <w:bookmarkEnd w:id="59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94" w:name="_Toc25824"/>
            <w:r>
              <w:rPr>
                <w:rFonts w:hint="eastAsia"/>
                <w:b w:val="0"/>
                <w:bCs w:val="0"/>
                <w:color w:val="000000" w:themeColor="text1"/>
                <w:sz w:val="21"/>
                <w:szCs w:val="21"/>
                <w:vertAlign w:val="baseline"/>
                <w:lang w:val="en-US" w:eastAsia="zh-CN"/>
              </w:rPr>
              <w:t>/</w:t>
            </w:r>
            <w:bookmarkEnd w:id="59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镁（</w:t>
            </w:r>
            <w:r>
              <w:rPr>
                <w:rFonts w:hint="default" w:ascii="Times New Roman" w:hAnsi="Times New Roman" w:cs="Times New Roman"/>
                <w:b w:val="0"/>
                <w:bCs w:val="0"/>
                <w:color w:val="000000" w:themeColor="text1"/>
                <w:sz w:val="21"/>
                <w:szCs w:val="21"/>
                <w:highlight w:val="none"/>
              </w:rPr>
              <w:t>Mg</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4.80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95" w:name="_Toc22623"/>
            <w:r>
              <w:rPr>
                <w:rFonts w:hint="eastAsia"/>
                <w:b w:val="0"/>
                <w:bCs w:val="0"/>
                <w:color w:val="000000" w:themeColor="text1"/>
                <w:sz w:val="21"/>
                <w:szCs w:val="21"/>
                <w:vertAlign w:val="baseline"/>
                <w:lang w:val="en-US" w:eastAsia="zh-CN"/>
              </w:rPr>
              <w:t>/</w:t>
            </w:r>
            <w:bookmarkEnd w:id="595"/>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96" w:name="_Toc23531"/>
            <w:r>
              <w:rPr>
                <w:rFonts w:hint="eastAsia"/>
                <w:b w:val="0"/>
                <w:bCs w:val="0"/>
                <w:color w:val="000000" w:themeColor="text1"/>
                <w:sz w:val="21"/>
                <w:szCs w:val="21"/>
                <w:vertAlign w:val="baseline"/>
                <w:lang w:val="en-US" w:eastAsia="zh-CN"/>
              </w:rPr>
              <w:t>/</w:t>
            </w:r>
            <w:bookmarkEnd w:id="596"/>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97" w:name="_Toc13659"/>
            <w:r>
              <w:rPr>
                <w:rFonts w:hint="eastAsia"/>
                <w:b w:val="0"/>
                <w:bCs w:val="0"/>
                <w:color w:val="000000" w:themeColor="text1"/>
                <w:sz w:val="21"/>
                <w:szCs w:val="21"/>
                <w:vertAlign w:val="baseline"/>
                <w:lang w:val="en-US" w:eastAsia="zh-CN"/>
              </w:rPr>
              <w:t>/</w:t>
            </w:r>
            <w:bookmarkEnd w:id="59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砷</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598" w:name="_Toc16961"/>
            <w:r>
              <w:rPr>
                <w:rFonts w:hint="eastAsia"/>
                <w:b w:val="0"/>
                <w:bCs w:val="0"/>
                <w:color w:val="000000" w:themeColor="text1"/>
                <w:sz w:val="21"/>
                <w:szCs w:val="21"/>
                <w:vertAlign w:val="baseline"/>
                <w:lang w:val="en-US" w:eastAsia="zh-CN"/>
              </w:rPr>
              <w:t>0.01</w:t>
            </w:r>
            <w:bookmarkEnd w:id="598"/>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599" w:name="_Toc16279"/>
            <w:r>
              <w:rPr>
                <w:rFonts w:hint="eastAsia"/>
                <w:b w:val="0"/>
                <w:bCs w:val="0"/>
                <w:color w:val="000000" w:themeColor="text1"/>
                <w:sz w:val="21"/>
                <w:szCs w:val="21"/>
                <w:vertAlign w:val="baseline"/>
                <w:lang w:val="en-US" w:eastAsia="zh-CN"/>
              </w:rPr>
              <w:t>0</w:t>
            </w:r>
            <w:bookmarkEnd w:id="59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0" w:name="_Toc19568"/>
            <w:r>
              <w:rPr>
                <w:rFonts w:hint="eastAsia"/>
                <w:b w:val="0"/>
                <w:bCs w:val="0"/>
                <w:color w:val="000000" w:themeColor="text1"/>
                <w:sz w:val="21"/>
                <w:szCs w:val="21"/>
                <w:vertAlign w:val="baseline"/>
                <w:lang w:val="en-US" w:eastAsia="zh-CN"/>
              </w:rPr>
              <w:t>达标</w:t>
            </w:r>
            <w:bookmarkEnd w:id="60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汞</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1" w:name="_Toc1160"/>
            <w:r>
              <w:rPr>
                <w:rFonts w:hint="eastAsia"/>
                <w:b w:val="0"/>
                <w:bCs w:val="0"/>
                <w:color w:val="000000" w:themeColor="text1"/>
                <w:sz w:val="21"/>
                <w:szCs w:val="21"/>
                <w:vertAlign w:val="baseline"/>
                <w:lang w:val="en-US" w:eastAsia="zh-CN"/>
              </w:rPr>
              <w:t>0.001</w:t>
            </w:r>
            <w:bookmarkEnd w:id="601"/>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02" w:name="_Toc14535"/>
            <w:r>
              <w:rPr>
                <w:rFonts w:hint="eastAsia"/>
                <w:b w:val="0"/>
                <w:bCs w:val="0"/>
                <w:color w:val="000000" w:themeColor="text1"/>
                <w:sz w:val="21"/>
                <w:szCs w:val="21"/>
                <w:vertAlign w:val="baseline"/>
                <w:lang w:val="en-US" w:eastAsia="zh-CN"/>
              </w:rPr>
              <w:t>0</w:t>
            </w:r>
            <w:bookmarkEnd w:id="60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3" w:name="_Toc23848"/>
            <w:r>
              <w:rPr>
                <w:rFonts w:hint="eastAsia"/>
                <w:b w:val="0"/>
                <w:bCs w:val="0"/>
                <w:color w:val="000000" w:themeColor="text1"/>
                <w:sz w:val="21"/>
                <w:szCs w:val="21"/>
                <w:vertAlign w:val="baseline"/>
                <w:lang w:val="en-US" w:eastAsia="zh-CN"/>
              </w:rPr>
              <w:t>达标</w:t>
            </w:r>
            <w:bookmarkEnd w:id="6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铅</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4" w:name="_Toc26777"/>
            <w:r>
              <w:rPr>
                <w:rFonts w:hint="eastAsia"/>
                <w:b w:val="0"/>
                <w:bCs w:val="0"/>
                <w:color w:val="000000" w:themeColor="text1"/>
                <w:sz w:val="21"/>
                <w:szCs w:val="21"/>
                <w:vertAlign w:val="baseline"/>
                <w:lang w:val="en-US" w:eastAsia="zh-CN"/>
              </w:rPr>
              <w:t>0.01</w:t>
            </w:r>
            <w:bookmarkEnd w:id="60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05" w:name="_Toc26808"/>
            <w:r>
              <w:rPr>
                <w:rFonts w:hint="eastAsia"/>
                <w:b w:val="0"/>
                <w:bCs w:val="0"/>
                <w:color w:val="000000" w:themeColor="text1"/>
                <w:sz w:val="21"/>
                <w:szCs w:val="21"/>
                <w:vertAlign w:val="baseline"/>
                <w:lang w:val="en-US" w:eastAsia="zh-CN"/>
              </w:rPr>
              <w:t>0</w:t>
            </w:r>
            <w:bookmarkEnd w:id="605"/>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6" w:name="_Toc7290"/>
            <w:r>
              <w:rPr>
                <w:rFonts w:hint="eastAsia"/>
                <w:b w:val="0"/>
                <w:bCs w:val="0"/>
                <w:color w:val="000000" w:themeColor="text1"/>
                <w:sz w:val="21"/>
                <w:szCs w:val="21"/>
                <w:vertAlign w:val="baseline"/>
                <w:lang w:val="en-US" w:eastAsia="zh-CN"/>
              </w:rPr>
              <w:t>达标</w:t>
            </w:r>
            <w:bookmarkEnd w:id="60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镉</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7" w:name="_Toc21125"/>
            <w:r>
              <w:rPr>
                <w:rFonts w:hint="eastAsia"/>
                <w:b w:val="0"/>
                <w:bCs w:val="0"/>
                <w:color w:val="000000" w:themeColor="text1"/>
                <w:sz w:val="21"/>
                <w:szCs w:val="21"/>
                <w:vertAlign w:val="baseline"/>
                <w:lang w:val="en-US" w:eastAsia="zh-CN"/>
              </w:rPr>
              <w:t>0.005</w:t>
            </w:r>
            <w:bookmarkEnd w:id="607"/>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08" w:name="_Toc13151"/>
            <w:r>
              <w:rPr>
                <w:rFonts w:hint="eastAsia"/>
                <w:b w:val="0"/>
                <w:bCs w:val="0"/>
                <w:color w:val="000000" w:themeColor="text1"/>
                <w:sz w:val="21"/>
                <w:szCs w:val="21"/>
                <w:vertAlign w:val="baseline"/>
                <w:lang w:val="en-US" w:eastAsia="zh-CN"/>
              </w:rPr>
              <w:t>0</w:t>
            </w:r>
            <w:bookmarkEnd w:id="608"/>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09" w:name="_Toc25354"/>
            <w:r>
              <w:rPr>
                <w:rFonts w:hint="eastAsia"/>
                <w:b w:val="0"/>
                <w:bCs w:val="0"/>
                <w:color w:val="000000" w:themeColor="text1"/>
                <w:sz w:val="21"/>
                <w:szCs w:val="21"/>
                <w:vertAlign w:val="baseline"/>
                <w:lang w:val="en-US" w:eastAsia="zh-CN"/>
              </w:rPr>
              <w:t>达标</w:t>
            </w:r>
            <w:bookmarkEnd w:id="60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铁</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0" w:name="_Toc3024"/>
            <w:r>
              <w:rPr>
                <w:rFonts w:hint="eastAsia"/>
                <w:b w:val="0"/>
                <w:bCs w:val="0"/>
                <w:color w:val="000000" w:themeColor="text1"/>
                <w:sz w:val="21"/>
                <w:szCs w:val="21"/>
                <w:vertAlign w:val="baseline"/>
                <w:lang w:val="en-US" w:eastAsia="zh-CN"/>
              </w:rPr>
              <w:t>0.3</w:t>
            </w:r>
            <w:bookmarkEnd w:id="610"/>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11" w:name="_Toc7902"/>
            <w:r>
              <w:rPr>
                <w:rFonts w:hint="eastAsia"/>
                <w:b w:val="0"/>
                <w:bCs w:val="0"/>
                <w:color w:val="000000" w:themeColor="text1"/>
                <w:sz w:val="21"/>
                <w:szCs w:val="21"/>
                <w:vertAlign w:val="baseline"/>
                <w:lang w:val="en-US" w:eastAsia="zh-CN"/>
              </w:rPr>
              <w:t>0</w:t>
            </w:r>
            <w:bookmarkEnd w:id="611"/>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2" w:name="_Toc24453"/>
            <w:r>
              <w:rPr>
                <w:rFonts w:hint="eastAsia"/>
                <w:b w:val="0"/>
                <w:bCs w:val="0"/>
                <w:color w:val="000000" w:themeColor="text1"/>
                <w:sz w:val="21"/>
                <w:szCs w:val="21"/>
                <w:vertAlign w:val="baseline"/>
                <w:lang w:val="en-US" w:eastAsia="zh-CN"/>
              </w:rPr>
              <w:t>达标</w:t>
            </w:r>
            <w:bookmarkEnd w:id="61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3" w:name="_Toc2636"/>
            <w:r>
              <w:rPr>
                <w:rFonts w:hint="eastAsia"/>
                <w:b w:val="0"/>
                <w:bCs w:val="0"/>
                <w:color w:val="000000" w:themeColor="text1"/>
                <w:sz w:val="21"/>
                <w:szCs w:val="21"/>
                <w:vertAlign w:val="baseline"/>
                <w:lang w:val="en-US" w:eastAsia="zh-CN"/>
              </w:rPr>
              <w:t>0.10</w:t>
            </w:r>
            <w:bookmarkEnd w:id="613"/>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14" w:name="_Toc29998"/>
            <w:r>
              <w:rPr>
                <w:rFonts w:hint="eastAsia"/>
                <w:b w:val="0"/>
                <w:bCs w:val="0"/>
                <w:color w:val="000000" w:themeColor="text1"/>
                <w:sz w:val="21"/>
                <w:szCs w:val="21"/>
                <w:vertAlign w:val="baseline"/>
                <w:lang w:val="en-US" w:eastAsia="zh-CN"/>
              </w:rPr>
              <w:t>0</w:t>
            </w:r>
            <w:bookmarkEnd w:id="614"/>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5" w:name="_Toc7828"/>
            <w:r>
              <w:rPr>
                <w:rFonts w:hint="eastAsia"/>
                <w:b w:val="0"/>
                <w:bCs w:val="0"/>
                <w:color w:val="000000" w:themeColor="text1"/>
                <w:sz w:val="21"/>
                <w:szCs w:val="21"/>
                <w:vertAlign w:val="baseline"/>
                <w:lang w:val="en-US" w:eastAsia="zh-CN"/>
              </w:rPr>
              <w:t>达标</w:t>
            </w:r>
            <w:bookmarkEnd w:id="61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6" w:name="_Toc8500"/>
            <w:r>
              <w:rPr>
                <w:rFonts w:hint="eastAsia"/>
                <w:b w:val="0"/>
                <w:bCs w:val="0"/>
                <w:color w:val="000000" w:themeColor="text1"/>
                <w:sz w:val="21"/>
                <w:szCs w:val="21"/>
                <w:vertAlign w:val="baseline"/>
                <w:lang w:val="en-US" w:eastAsia="zh-CN"/>
              </w:rPr>
              <w:t>/</w:t>
            </w:r>
            <w:bookmarkEnd w:id="616"/>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17" w:name="_Toc9746"/>
            <w:r>
              <w:rPr>
                <w:rFonts w:hint="eastAsia"/>
                <w:b w:val="0"/>
                <w:bCs w:val="0"/>
                <w:color w:val="000000" w:themeColor="text1"/>
                <w:sz w:val="21"/>
                <w:szCs w:val="21"/>
                <w:vertAlign w:val="baseline"/>
                <w:lang w:val="en-US" w:eastAsia="zh-CN"/>
              </w:rPr>
              <w:t>/</w:t>
            </w:r>
            <w:bookmarkEnd w:id="61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8" w:name="_Toc5548"/>
            <w:r>
              <w:rPr>
                <w:rFonts w:hint="eastAsia"/>
                <w:b w:val="0"/>
                <w:bCs w:val="0"/>
                <w:color w:val="000000" w:themeColor="text1"/>
                <w:sz w:val="21"/>
                <w:szCs w:val="21"/>
                <w:vertAlign w:val="baseline"/>
                <w:lang w:val="en-US" w:eastAsia="zh-CN"/>
              </w:rPr>
              <w:t>/</w:t>
            </w:r>
            <w:bookmarkEnd w:id="61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重碳酸根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409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19" w:name="_Toc7919"/>
            <w:r>
              <w:rPr>
                <w:rFonts w:hint="eastAsia"/>
                <w:b w:val="0"/>
                <w:bCs w:val="0"/>
                <w:color w:val="000000" w:themeColor="text1"/>
                <w:sz w:val="21"/>
                <w:szCs w:val="21"/>
                <w:vertAlign w:val="baseline"/>
                <w:lang w:val="en-US" w:eastAsia="zh-CN"/>
              </w:rPr>
              <w:t>/</w:t>
            </w:r>
            <w:bookmarkEnd w:id="619"/>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20" w:name="_Toc17122"/>
            <w:r>
              <w:rPr>
                <w:rFonts w:hint="eastAsia"/>
                <w:b w:val="0"/>
                <w:bCs w:val="0"/>
                <w:color w:val="000000" w:themeColor="text1"/>
                <w:sz w:val="21"/>
                <w:szCs w:val="21"/>
                <w:vertAlign w:val="baseline"/>
                <w:lang w:val="en-US" w:eastAsia="zh-CN"/>
              </w:rPr>
              <w:t>/</w:t>
            </w:r>
            <w:bookmarkEnd w:id="62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21" w:name="_Toc5"/>
            <w:r>
              <w:rPr>
                <w:rFonts w:hint="eastAsia"/>
                <w:b w:val="0"/>
                <w:bCs w:val="0"/>
                <w:color w:val="000000" w:themeColor="text1"/>
                <w:sz w:val="21"/>
                <w:szCs w:val="21"/>
                <w:vertAlign w:val="baseline"/>
                <w:lang w:val="en-US" w:eastAsia="zh-CN"/>
              </w:rPr>
              <w:t>/</w:t>
            </w:r>
            <w:bookmarkEnd w:id="62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总硬度</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420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22" w:name="_Toc23059"/>
            <w:r>
              <w:rPr>
                <w:rFonts w:hint="eastAsia"/>
                <w:b w:val="0"/>
                <w:bCs w:val="0"/>
                <w:color w:val="000000" w:themeColor="text1"/>
                <w:sz w:val="21"/>
                <w:szCs w:val="21"/>
                <w:vertAlign w:val="baseline"/>
                <w:lang w:val="en-US" w:eastAsia="zh-CN"/>
              </w:rPr>
              <w:t>450</w:t>
            </w:r>
            <w:bookmarkEnd w:id="622"/>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23" w:name="_Toc376"/>
            <w:r>
              <w:rPr>
                <w:rFonts w:hint="eastAsia"/>
                <w:b w:val="0"/>
                <w:bCs w:val="0"/>
                <w:color w:val="000000" w:themeColor="text1"/>
                <w:sz w:val="21"/>
                <w:szCs w:val="21"/>
                <w:vertAlign w:val="baseline"/>
                <w:lang w:val="en-US" w:eastAsia="zh-CN"/>
              </w:rPr>
              <w:t>0.93</w:t>
            </w:r>
            <w:bookmarkEnd w:id="62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24" w:name="_Toc24446"/>
            <w:r>
              <w:rPr>
                <w:rFonts w:hint="eastAsia"/>
                <w:b w:val="0"/>
                <w:bCs w:val="0"/>
                <w:color w:val="000000" w:themeColor="text1"/>
                <w:sz w:val="21"/>
                <w:szCs w:val="21"/>
                <w:vertAlign w:val="baseline"/>
                <w:lang w:val="en-US" w:eastAsia="zh-CN"/>
              </w:rPr>
              <w:t>达标</w:t>
            </w:r>
            <w:bookmarkEnd w:id="62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氨氮</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25" w:name="_Toc9023"/>
            <w:r>
              <w:rPr>
                <w:rFonts w:hint="eastAsia"/>
                <w:b w:val="0"/>
                <w:bCs w:val="0"/>
                <w:color w:val="000000" w:themeColor="text1"/>
                <w:sz w:val="21"/>
                <w:szCs w:val="21"/>
                <w:vertAlign w:val="baseline"/>
                <w:lang w:val="en-US" w:eastAsia="zh-CN"/>
              </w:rPr>
              <w:t>0.50</w:t>
            </w:r>
            <w:bookmarkEnd w:id="625"/>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26" w:name="_Toc28464"/>
            <w:r>
              <w:rPr>
                <w:rFonts w:hint="eastAsia"/>
                <w:b w:val="0"/>
                <w:bCs w:val="0"/>
                <w:color w:val="000000" w:themeColor="text1"/>
                <w:sz w:val="21"/>
                <w:szCs w:val="21"/>
                <w:vertAlign w:val="baseline"/>
                <w:lang w:val="en-US" w:eastAsia="zh-CN"/>
              </w:rPr>
              <w:t>0</w:t>
            </w:r>
            <w:bookmarkEnd w:id="62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27" w:name="_Toc29619"/>
            <w:r>
              <w:rPr>
                <w:rFonts w:hint="eastAsia"/>
                <w:b w:val="0"/>
                <w:bCs w:val="0"/>
                <w:color w:val="000000" w:themeColor="text1"/>
                <w:sz w:val="21"/>
                <w:szCs w:val="21"/>
                <w:vertAlign w:val="baseline"/>
                <w:lang w:val="en-US" w:eastAsia="zh-CN"/>
              </w:rPr>
              <w:t>达标</w:t>
            </w:r>
            <w:bookmarkEnd w:id="62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氰化物</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28" w:name="_Toc25428"/>
            <w:r>
              <w:rPr>
                <w:rFonts w:hint="eastAsia"/>
                <w:b w:val="0"/>
                <w:bCs w:val="0"/>
                <w:color w:val="000000" w:themeColor="text1"/>
                <w:sz w:val="21"/>
                <w:szCs w:val="21"/>
                <w:vertAlign w:val="baseline"/>
                <w:lang w:val="en-US" w:eastAsia="zh-CN"/>
              </w:rPr>
              <w:t>0.05</w:t>
            </w:r>
            <w:bookmarkEnd w:id="628"/>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29" w:name="_Toc14951"/>
            <w:r>
              <w:rPr>
                <w:rFonts w:hint="eastAsia"/>
                <w:b w:val="0"/>
                <w:bCs w:val="0"/>
                <w:color w:val="000000" w:themeColor="text1"/>
                <w:sz w:val="21"/>
                <w:szCs w:val="21"/>
                <w:vertAlign w:val="baseline"/>
                <w:lang w:val="en-US" w:eastAsia="zh-CN"/>
              </w:rPr>
              <w:t>0</w:t>
            </w:r>
            <w:bookmarkEnd w:id="62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0" w:name="_Toc11002"/>
            <w:r>
              <w:rPr>
                <w:rFonts w:hint="eastAsia"/>
                <w:b w:val="0"/>
                <w:bCs w:val="0"/>
                <w:color w:val="000000" w:themeColor="text1"/>
                <w:sz w:val="21"/>
                <w:szCs w:val="21"/>
                <w:vertAlign w:val="baseline"/>
                <w:lang w:val="en-US" w:eastAsia="zh-CN"/>
              </w:rPr>
              <w:t>达标</w:t>
            </w:r>
            <w:bookmarkEnd w:id="63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挥发酚</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1" w:name="_Toc202"/>
            <w:r>
              <w:rPr>
                <w:rFonts w:hint="eastAsia"/>
                <w:b w:val="0"/>
                <w:bCs w:val="0"/>
                <w:color w:val="000000" w:themeColor="text1"/>
                <w:sz w:val="21"/>
                <w:szCs w:val="21"/>
                <w:vertAlign w:val="baseline"/>
                <w:lang w:val="en-US" w:eastAsia="zh-CN"/>
              </w:rPr>
              <w:t>0.002</w:t>
            </w:r>
            <w:bookmarkEnd w:id="631"/>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32" w:name="_Toc11762"/>
            <w:r>
              <w:rPr>
                <w:rFonts w:hint="eastAsia"/>
                <w:b w:val="0"/>
                <w:bCs w:val="0"/>
                <w:color w:val="000000" w:themeColor="text1"/>
                <w:sz w:val="21"/>
                <w:szCs w:val="21"/>
                <w:vertAlign w:val="baseline"/>
                <w:lang w:val="en-US" w:eastAsia="zh-CN"/>
              </w:rPr>
              <w:t>0</w:t>
            </w:r>
            <w:bookmarkEnd w:id="63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3" w:name="_Toc27424"/>
            <w:r>
              <w:rPr>
                <w:rFonts w:hint="eastAsia"/>
                <w:b w:val="0"/>
                <w:bCs w:val="0"/>
                <w:color w:val="000000" w:themeColor="text1"/>
                <w:sz w:val="21"/>
                <w:szCs w:val="21"/>
                <w:vertAlign w:val="baseline"/>
                <w:lang w:val="en-US" w:eastAsia="zh-CN"/>
              </w:rPr>
              <w:t>达标</w:t>
            </w:r>
            <w:bookmarkEnd w:id="63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六价铬</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4" w:name="_Toc13401"/>
            <w:r>
              <w:rPr>
                <w:rFonts w:hint="eastAsia"/>
                <w:b w:val="0"/>
                <w:bCs w:val="0"/>
                <w:color w:val="000000" w:themeColor="text1"/>
                <w:sz w:val="21"/>
                <w:szCs w:val="21"/>
                <w:vertAlign w:val="baseline"/>
                <w:lang w:val="en-US" w:eastAsia="zh-CN"/>
              </w:rPr>
              <w:t>0.05</w:t>
            </w:r>
            <w:bookmarkEnd w:id="634"/>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35" w:name="_Toc10834"/>
            <w:r>
              <w:rPr>
                <w:rFonts w:hint="eastAsia"/>
                <w:b w:val="0"/>
                <w:bCs w:val="0"/>
                <w:color w:val="000000" w:themeColor="text1"/>
                <w:sz w:val="21"/>
                <w:szCs w:val="21"/>
                <w:vertAlign w:val="baseline"/>
                <w:lang w:val="en-US" w:eastAsia="zh-CN"/>
              </w:rPr>
              <w:t>0</w:t>
            </w:r>
            <w:bookmarkEnd w:id="635"/>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6" w:name="_Toc6060"/>
            <w:r>
              <w:rPr>
                <w:rFonts w:hint="eastAsia"/>
                <w:b w:val="0"/>
                <w:bCs w:val="0"/>
                <w:color w:val="000000" w:themeColor="text1"/>
                <w:sz w:val="21"/>
                <w:szCs w:val="21"/>
                <w:vertAlign w:val="baseline"/>
                <w:lang w:val="en-US" w:eastAsia="zh-CN"/>
              </w:rPr>
              <w:t>达标</w:t>
            </w:r>
            <w:bookmarkEnd w:id="63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亚硝酸盐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7" w:name="_Toc21821"/>
            <w:r>
              <w:rPr>
                <w:rFonts w:hint="eastAsia"/>
                <w:b w:val="0"/>
                <w:bCs w:val="0"/>
                <w:color w:val="000000" w:themeColor="text1"/>
                <w:sz w:val="21"/>
                <w:szCs w:val="21"/>
                <w:vertAlign w:val="baseline"/>
                <w:lang w:val="en-US" w:eastAsia="zh-CN"/>
              </w:rPr>
              <w:t>1.00</w:t>
            </w:r>
            <w:bookmarkEnd w:id="637"/>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38" w:name="_Toc29025"/>
            <w:r>
              <w:rPr>
                <w:rFonts w:hint="eastAsia"/>
                <w:b w:val="0"/>
                <w:bCs w:val="0"/>
                <w:color w:val="000000" w:themeColor="text1"/>
                <w:sz w:val="21"/>
                <w:szCs w:val="21"/>
                <w:vertAlign w:val="baseline"/>
                <w:lang w:val="en-US" w:eastAsia="zh-CN"/>
              </w:rPr>
              <w:t>0</w:t>
            </w:r>
            <w:bookmarkEnd w:id="638"/>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39" w:name="_Toc11615"/>
            <w:r>
              <w:rPr>
                <w:rFonts w:hint="eastAsia"/>
                <w:b w:val="0"/>
                <w:bCs w:val="0"/>
                <w:color w:val="000000" w:themeColor="text1"/>
                <w:sz w:val="21"/>
                <w:szCs w:val="21"/>
                <w:vertAlign w:val="baseline"/>
                <w:lang w:val="en-US" w:eastAsia="zh-CN"/>
              </w:rPr>
              <w:t>达标</w:t>
            </w:r>
            <w:bookmarkEnd w:id="6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溶解性总固体</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407</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0" w:name="_Toc23379"/>
            <w:r>
              <w:rPr>
                <w:rFonts w:hint="eastAsia"/>
                <w:b w:val="0"/>
                <w:bCs w:val="0"/>
                <w:color w:val="000000" w:themeColor="text1"/>
                <w:sz w:val="21"/>
                <w:szCs w:val="21"/>
                <w:vertAlign w:val="baseline"/>
                <w:lang w:val="en-US" w:eastAsia="zh-CN"/>
              </w:rPr>
              <w:t>1000</w:t>
            </w:r>
            <w:bookmarkEnd w:id="640"/>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41" w:name="_Toc12829"/>
            <w:r>
              <w:rPr>
                <w:rFonts w:hint="eastAsia"/>
                <w:b w:val="0"/>
                <w:bCs w:val="0"/>
                <w:color w:val="000000" w:themeColor="text1"/>
                <w:sz w:val="21"/>
                <w:szCs w:val="21"/>
                <w:vertAlign w:val="baseline"/>
                <w:lang w:val="en-US" w:eastAsia="zh-CN"/>
              </w:rPr>
              <w:t>0.41</w:t>
            </w:r>
            <w:bookmarkEnd w:id="64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2" w:name="_Toc14468"/>
            <w:r>
              <w:rPr>
                <w:rFonts w:hint="eastAsia"/>
                <w:b w:val="0"/>
                <w:bCs w:val="0"/>
                <w:color w:val="000000" w:themeColor="text1"/>
                <w:sz w:val="21"/>
                <w:szCs w:val="21"/>
                <w:vertAlign w:val="baseline"/>
                <w:lang w:val="en-US" w:eastAsia="zh-CN"/>
              </w:rPr>
              <w:t>达标</w:t>
            </w:r>
            <w:bookmarkEnd w:id="64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氟</w:t>
            </w:r>
            <w:r>
              <w:rPr>
                <w:rFonts w:hint="default" w:ascii="Times New Roman" w:hAnsi="Times New Roman" w:cs="Times New Roman"/>
                <w:b w:val="0"/>
                <w:bCs w:val="0"/>
                <w:color w:val="000000" w:themeColor="text1"/>
                <w:sz w:val="21"/>
                <w:szCs w:val="21"/>
                <w:highlight w:val="none"/>
                <w:lang w:val="en-US" w:eastAsia="zh-CN"/>
              </w:rPr>
              <w:t>化物（F</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0.576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3" w:name="_Toc16109"/>
            <w:r>
              <w:rPr>
                <w:rFonts w:hint="eastAsia"/>
                <w:b w:val="0"/>
                <w:bCs w:val="0"/>
                <w:color w:val="000000" w:themeColor="text1"/>
                <w:sz w:val="21"/>
                <w:szCs w:val="21"/>
                <w:vertAlign w:val="baseline"/>
                <w:lang w:val="en-US" w:eastAsia="zh-CN"/>
              </w:rPr>
              <w:t>1.0</w:t>
            </w:r>
            <w:bookmarkEnd w:id="643"/>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44" w:name="_Toc28934"/>
            <w:r>
              <w:rPr>
                <w:rFonts w:hint="eastAsia"/>
                <w:b w:val="0"/>
                <w:bCs w:val="0"/>
                <w:color w:val="000000" w:themeColor="text1"/>
                <w:sz w:val="21"/>
                <w:szCs w:val="21"/>
                <w:vertAlign w:val="baseline"/>
                <w:lang w:val="en-US" w:eastAsia="zh-CN"/>
              </w:rPr>
              <w:t>0.58</w:t>
            </w:r>
            <w:bookmarkEnd w:id="64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5" w:name="_Toc5167"/>
            <w:r>
              <w:rPr>
                <w:rFonts w:hint="eastAsia"/>
                <w:b w:val="0"/>
                <w:bCs w:val="0"/>
                <w:color w:val="000000" w:themeColor="text1"/>
                <w:sz w:val="21"/>
                <w:szCs w:val="21"/>
                <w:vertAlign w:val="baseline"/>
                <w:lang w:val="en-US" w:eastAsia="zh-CN"/>
              </w:rPr>
              <w:t>达标</w:t>
            </w:r>
            <w:bookmarkEnd w:id="64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highlight w:val="none"/>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8.42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6" w:name="_Toc8710"/>
            <w:r>
              <w:rPr>
                <w:rFonts w:hint="eastAsia"/>
                <w:b w:val="0"/>
                <w:bCs w:val="0"/>
                <w:color w:val="000000" w:themeColor="text1"/>
                <w:sz w:val="21"/>
                <w:szCs w:val="21"/>
                <w:vertAlign w:val="baseline"/>
                <w:lang w:val="en-US" w:eastAsia="zh-CN"/>
              </w:rPr>
              <w:t>20.0</w:t>
            </w:r>
            <w:bookmarkEnd w:id="646"/>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47" w:name="_Toc26494"/>
            <w:r>
              <w:rPr>
                <w:rFonts w:hint="eastAsia"/>
                <w:b w:val="0"/>
                <w:bCs w:val="0"/>
                <w:color w:val="000000" w:themeColor="text1"/>
                <w:sz w:val="21"/>
                <w:szCs w:val="21"/>
                <w:vertAlign w:val="baseline"/>
                <w:lang w:val="en-US" w:eastAsia="zh-CN"/>
              </w:rPr>
              <w:t>0.42</w:t>
            </w:r>
            <w:bookmarkEnd w:id="64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8" w:name="_Toc2892"/>
            <w:r>
              <w:rPr>
                <w:rFonts w:hint="eastAsia"/>
                <w:b w:val="0"/>
                <w:bCs w:val="0"/>
                <w:color w:val="000000" w:themeColor="text1"/>
                <w:sz w:val="21"/>
                <w:szCs w:val="21"/>
                <w:vertAlign w:val="baseline"/>
                <w:lang w:val="en-US" w:eastAsia="zh-CN"/>
              </w:rPr>
              <w:t>达标</w:t>
            </w:r>
            <w:bookmarkEnd w:id="64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硫酸盐（</w:t>
            </w:r>
            <w:r>
              <w:rPr>
                <w:rFonts w:hint="default" w:ascii="Times New Roman" w:hAnsi="Times New Roman" w:cs="Times New Roman"/>
                <w:b w:val="0"/>
                <w:bCs w:val="0"/>
                <w:color w:val="000000" w:themeColor="text1"/>
                <w:sz w:val="21"/>
                <w:szCs w:val="21"/>
                <w:highlight w:val="none"/>
                <w:lang w:val="en-US" w:eastAsia="zh-CN"/>
              </w:rPr>
              <w:t>SO</w:t>
            </w:r>
            <w:r>
              <w:rPr>
                <w:rFonts w:hint="default" w:ascii="Times New Roman" w:hAnsi="Times New Roman" w:cs="Times New Roman"/>
                <w:b w:val="0"/>
                <w:bCs w:val="0"/>
                <w:color w:val="000000" w:themeColor="text1"/>
                <w:sz w:val="21"/>
                <w:szCs w:val="21"/>
                <w:highlight w:val="none"/>
                <w:vertAlign w:val="subscript"/>
                <w:lang w:val="en-US" w:eastAsia="zh-CN"/>
              </w:rPr>
              <w:t>4</w:t>
            </w:r>
            <w:r>
              <w:rPr>
                <w:rFonts w:hint="default" w:ascii="Times New Roman" w:hAnsi="Times New Roman" w:cs="Times New Roman"/>
                <w:b w:val="0"/>
                <w:bCs w:val="0"/>
                <w:color w:val="000000" w:themeColor="text1"/>
                <w:sz w:val="21"/>
                <w:szCs w:val="21"/>
                <w:highlight w:val="none"/>
                <w:vertAlign w:val="superscript"/>
                <w:lang w:val="en-US" w:eastAsia="zh-CN"/>
              </w:rPr>
              <w:t>2-</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14.3</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49" w:name="_Toc16308"/>
            <w:r>
              <w:rPr>
                <w:rFonts w:hint="eastAsia"/>
                <w:b w:val="0"/>
                <w:bCs w:val="0"/>
                <w:color w:val="000000" w:themeColor="text1"/>
                <w:sz w:val="21"/>
                <w:szCs w:val="21"/>
                <w:vertAlign w:val="baseline"/>
                <w:lang w:val="en-US" w:eastAsia="zh-CN"/>
              </w:rPr>
              <w:t>250</w:t>
            </w:r>
            <w:bookmarkEnd w:id="649"/>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50" w:name="_Toc3506"/>
            <w:r>
              <w:rPr>
                <w:rFonts w:hint="eastAsia"/>
                <w:b w:val="0"/>
                <w:bCs w:val="0"/>
                <w:color w:val="000000" w:themeColor="text1"/>
                <w:sz w:val="21"/>
                <w:szCs w:val="21"/>
                <w:vertAlign w:val="baseline"/>
                <w:lang w:val="en-US" w:eastAsia="zh-CN"/>
              </w:rPr>
              <w:t>0.06</w:t>
            </w:r>
            <w:bookmarkEnd w:id="65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51" w:name="_Toc16900"/>
            <w:r>
              <w:rPr>
                <w:rFonts w:hint="eastAsia"/>
                <w:b w:val="0"/>
                <w:bCs w:val="0"/>
                <w:color w:val="000000" w:themeColor="text1"/>
                <w:sz w:val="21"/>
                <w:szCs w:val="21"/>
                <w:vertAlign w:val="baseline"/>
                <w:lang w:val="en-US" w:eastAsia="zh-CN"/>
              </w:rPr>
              <w:t>达标</w:t>
            </w:r>
            <w:bookmarkEnd w:id="6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氯化物（</w:t>
            </w:r>
            <w:r>
              <w:rPr>
                <w:rFonts w:hint="default" w:ascii="Times New Roman" w:hAnsi="Times New Roman" w:cs="Times New Roman"/>
                <w:b w:val="0"/>
                <w:bCs w:val="0"/>
                <w:color w:val="000000" w:themeColor="text1"/>
                <w:sz w:val="21"/>
                <w:szCs w:val="21"/>
                <w:highlight w:val="none"/>
                <w:lang w:val="en-US" w:eastAsia="zh-CN"/>
              </w:rPr>
              <w:t>Cl</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12.4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52" w:name="_Toc27232"/>
            <w:r>
              <w:rPr>
                <w:rFonts w:hint="eastAsia"/>
                <w:b w:val="0"/>
                <w:bCs w:val="0"/>
                <w:color w:val="000000" w:themeColor="text1"/>
                <w:sz w:val="21"/>
                <w:szCs w:val="21"/>
                <w:vertAlign w:val="baseline"/>
                <w:lang w:val="en-US" w:eastAsia="zh-CN"/>
              </w:rPr>
              <w:t>250</w:t>
            </w:r>
            <w:bookmarkEnd w:id="652"/>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53" w:name="_Toc12492"/>
            <w:r>
              <w:rPr>
                <w:rFonts w:hint="eastAsia"/>
                <w:b w:val="0"/>
                <w:bCs w:val="0"/>
                <w:color w:val="000000" w:themeColor="text1"/>
                <w:sz w:val="21"/>
                <w:szCs w:val="21"/>
                <w:vertAlign w:val="baseline"/>
                <w:lang w:val="en-US" w:eastAsia="zh-CN"/>
              </w:rPr>
              <w:t>0.05</w:t>
            </w:r>
            <w:bookmarkEnd w:id="65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54" w:name="_Toc8704"/>
            <w:r>
              <w:rPr>
                <w:rFonts w:hint="eastAsia"/>
                <w:b w:val="0"/>
                <w:bCs w:val="0"/>
                <w:color w:val="000000" w:themeColor="text1"/>
                <w:sz w:val="21"/>
                <w:szCs w:val="21"/>
                <w:vertAlign w:val="baseline"/>
                <w:lang w:val="en-US" w:eastAsia="zh-CN"/>
              </w:rPr>
              <w:t>达标</w:t>
            </w:r>
            <w:bookmarkEnd w:id="65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w:t>
            </w:r>
            <w:r>
              <w:rPr>
                <w:rFonts w:hint="eastAsia" w:ascii="Times New Roman" w:hAnsi="Times New Roman" w:cs="Times New Roman"/>
                <w:b w:val="0"/>
                <w:bCs w:val="0"/>
                <w:color w:val="000000" w:themeColor="text1"/>
                <w:kern w:val="2"/>
                <w:sz w:val="21"/>
                <w:szCs w:val="21"/>
                <w:highlight w:val="none"/>
                <w:lang w:val="en-US" w:eastAsia="zh-CN" w:bidi="ar-SA"/>
              </w:rPr>
              <w:t>钡</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0.0839</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55" w:name="_Toc31180"/>
            <w:r>
              <w:rPr>
                <w:rFonts w:hint="eastAsia"/>
                <w:b w:val="0"/>
                <w:bCs w:val="0"/>
                <w:color w:val="000000" w:themeColor="text1"/>
                <w:sz w:val="21"/>
                <w:szCs w:val="21"/>
                <w:vertAlign w:val="baseline"/>
                <w:lang w:val="en-US" w:eastAsia="zh-CN"/>
              </w:rPr>
              <w:t>0.70</w:t>
            </w:r>
            <w:bookmarkEnd w:id="655"/>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56" w:name="_Toc8859"/>
            <w:r>
              <w:rPr>
                <w:rFonts w:hint="eastAsia"/>
                <w:b w:val="0"/>
                <w:bCs w:val="0"/>
                <w:color w:val="000000" w:themeColor="text1"/>
                <w:sz w:val="21"/>
                <w:szCs w:val="21"/>
                <w:vertAlign w:val="baseline"/>
                <w:lang w:val="en-US" w:eastAsia="zh-CN"/>
              </w:rPr>
              <w:t>0.12</w:t>
            </w:r>
            <w:bookmarkEnd w:id="656"/>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57" w:name="_Toc16454"/>
            <w:r>
              <w:rPr>
                <w:rFonts w:hint="eastAsia"/>
                <w:b w:val="0"/>
                <w:bCs w:val="0"/>
                <w:color w:val="000000" w:themeColor="text1"/>
                <w:sz w:val="21"/>
                <w:szCs w:val="21"/>
                <w:vertAlign w:val="baseline"/>
                <w:lang w:val="en-US" w:eastAsia="zh-CN"/>
              </w:rPr>
              <w:t>达标</w:t>
            </w:r>
            <w:bookmarkEnd w:id="6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lang w:val="en-US" w:eastAsia="zh-CN"/>
              </w:rPr>
              <w:t>菌落</w:t>
            </w:r>
            <w:r>
              <w:rPr>
                <w:rFonts w:hint="default" w:ascii="Times New Roman" w:hAnsi="Times New Roman" w:cs="Times New Roman"/>
                <w:b w:val="0"/>
                <w:bCs w:val="0"/>
                <w:color w:val="000000" w:themeColor="text1"/>
                <w:sz w:val="21"/>
                <w:szCs w:val="21"/>
              </w:rPr>
              <w:t>总数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highlight w:val="none"/>
                <w:vertAlign w:val="baseline"/>
                <w:lang w:val="en-US" w:eastAsia="zh-CN" w:bidi="ar-SA"/>
              </w:rPr>
              <w:t>CFU/m</w:t>
            </w:r>
            <w:r>
              <w:rPr>
                <w:rFonts w:hint="default" w:ascii="Times New Roman" w:hAnsi="Times New Roman" w:cs="Times New Roman"/>
                <w:b w:val="0"/>
                <w:bCs w:val="0"/>
                <w:color w:val="000000" w:themeColor="text1"/>
                <w:sz w:val="21"/>
                <w:szCs w:val="21"/>
                <w:vertAlign w:val="baseline"/>
                <w:lang w:val="en-US" w:eastAsia="zh-CN"/>
              </w:rPr>
              <w:t>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58" w:name="_Toc25836"/>
            <w:r>
              <w:rPr>
                <w:rFonts w:hint="eastAsia"/>
                <w:b w:val="0"/>
                <w:bCs w:val="0"/>
                <w:color w:val="000000" w:themeColor="text1"/>
                <w:sz w:val="21"/>
                <w:szCs w:val="21"/>
                <w:vertAlign w:val="baseline"/>
                <w:lang w:val="en-US" w:eastAsia="zh-CN"/>
              </w:rPr>
              <w:t>100</w:t>
            </w:r>
            <w:bookmarkEnd w:id="658"/>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59" w:name="_Toc27705"/>
            <w:r>
              <w:rPr>
                <w:rFonts w:hint="eastAsia"/>
                <w:b w:val="0"/>
                <w:bCs w:val="0"/>
                <w:color w:val="000000" w:themeColor="text1"/>
                <w:sz w:val="21"/>
                <w:szCs w:val="21"/>
                <w:vertAlign w:val="baseline"/>
                <w:lang w:val="en-US" w:eastAsia="zh-CN"/>
              </w:rPr>
              <w:t>0.32</w:t>
            </w:r>
            <w:bookmarkEnd w:id="659"/>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0" w:name="_Toc27653"/>
            <w:r>
              <w:rPr>
                <w:rFonts w:hint="eastAsia"/>
                <w:b w:val="0"/>
                <w:bCs w:val="0"/>
                <w:color w:val="000000" w:themeColor="text1"/>
                <w:sz w:val="21"/>
                <w:szCs w:val="21"/>
                <w:vertAlign w:val="baseline"/>
                <w:lang w:val="en-US" w:eastAsia="zh-CN"/>
              </w:rPr>
              <w:t>达标</w:t>
            </w:r>
            <w:bookmarkEnd w:id="66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总大肠菌群</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vertAlign w:val="baseline"/>
                <w:lang w:val="en-US" w:eastAsia="zh-CN" w:bidi="ar-SA"/>
              </w:rPr>
              <w:t>MPN/100mL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1" w:name="_Toc2870"/>
            <w:r>
              <w:rPr>
                <w:rFonts w:hint="eastAsia"/>
                <w:b w:val="0"/>
                <w:bCs w:val="0"/>
                <w:color w:val="000000" w:themeColor="text1"/>
                <w:sz w:val="21"/>
                <w:szCs w:val="21"/>
                <w:vertAlign w:val="baseline"/>
                <w:lang w:val="en-US" w:eastAsia="zh-CN"/>
              </w:rPr>
              <w:t>3.0</w:t>
            </w:r>
            <w:bookmarkEnd w:id="661"/>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62" w:name="_Toc29399"/>
            <w:r>
              <w:rPr>
                <w:rFonts w:hint="eastAsia"/>
                <w:b w:val="0"/>
                <w:bCs w:val="0"/>
                <w:color w:val="000000" w:themeColor="text1"/>
                <w:sz w:val="21"/>
                <w:szCs w:val="21"/>
                <w:vertAlign w:val="baseline"/>
                <w:lang w:val="en-US" w:eastAsia="zh-CN"/>
              </w:rPr>
              <w:t>0.67</w:t>
            </w:r>
            <w:bookmarkEnd w:id="662"/>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3" w:name="_Toc18822"/>
            <w:r>
              <w:rPr>
                <w:rFonts w:hint="eastAsia"/>
                <w:b w:val="0"/>
                <w:bCs w:val="0"/>
                <w:color w:val="000000" w:themeColor="text1"/>
                <w:sz w:val="21"/>
                <w:szCs w:val="21"/>
                <w:vertAlign w:val="baseline"/>
                <w:lang w:val="en-US" w:eastAsia="zh-CN"/>
              </w:rPr>
              <w:t>达标</w:t>
            </w:r>
            <w:bookmarkEnd w:id="6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kern w:val="2"/>
                <w:sz w:val="21"/>
                <w:szCs w:val="21"/>
                <w:highlight w:val="none"/>
                <w:lang w:val="en-US" w:eastAsia="zh-CN" w:bidi="ar-SA"/>
              </w:rPr>
              <w:t>W5：矿山自用泉眼</w:t>
            </w: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pH值</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highlight w:val="none"/>
                <w:lang w:val="en-US" w:eastAsia="zh-CN"/>
              </w:rPr>
              <w:t>无量纲</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7.5</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4" w:name="_Toc17722"/>
            <w:r>
              <w:rPr>
                <w:rFonts w:hint="eastAsia" w:ascii="Times New Roman" w:hAnsi="Times New Roman" w:cs="Times New Roman" w:eastAsiaTheme="minorEastAsia"/>
                <w:b w:val="0"/>
                <w:bCs w:val="0"/>
                <w:color w:val="000000" w:themeColor="text1"/>
                <w:kern w:val="2"/>
                <w:sz w:val="21"/>
                <w:szCs w:val="21"/>
                <w:highlight w:val="none"/>
                <w:lang w:val="en-US" w:eastAsia="zh-CN" w:bidi="ar-SA"/>
              </w:rPr>
              <w:t>6.5~8.5</w:t>
            </w:r>
            <w:bookmarkEnd w:id="664"/>
          </w:p>
        </w:tc>
        <w:tc>
          <w:tcPr>
            <w:tcW w:w="1087"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65" w:name="_Toc6536"/>
            <w:r>
              <w:rPr>
                <w:rFonts w:hint="eastAsia"/>
                <w:b w:val="0"/>
                <w:bCs w:val="0"/>
                <w:color w:val="000000" w:themeColor="text1"/>
                <w:sz w:val="21"/>
                <w:szCs w:val="21"/>
                <w:vertAlign w:val="baseline"/>
                <w:lang w:val="en-US" w:eastAsia="zh-CN"/>
              </w:rPr>
              <w:t>0.33</w:t>
            </w:r>
            <w:bookmarkEnd w:id="66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6" w:name="_Toc12879"/>
            <w:r>
              <w:rPr>
                <w:rFonts w:hint="eastAsia"/>
                <w:b w:val="0"/>
                <w:bCs w:val="0"/>
                <w:color w:val="000000" w:themeColor="text1"/>
                <w:sz w:val="21"/>
                <w:szCs w:val="21"/>
                <w:vertAlign w:val="baseline"/>
                <w:lang w:val="en-US" w:eastAsia="zh-CN"/>
              </w:rPr>
              <w:t>达标</w:t>
            </w:r>
            <w:bookmarkEnd w:id="66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vertAlign w:val="baseline"/>
                <w:lang w:val="en-US" w:eastAsia="zh-CN"/>
              </w:rPr>
              <w:t>钾（K</w:t>
            </w:r>
            <w:r>
              <w:rPr>
                <w:rFonts w:hint="eastAsia" w:ascii="Times New Roman" w:hAnsi="Times New Roman" w:cs="Times New Roman"/>
                <w:b w:val="0"/>
                <w:bCs w:val="0"/>
                <w:color w:val="000000" w:themeColor="text1"/>
                <w:sz w:val="21"/>
                <w:szCs w:val="21"/>
                <w:highlight w:val="none"/>
                <w:vertAlign w:val="superscript"/>
                <w:lang w:val="en-US" w:eastAsia="zh-CN"/>
              </w:rPr>
              <w:t>+</w:t>
            </w:r>
            <w:r>
              <w:rPr>
                <w:rFonts w:hint="eastAsia" w:ascii="Times New Roman" w:hAnsi="Times New Roman" w:cs="Times New Roman"/>
                <w:b w:val="0"/>
                <w:bCs w:val="0"/>
                <w:color w:val="000000" w:themeColor="text1"/>
                <w:sz w:val="21"/>
                <w:szCs w:val="21"/>
                <w:highlight w:val="none"/>
                <w:vertAlign w:val="baseli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1.64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7" w:name="_Toc8983"/>
            <w:r>
              <w:rPr>
                <w:rFonts w:hint="eastAsia"/>
                <w:b w:val="0"/>
                <w:bCs w:val="0"/>
                <w:color w:val="000000" w:themeColor="text1"/>
                <w:sz w:val="21"/>
                <w:szCs w:val="21"/>
                <w:vertAlign w:val="baseline"/>
                <w:lang w:val="en-US" w:eastAsia="zh-CN"/>
              </w:rPr>
              <w:t>/</w:t>
            </w:r>
            <w:bookmarkEnd w:id="667"/>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68" w:name="_Toc27353"/>
            <w:r>
              <w:rPr>
                <w:rFonts w:hint="eastAsia"/>
                <w:b w:val="0"/>
                <w:bCs w:val="0"/>
                <w:color w:val="000000" w:themeColor="text1"/>
                <w:sz w:val="21"/>
                <w:szCs w:val="21"/>
                <w:vertAlign w:val="baseline"/>
                <w:lang w:val="en-US" w:eastAsia="zh-CN"/>
              </w:rPr>
              <w:t>/</w:t>
            </w:r>
            <w:bookmarkEnd w:id="66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69" w:name="_Toc8944"/>
            <w:r>
              <w:rPr>
                <w:rFonts w:hint="eastAsia"/>
                <w:b w:val="0"/>
                <w:bCs w:val="0"/>
                <w:color w:val="000000" w:themeColor="text1"/>
                <w:sz w:val="21"/>
                <w:szCs w:val="21"/>
                <w:vertAlign w:val="baseline"/>
                <w:lang w:val="en-US" w:eastAsia="zh-CN"/>
              </w:rPr>
              <w:t>/</w:t>
            </w:r>
            <w:bookmarkEnd w:id="6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钠（</w:t>
            </w:r>
            <w:r>
              <w:rPr>
                <w:rFonts w:hint="default" w:ascii="Times New Roman" w:hAnsi="Times New Roman" w:cs="Times New Roman"/>
                <w:b w:val="0"/>
                <w:bCs w:val="0"/>
                <w:color w:val="000000" w:themeColor="text1"/>
                <w:sz w:val="21"/>
                <w:szCs w:val="21"/>
                <w:highlight w:val="none"/>
              </w:rPr>
              <w:t>Na</w:t>
            </w:r>
            <w:r>
              <w:rPr>
                <w:rFonts w:hint="default" w:ascii="Times New Roman" w:hAnsi="Times New Roman" w:cs="Times New Roman"/>
                <w:b w:val="0"/>
                <w:bCs w:val="0"/>
                <w:color w:val="000000" w:themeColor="text1"/>
                <w:sz w:val="21"/>
                <w:szCs w:val="21"/>
                <w:highlight w:val="none"/>
                <w:vertAlign w:val="superscript"/>
              </w:rPr>
              <w:t>+</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6.37</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0" w:name="_Toc29571"/>
            <w:r>
              <w:rPr>
                <w:rFonts w:hint="eastAsia"/>
                <w:b w:val="0"/>
                <w:bCs w:val="0"/>
                <w:color w:val="000000" w:themeColor="text1"/>
                <w:sz w:val="21"/>
                <w:szCs w:val="21"/>
                <w:vertAlign w:val="baseline"/>
                <w:lang w:val="en-US" w:eastAsia="zh-CN"/>
              </w:rPr>
              <w:t>200</w:t>
            </w:r>
            <w:bookmarkEnd w:id="670"/>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71" w:name="_Toc25200"/>
            <w:r>
              <w:rPr>
                <w:rFonts w:hint="eastAsia"/>
                <w:b w:val="0"/>
                <w:bCs w:val="0"/>
                <w:color w:val="000000" w:themeColor="text1"/>
                <w:sz w:val="21"/>
                <w:szCs w:val="21"/>
                <w:vertAlign w:val="baseline"/>
                <w:lang w:val="en-US" w:eastAsia="zh-CN"/>
              </w:rPr>
              <w:t>0.03</w:t>
            </w:r>
            <w:bookmarkEnd w:id="67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2" w:name="_Toc21036"/>
            <w:r>
              <w:rPr>
                <w:rFonts w:hint="eastAsia"/>
                <w:b w:val="0"/>
                <w:bCs w:val="0"/>
                <w:color w:val="000000" w:themeColor="text1"/>
                <w:sz w:val="21"/>
                <w:szCs w:val="21"/>
                <w:vertAlign w:val="baseline"/>
                <w:lang w:val="en-US" w:eastAsia="zh-CN"/>
              </w:rPr>
              <w:t>达标</w:t>
            </w:r>
            <w:bookmarkEnd w:id="6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钙（</w:t>
            </w:r>
            <w:r>
              <w:rPr>
                <w:rFonts w:hint="default" w:ascii="Times New Roman" w:hAnsi="Times New Roman" w:cs="Times New Roman"/>
                <w:b w:val="0"/>
                <w:bCs w:val="0"/>
                <w:color w:val="000000" w:themeColor="text1"/>
                <w:sz w:val="21"/>
                <w:szCs w:val="21"/>
                <w:highlight w:val="none"/>
              </w:rPr>
              <w:t>Ca</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124</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3" w:name="_Toc29219"/>
            <w:r>
              <w:rPr>
                <w:rFonts w:hint="eastAsia"/>
                <w:b w:val="0"/>
                <w:bCs w:val="0"/>
                <w:color w:val="000000" w:themeColor="text1"/>
                <w:sz w:val="21"/>
                <w:szCs w:val="21"/>
                <w:vertAlign w:val="baseline"/>
                <w:lang w:val="en-US" w:eastAsia="zh-CN"/>
              </w:rPr>
              <w:t>/</w:t>
            </w:r>
            <w:bookmarkEnd w:id="673"/>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74" w:name="_Toc5801"/>
            <w:r>
              <w:rPr>
                <w:rFonts w:hint="eastAsia"/>
                <w:b w:val="0"/>
                <w:bCs w:val="0"/>
                <w:color w:val="000000" w:themeColor="text1"/>
                <w:sz w:val="21"/>
                <w:szCs w:val="21"/>
                <w:vertAlign w:val="baseline"/>
                <w:lang w:val="en-US" w:eastAsia="zh-CN"/>
              </w:rPr>
              <w:t>/</w:t>
            </w:r>
            <w:bookmarkEnd w:id="67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5" w:name="_Toc26114"/>
            <w:r>
              <w:rPr>
                <w:rFonts w:hint="eastAsia"/>
                <w:b w:val="0"/>
                <w:bCs w:val="0"/>
                <w:color w:val="000000" w:themeColor="text1"/>
                <w:sz w:val="21"/>
                <w:szCs w:val="21"/>
                <w:vertAlign w:val="baseline"/>
                <w:lang w:val="en-US" w:eastAsia="zh-CN"/>
              </w:rPr>
              <w:t>/</w:t>
            </w:r>
            <w:bookmarkEnd w:id="6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highlight w:val="none"/>
                <w:lang w:val="en-US" w:eastAsia="zh-CN"/>
              </w:rPr>
              <w:t>镁（</w:t>
            </w:r>
            <w:r>
              <w:rPr>
                <w:rFonts w:hint="default" w:ascii="Times New Roman" w:hAnsi="Times New Roman" w:cs="Times New Roman"/>
                <w:b w:val="0"/>
                <w:bCs w:val="0"/>
                <w:color w:val="000000" w:themeColor="text1"/>
                <w:sz w:val="21"/>
                <w:szCs w:val="21"/>
                <w:highlight w:val="none"/>
              </w:rPr>
              <w:t>Mg</w:t>
            </w:r>
            <w:r>
              <w:rPr>
                <w:rFonts w:hint="default" w:ascii="Times New Roman" w:hAnsi="Times New Roman" w:cs="Times New Roman"/>
                <w:b w:val="0"/>
                <w:bCs w:val="0"/>
                <w:color w:val="000000" w:themeColor="text1"/>
                <w:sz w:val="21"/>
                <w:szCs w:val="21"/>
                <w:highlight w:val="none"/>
                <w:vertAlign w:val="superscript"/>
              </w:rPr>
              <w:t>2+</w:t>
            </w:r>
            <w:r>
              <w:rPr>
                <w:rFonts w:hint="eastAsia"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3.36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6" w:name="_Toc8875"/>
            <w:r>
              <w:rPr>
                <w:rFonts w:hint="eastAsia"/>
                <w:b w:val="0"/>
                <w:bCs w:val="0"/>
                <w:color w:val="000000" w:themeColor="text1"/>
                <w:sz w:val="21"/>
                <w:szCs w:val="21"/>
                <w:vertAlign w:val="baseline"/>
                <w:lang w:val="en-US" w:eastAsia="zh-CN"/>
              </w:rPr>
              <w:t>/</w:t>
            </w:r>
            <w:bookmarkEnd w:id="676"/>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77" w:name="_Toc2119"/>
            <w:r>
              <w:rPr>
                <w:rFonts w:hint="eastAsia"/>
                <w:b w:val="0"/>
                <w:bCs w:val="0"/>
                <w:color w:val="000000" w:themeColor="text1"/>
                <w:sz w:val="21"/>
                <w:szCs w:val="21"/>
                <w:vertAlign w:val="baseline"/>
                <w:lang w:val="en-US" w:eastAsia="zh-CN"/>
              </w:rPr>
              <w:t>/</w:t>
            </w:r>
            <w:bookmarkEnd w:id="67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8" w:name="_Toc29086"/>
            <w:r>
              <w:rPr>
                <w:rFonts w:hint="eastAsia"/>
                <w:b w:val="0"/>
                <w:bCs w:val="0"/>
                <w:color w:val="000000" w:themeColor="text1"/>
                <w:sz w:val="21"/>
                <w:szCs w:val="21"/>
                <w:vertAlign w:val="baseline"/>
                <w:lang w:val="en-US" w:eastAsia="zh-CN"/>
              </w:rPr>
              <w:t>/</w:t>
            </w:r>
            <w:bookmarkEnd w:id="67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砷</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79" w:name="_Toc24644"/>
            <w:r>
              <w:rPr>
                <w:rFonts w:hint="eastAsia"/>
                <w:b w:val="0"/>
                <w:bCs w:val="0"/>
                <w:color w:val="000000" w:themeColor="text1"/>
                <w:sz w:val="21"/>
                <w:szCs w:val="21"/>
                <w:vertAlign w:val="baseline"/>
                <w:lang w:val="en-US" w:eastAsia="zh-CN"/>
              </w:rPr>
              <w:t>0.01</w:t>
            </w:r>
            <w:bookmarkEnd w:id="679"/>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80" w:name="_Toc26817"/>
            <w:r>
              <w:rPr>
                <w:rFonts w:hint="eastAsia"/>
                <w:b w:val="0"/>
                <w:bCs w:val="0"/>
                <w:color w:val="000000" w:themeColor="text1"/>
                <w:sz w:val="21"/>
                <w:szCs w:val="21"/>
                <w:vertAlign w:val="baseline"/>
                <w:lang w:val="en-US" w:eastAsia="zh-CN"/>
              </w:rPr>
              <w:t>0</w:t>
            </w:r>
            <w:bookmarkEnd w:id="680"/>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81" w:name="_Toc5288"/>
            <w:r>
              <w:rPr>
                <w:rFonts w:hint="eastAsia"/>
                <w:b w:val="0"/>
                <w:bCs w:val="0"/>
                <w:color w:val="000000" w:themeColor="text1"/>
                <w:sz w:val="21"/>
                <w:szCs w:val="21"/>
                <w:vertAlign w:val="baseline"/>
                <w:lang w:val="en-US" w:eastAsia="zh-CN"/>
              </w:rPr>
              <w:t>达标</w:t>
            </w:r>
            <w:bookmarkEnd w:id="6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汞</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82" w:name="_Toc14540"/>
            <w:r>
              <w:rPr>
                <w:rFonts w:hint="eastAsia"/>
                <w:b w:val="0"/>
                <w:bCs w:val="0"/>
                <w:color w:val="000000" w:themeColor="text1"/>
                <w:sz w:val="21"/>
                <w:szCs w:val="21"/>
                <w:vertAlign w:val="baseline"/>
                <w:lang w:val="en-US" w:eastAsia="zh-CN"/>
              </w:rPr>
              <w:t>0.001</w:t>
            </w:r>
            <w:bookmarkEnd w:id="682"/>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83" w:name="_Toc11526"/>
            <w:r>
              <w:rPr>
                <w:rFonts w:hint="eastAsia"/>
                <w:b w:val="0"/>
                <w:bCs w:val="0"/>
                <w:color w:val="000000" w:themeColor="text1"/>
                <w:sz w:val="21"/>
                <w:szCs w:val="21"/>
                <w:vertAlign w:val="baseline"/>
                <w:lang w:val="en-US" w:eastAsia="zh-CN"/>
              </w:rPr>
              <w:t>0</w:t>
            </w:r>
            <w:bookmarkEnd w:id="683"/>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84" w:name="_Toc26067"/>
            <w:r>
              <w:rPr>
                <w:rFonts w:hint="eastAsia"/>
                <w:b w:val="0"/>
                <w:bCs w:val="0"/>
                <w:color w:val="000000" w:themeColor="text1"/>
                <w:sz w:val="21"/>
                <w:szCs w:val="21"/>
                <w:vertAlign w:val="baseline"/>
                <w:lang w:val="en-US" w:eastAsia="zh-CN"/>
              </w:rPr>
              <w:t>达标</w:t>
            </w:r>
            <w:bookmarkEnd w:id="68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铅</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85" w:name="_Toc5292"/>
            <w:r>
              <w:rPr>
                <w:rFonts w:hint="eastAsia"/>
                <w:b w:val="0"/>
                <w:bCs w:val="0"/>
                <w:color w:val="000000" w:themeColor="text1"/>
                <w:sz w:val="21"/>
                <w:szCs w:val="21"/>
                <w:vertAlign w:val="baseline"/>
                <w:lang w:val="en-US" w:eastAsia="zh-CN"/>
              </w:rPr>
              <w:t>0.01</w:t>
            </w:r>
            <w:bookmarkEnd w:id="685"/>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86" w:name="_Toc28497"/>
            <w:r>
              <w:rPr>
                <w:rFonts w:hint="eastAsia"/>
                <w:b w:val="0"/>
                <w:bCs w:val="0"/>
                <w:color w:val="000000" w:themeColor="text1"/>
                <w:sz w:val="21"/>
                <w:szCs w:val="21"/>
                <w:vertAlign w:val="baseline"/>
                <w:lang w:val="en-US" w:eastAsia="zh-CN"/>
              </w:rPr>
              <w:t>0</w:t>
            </w:r>
            <w:bookmarkEnd w:id="68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87" w:name="_Toc4355"/>
            <w:r>
              <w:rPr>
                <w:rFonts w:hint="eastAsia"/>
                <w:b w:val="0"/>
                <w:bCs w:val="0"/>
                <w:color w:val="000000" w:themeColor="text1"/>
                <w:sz w:val="21"/>
                <w:szCs w:val="21"/>
                <w:vertAlign w:val="baseline"/>
                <w:lang w:val="en-US" w:eastAsia="zh-CN"/>
              </w:rPr>
              <w:t>达标</w:t>
            </w:r>
            <w:bookmarkEnd w:id="6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镉</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88" w:name="_Toc8575"/>
            <w:r>
              <w:rPr>
                <w:rFonts w:hint="eastAsia"/>
                <w:b w:val="0"/>
                <w:bCs w:val="0"/>
                <w:color w:val="000000" w:themeColor="text1"/>
                <w:sz w:val="21"/>
                <w:szCs w:val="21"/>
                <w:vertAlign w:val="baseline"/>
                <w:lang w:val="en-US" w:eastAsia="zh-CN"/>
              </w:rPr>
              <w:t>0.005</w:t>
            </w:r>
            <w:bookmarkEnd w:id="688"/>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89" w:name="_Toc12297"/>
            <w:r>
              <w:rPr>
                <w:rFonts w:hint="eastAsia"/>
                <w:b w:val="0"/>
                <w:bCs w:val="0"/>
                <w:color w:val="000000" w:themeColor="text1"/>
                <w:sz w:val="21"/>
                <w:szCs w:val="21"/>
                <w:vertAlign w:val="baseline"/>
                <w:lang w:val="en-US" w:eastAsia="zh-CN"/>
              </w:rPr>
              <w:t>0</w:t>
            </w:r>
            <w:bookmarkEnd w:id="68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0" w:name="_Toc8798"/>
            <w:r>
              <w:rPr>
                <w:rFonts w:hint="eastAsia"/>
                <w:b w:val="0"/>
                <w:bCs w:val="0"/>
                <w:color w:val="000000" w:themeColor="text1"/>
                <w:sz w:val="21"/>
                <w:szCs w:val="21"/>
                <w:vertAlign w:val="baseline"/>
                <w:lang w:val="en-US" w:eastAsia="zh-CN"/>
              </w:rPr>
              <w:t>达标</w:t>
            </w:r>
            <w:bookmarkEnd w:id="69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铁</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1" w:name="_Toc6069"/>
            <w:r>
              <w:rPr>
                <w:rFonts w:hint="eastAsia"/>
                <w:b w:val="0"/>
                <w:bCs w:val="0"/>
                <w:color w:val="000000" w:themeColor="text1"/>
                <w:sz w:val="21"/>
                <w:szCs w:val="21"/>
                <w:vertAlign w:val="baseline"/>
                <w:lang w:val="en-US" w:eastAsia="zh-CN"/>
              </w:rPr>
              <w:t>0.3</w:t>
            </w:r>
            <w:bookmarkEnd w:id="691"/>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92" w:name="_Toc8225"/>
            <w:r>
              <w:rPr>
                <w:rFonts w:hint="eastAsia"/>
                <w:b w:val="0"/>
                <w:bCs w:val="0"/>
                <w:color w:val="000000" w:themeColor="text1"/>
                <w:sz w:val="21"/>
                <w:szCs w:val="21"/>
                <w:vertAlign w:val="baseline"/>
                <w:lang w:val="en-US" w:eastAsia="zh-CN"/>
              </w:rPr>
              <w:t>0</w:t>
            </w:r>
            <w:bookmarkEnd w:id="692"/>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3" w:name="_Toc9525"/>
            <w:r>
              <w:rPr>
                <w:rFonts w:hint="eastAsia"/>
                <w:b w:val="0"/>
                <w:bCs w:val="0"/>
                <w:color w:val="000000" w:themeColor="text1"/>
                <w:sz w:val="21"/>
                <w:szCs w:val="21"/>
                <w:vertAlign w:val="baseline"/>
                <w:lang w:val="en-US" w:eastAsia="zh-CN"/>
              </w:rPr>
              <w:t>达标</w:t>
            </w:r>
            <w:bookmarkEnd w:id="6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0.01ND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4" w:name="_Toc29660"/>
            <w:r>
              <w:rPr>
                <w:rFonts w:hint="eastAsia"/>
                <w:b w:val="0"/>
                <w:bCs w:val="0"/>
                <w:color w:val="000000" w:themeColor="text1"/>
                <w:sz w:val="21"/>
                <w:szCs w:val="21"/>
                <w:vertAlign w:val="baseline"/>
                <w:lang w:val="en-US" w:eastAsia="zh-CN"/>
              </w:rPr>
              <w:t>0.10</w:t>
            </w:r>
            <w:bookmarkEnd w:id="694"/>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95" w:name="_Toc877"/>
            <w:r>
              <w:rPr>
                <w:rFonts w:hint="eastAsia"/>
                <w:b w:val="0"/>
                <w:bCs w:val="0"/>
                <w:color w:val="000000" w:themeColor="text1"/>
                <w:sz w:val="21"/>
                <w:szCs w:val="21"/>
                <w:vertAlign w:val="baseline"/>
                <w:lang w:val="en-US" w:eastAsia="zh-CN"/>
              </w:rPr>
              <w:t>0</w:t>
            </w:r>
            <w:bookmarkEnd w:id="695"/>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6" w:name="_Toc25244"/>
            <w:r>
              <w:rPr>
                <w:rFonts w:hint="eastAsia"/>
                <w:b w:val="0"/>
                <w:bCs w:val="0"/>
                <w:color w:val="000000" w:themeColor="text1"/>
                <w:sz w:val="21"/>
                <w:szCs w:val="21"/>
                <w:vertAlign w:val="baseline"/>
                <w:lang w:val="en-US" w:eastAsia="zh-CN"/>
              </w:rPr>
              <w:t>达标</w:t>
            </w:r>
            <w:bookmarkEnd w:id="69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1.25ND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7" w:name="_Toc23071"/>
            <w:r>
              <w:rPr>
                <w:rFonts w:hint="eastAsia"/>
                <w:b w:val="0"/>
                <w:bCs w:val="0"/>
                <w:color w:val="000000" w:themeColor="text1"/>
                <w:sz w:val="21"/>
                <w:szCs w:val="21"/>
                <w:vertAlign w:val="baseline"/>
                <w:lang w:val="en-US" w:eastAsia="zh-CN"/>
              </w:rPr>
              <w:t>/</w:t>
            </w:r>
            <w:bookmarkEnd w:id="697"/>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698" w:name="_Toc14422"/>
            <w:r>
              <w:rPr>
                <w:rFonts w:hint="eastAsia"/>
                <w:b w:val="0"/>
                <w:bCs w:val="0"/>
                <w:color w:val="000000" w:themeColor="text1"/>
                <w:sz w:val="21"/>
                <w:szCs w:val="21"/>
                <w:vertAlign w:val="baseline"/>
                <w:lang w:val="en-US" w:eastAsia="zh-CN"/>
              </w:rPr>
              <w:t>/</w:t>
            </w:r>
            <w:bookmarkEnd w:id="69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699" w:name="_Toc930"/>
            <w:r>
              <w:rPr>
                <w:rFonts w:hint="eastAsia"/>
                <w:b w:val="0"/>
                <w:bCs w:val="0"/>
                <w:color w:val="000000" w:themeColor="text1"/>
                <w:sz w:val="21"/>
                <w:szCs w:val="21"/>
                <w:vertAlign w:val="baseline"/>
                <w:lang w:val="en-US" w:eastAsia="zh-CN"/>
              </w:rPr>
              <w:t>/</w:t>
            </w:r>
            <w:bookmarkEnd w:id="69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重碳酸根</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402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0" w:name="_Toc4951"/>
            <w:r>
              <w:rPr>
                <w:rFonts w:hint="eastAsia"/>
                <w:b w:val="0"/>
                <w:bCs w:val="0"/>
                <w:color w:val="000000" w:themeColor="text1"/>
                <w:sz w:val="21"/>
                <w:szCs w:val="21"/>
                <w:vertAlign w:val="baseline"/>
                <w:lang w:val="en-US" w:eastAsia="zh-CN"/>
              </w:rPr>
              <w:t>/</w:t>
            </w:r>
            <w:bookmarkEnd w:id="700"/>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01" w:name="_Toc25884"/>
            <w:r>
              <w:rPr>
                <w:rFonts w:hint="eastAsia"/>
                <w:b w:val="0"/>
                <w:bCs w:val="0"/>
                <w:color w:val="000000" w:themeColor="text1"/>
                <w:sz w:val="21"/>
                <w:szCs w:val="21"/>
                <w:vertAlign w:val="baseline"/>
                <w:lang w:val="en-US" w:eastAsia="zh-CN"/>
              </w:rPr>
              <w:t>/</w:t>
            </w:r>
            <w:bookmarkEnd w:id="70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2" w:name="_Toc11283"/>
            <w:r>
              <w:rPr>
                <w:rFonts w:hint="eastAsia"/>
                <w:b w:val="0"/>
                <w:bCs w:val="0"/>
                <w:color w:val="000000" w:themeColor="text1"/>
                <w:sz w:val="21"/>
                <w:szCs w:val="21"/>
                <w:vertAlign w:val="baseline"/>
                <w:lang w:val="en-US" w:eastAsia="zh-CN"/>
              </w:rPr>
              <w:t>/</w:t>
            </w:r>
            <w:bookmarkEnd w:id="70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总硬度</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321</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3" w:name="_Toc9609"/>
            <w:r>
              <w:rPr>
                <w:rFonts w:hint="eastAsia"/>
                <w:b w:val="0"/>
                <w:bCs w:val="0"/>
                <w:color w:val="000000" w:themeColor="text1"/>
                <w:sz w:val="21"/>
                <w:szCs w:val="21"/>
                <w:vertAlign w:val="baseline"/>
                <w:lang w:val="en-US" w:eastAsia="zh-CN"/>
              </w:rPr>
              <w:t>450</w:t>
            </w:r>
            <w:bookmarkEnd w:id="703"/>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04" w:name="_Toc1157"/>
            <w:r>
              <w:rPr>
                <w:rFonts w:hint="eastAsia"/>
                <w:b w:val="0"/>
                <w:bCs w:val="0"/>
                <w:color w:val="000000" w:themeColor="text1"/>
                <w:sz w:val="21"/>
                <w:szCs w:val="21"/>
                <w:vertAlign w:val="baseline"/>
                <w:lang w:val="en-US" w:eastAsia="zh-CN"/>
              </w:rPr>
              <w:t>0.71</w:t>
            </w:r>
            <w:bookmarkEnd w:id="70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5" w:name="_Toc8740"/>
            <w:r>
              <w:rPr>
                <w:rFonts w:hint="eastAsia"/>
                <w:b w:val="0"/>
                <w:bCs w:val="0"/>
                <w:color w:val="000000" w:themeColor="text1"/>
                <w:sz w:val="21"/>
                <w:szCs w:val="21"/>
                <w:vertAlign w:val="baseline"/>
                <w:lang w:val="en-US" w:eastAsia="zh-CN"/>
              </w:rPr>
              <w:t>达标</w:t>
            </w:r>
            <w:bookmarkEnd w:id="70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氨氮</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0.025ND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6" w:name="_Toc898"/>
            <w:r>
              <w:rPr>
                <w:rFonts w:hint="eastAsia"/>
                <w:b w:val="0"/>
                <w:bCs w:val="0"/>
                <w:color w:val="000000" w:themeColor="text1"/>
                <w:sz w:val="21"/>
                <w:szCs w:val="21"/>
                <w:vertAlign w:val="baseline"/>
                <w:lang w:val="en-US" w:eastAsia="zh-CN"/>
              </w:rPr>
              <w:t>0.50</w:t>
            </w:r>
            <w:bookmarkEnd w:id="706"/>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07" w:name="_Toc13031"/>
            <w:r>
              <w:rPr>
                <w:rFonts w:hint="eastAsia"/>
                <w:b w:val="0"/>
                <w:bCs w:val="0"/>
                <w:color w:val="000000" w:themeColor="text1"/>
                <w:sz w:val="21"/>
                <w:szCs w:val="21"/>
                <w:vertAlign w:val="baseline"/>
                <w:lang w:val="en-US" w:eastAsia="zh-CN"/>
              </w:rPr>
              <w:t>0</w:t>
            </w:r>
            <w:bookmarkEnd w:id="707"/>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8" w:name="_Toc25514"/>
            <w:r>
              <w:rPr>
                <w:rFonts w:hint="eastAsia"/>
                <w:b w:val="0"/>
                <w:bCs w:val="0"/>
                <w:color w:val="000000" w:themeColor="text1"/>
                <w:sz w:val="21"/>
                <w:szCs w:val="21"/>
                <w:vertAlign w:val="baseline"/>
                <w:lang w:val="en-US" w:eastAsia="zh-CN"/>
              </w:rPr>
              <w:t>达标</w:t>
            </w:r>
            <w:bookmarkEnd w:id="7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氰化物</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0.002ND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09" w:name="_Toc10302"/>
            <w:r>
              <w:rPr>
                <w:rFonts w:hint="eastAsia"/>
                <w:b w:val="0"/>
                <w:bCs w:val="0"/>
                <w:color w:val="000000" w:themeColor="text1"/>
                <w:sz w:val="21"/>
                <w:szCs w:val="21"/>
                <w:vertAlign w:val="baseline"/>
                <w:lang w:val="en-US" w:eastAsia="zh-CN"/>
              </w:rPr>
              <w:t>0.05</w:t>
            </w:r>
            <w:bookmarkEnd w:id="709"/>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10" w:name="_Toc23260"/>
            <w:r>
              <w:rPr>
                <w:rFonts w:hint="eastAsia"/>
                <w:b w:val="0"/>
                <w:bCs w:val="0"/>
                <w:color w:val="000000" w:themeColor="text1"/>
                <w:sz w:val="21"/>
                <w:szCs w:val="21"/>
                <w:vertAlign w:val="baseline"/>
                <w:lang w:val="en-US" w:eastAsia="zh-CN"/>
              </w:rPr>
              <w:t>0</w:t>
            </w:r>
            <w:bookmarkEnd w:id="710"/>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11" w:name="_Toc29476"/>
            <w:r>
              <w:rPr>
                <w:rFonts w:hint="eastAsia"/>
                <w:b w:val="0"/>
                <w:bCs w:val="0"/>
                <w:color w:val="000000" w:themeColor="text1"/>
                <w:sz w:val="21"/>
                <w:szCs w:val="21"/>
                <w:vertAlign w:val="baseline"/>
                <w:lang w:val="en-US" w:eastAsia="zh-CN"/>
              </w:rPr>
              <w:t>达标</w:t>
            </w:r>
            <w:bookmarkEnd w:id="71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挥发酚</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12" w:name="_Toc18010"/>
            <w:r>
              <w:rPr>
                <w:rFonts w:hint="eastAsia"/>
                <w:b w:val="0"/>
                <w:bCs w:val="0"/>
                <w:color w:val="000000" w:themeColor="text1"/>
                <w:sz w:val="21"/>
                <w:szCs w:val="21"/>
                <w:vertAlign w:val="baseline"/>
                <w:lang w:val="en-US" w:eastAsia="zh-CN"/>
              </w:rPr>
              <w:t>0.002</w:t>
            </w:r>
            <w:bookmarkEnd w:id="712"/>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13" w:name="_Toc13113"/>
            <w:r>
              <w:rPr>
                <w:rFonts w:hint="eastAsia"/>
                <w:b w:val="0"/>
                <w:bCs w:val="0"/>
                <w:color w:val="000000" w:themeColor="text1"/>
                <w:sz w:val="21"/>
                <w:szCs w:val="21"/>
                <w:vertAlign w:val="baseline"/>
                <w:lang w:val="en-US" w:eastAsia="zh-CN"/>
              </w:rPr>
              <w:t>0</w:t>
            </w:r>
            <w:bookmarkEnd w:id="713"/>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14" w:name="_Toc18692"/>
            <w:r>
              <w:rPr>
                <w:rFonts w:hint="eastAsia"/>
                <w:b w:val="0"/>
                <w:bCs w:val="0"/>
                <w:color w:val="000000" w:themeColor="text1"/>
                <w:sz w:val="21"/>
                <w:szCs w:val="21"/>
                <w:vertAlign w:val="baseline"/>
                <w:lang w:val="en-US" w:eastAsia="zh-CN"/>
              </w:rPr>
              <w:t>达标</w:t>
            </w:r>
            <w:bookmarkEnd w:id="7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六价铬</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highlight w:val="none"/>
                <w:lang w:val="en-US" w:eastAsia="zh-CN"/>
              </w:rPr>
              <w:t>0.004ND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15" w:name="_Toc672"/>
            <w:r>
              <w:rPr>
                <w:rFonts w:hint="eastAsia"/>
                <w:b w:val="0"/>
                <w:bCs w:val="0"/>
                <w:color w:val="000000" w:themeColor="text1"/>
                <w:sz w:val="21"/>
                <w:szCs w:val="21"/>
                <w:vertAlign w:val="baseline"/>
                <w:lang w:val="en-US" w:eastAsia="zh-CN"/>
              </w:rPr>
              <w:t>0.05</w:t>
            </w:r>
            <w:bookmarkEnd w:id="715"/>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16" w:name="_Toc29764"/>
            <w:r>
              <w:rPr>
                <w:rFonts w:hint="eastAsia"/>
                <w:b w:val="0"/>
                <w:bCs w:val="0"/>
                <w:color w:val="000000" w:themeColor="text1"/>
                <w:sz w:val="21"/>
                <w:szCs w:val="21"/>
                <w:vertAlign w:val="baseline"/>
                <w:lang w:val="en-US" w:eastAsia="zh-CN"/>
              </w:rPr>
              <w:t>0</w:t>
            </w:r>
            <w:bookmarkEnd w:id="716"/>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17" w:name="_Toc21917"/>
            <w:r>
              <w:rPr>
                <w:rFonts w:hint="eastAsia"/>
                <w:b w:val="0"/>
                <w:bCs w:val="0"/>
                <w:color w:val="000000" w:themeColor="text1"/>
                <w:sz w:val="21"/>
                <w:szCs w:val="21"/>
                <w:vertAlign w:val="baseline"/>
                <w:lang w:val="en-US" w:eastAsia="zh-CN"/>
              </w:rPr>
              <w:t>达标</w:t>
            </w:r>
            <w:bookmarkEnd w:id="71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亚硝酸盐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0.003ND</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18" w:name="_Toc6578"/>
            <w:r>
              <w:rPr>
                <w:rFonts w:hint="eastAsia"/>
                <w:b w:val="0"/>
                <w:bCs w:val="0"/>
                <w:color w:val="000000" w:themeColor="text1"/>
                <w:sz w:val="21"/>
                <w:szCs w:val="21"/>
                <w:vertAlign w:val="baseline"/>
                <w:lang w:val="en-US" w:eastAsia="zh-CN"/>
              </w:rPr>
              <w:t>1.00</w:t>
            </w:r>
            <w:bookmarkEnd w:id="718"/>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19" w:name="_Toc13386"/>
            <w:r>
              <w:rPr>
                <w:rFonts w:hint="eastAsia"/>
                <w:b w:val="0"/>
                <w:bCs w:val="0"/>
                <w:color w:val="000000" w:themeColor="text1"/>
                <w:sz w:val="21"/>
                <w:szCs w:val="21"/>
                <w:vertAlign w:val="baseline"/>
                <w:lang w:val="en-US" w:eastAsia="zh-CN"/>
              </w:rPr>
              <w:t>0</w:t>
            </w:r>
            <w:bookmarkEnd w:id="719"/>
          </w:p>
        </w:tc>
        <w:tc>
          <w:tcPr>
            <w:tcW w:w="128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0" w:name="_Toc4720"/>
            <w:r>
              <w:rPr>
                <w:rFonts w:hint="eastAsia"/>
                <w:b w:val="0"/>
                <w:bCs w:val="0"/>
                <w:color w:val="000000" w:themeColor="text1"/>
                <w:sz w:val="21"/>
                <w:szCs w:val="21"/>
                <w:vertAlign w:val="baseline"/>
                <w:lang w:val="en-US" w:eastAsia="zh-CN"/>
              </w:rPr>
              <w:t>达标</w:t>
            </w:r>
            <w:bookmarkEnd w:id="7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溶解性总固体</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412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1" w:name="_Toc1761"/>
            <w:r>
              <w:rPr>
                <w:rFonts w:hint="eastAsia"/>
                <w:b w:val="0"/>
                <w:bCs w:val="0"/>
                <w:color w:val="000000" w:themeColor="text1"/>
                <w:sz w:val="21"/>
                <w:szCs w:val="21"/>
                <w:vertAlign w:val="baseline"/>
                <w:lang w:val="en-US" w:eastAsia="zh-CN"/>
              </w:rPr>
              <w:t>1000</w:t>
            </w:r>
            <w:bookmarkEnd w:id="721"/>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22" w:name="_Toc29392"/>
            <w:r>
              <w:rPr>
                <w:rFonts w:hint="eastAsia"/>
                <w:b w:val="0"/>
                <w:bCs w:val="0"/>
                <w:color w:val="000000" w:themeColor="text1"/>
                <w:sz w:val="21"/>
                <w:szCs w:val="21"/>
                <w:vertAlign w:val="baseline"/>
                <w:lang w:val="en-US" w:eastAsia="zh-CN"/>
              </w:rPr>
              <w:t>0.41</w:t>
            </w:r>
            <w:bookmarkEnd w:id="722"/>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3" w:name="_Toc12654"/>
            <w:r>
              <w:rPr>
                <w:rFonts w:hint="eastAsia"/>
                <w:b w:val="0"/>
                <w:bCs w:val="0"/>
                <w:color w:val="000000" w:themeColor="text1"/>
                <w:sz w:val="21"/>
                <w:szCs w:val="21"/>
                <w:vertAlign w:val="baseline"/>
                <w:lang w:val="en-US" w:eastAsia="zh-CN"/>
              </w:rPr>
              <w:t>达标</w:t>
            </w:r>
            <w:bookmarkEnd w:id="72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氟</w:t>
            </w:r>
            <w:r>
              <w:rPr>
                <w:rFonts w:hint="default" w:ascii="Times New Roman" w:hAnsi="Times New Roman" w:cs="Times New Roman"/>
                <w:b w:val="0"/>
                <w:bCs w:val="0"/>
                <w:color w:val="000000" w:themeColor="text1"/>
                <w:sz w:val="21"/>
                <w:szCs w:val="21"/>
                <w:highlight w:val="none"/>
                <w:lang w:val="en-US" w:eastAsia="zh-CN"/>
              </w:rPr>
              <w:t>化物（F</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val="en-US"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0.658</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4" w:name="_Toc5061"/>
            <w:r>
              <w:rPr>
                <w:rFonts w:hint="eastAsia"/>
                <w:b w:val="0"/>
                <w:bCs w:val="0"/>
                <w:color w:val="000000" w:themeColor="text1"/>
                <w:sz w:val="21"/>
                <w:szCs w:val="21"/>
                <w:vertAlign w:val="baseline"/>
                <w:lang w:val="en-US" w:eastAsia="zh-CN"/>
              </w:rPr>
              <w:t>1.0</w:t>
            </w:r>
            <w:bookmarkEnd w:id="724"/>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25" w:name="_Toc25054"/>
            <w:r>
              <w:rPr>
                <w:rFonts w:hint="eastAsia"/>
                <w:b w:val="0"/>
                <w:bCs w:val="0"/>
                <w:color w:val="000000" w:themeColor="text1"/>
                <w:sz w:val="21"/>
                <w:szCs w:val="21"/>
                <w:vertAlign w:val="baseline"/>
                <w:lang w:val="en-US" w:eastAsia="zh-CN"/>
              </w:rPr>
              <w:t>0.66</w:t>
            </w:r>
            <w:bookmarkEnd w:id="725"/>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6" w:name="_Toc26916"/>
            <w:r>
              <w:rPr>
                <w:rFonts w:hint="eastAsia"/>
                <w:b w:val="0"/>
                <w:bCs w:val="0"/>
                <w:color w:val="000000" w:themeColor="text1"/>
                <w:sz w:val="21"/>
                <w:szCs w:val="21"/>
                <w:vertAlign w:val="baseline"/>
                <w:lang w:val="en-US" w:eastAsia="zh-CN"/>
              </w:rPr>
              <w:t>达标</w:t>
            </w:r>
            <w:bookmarkEnd w:id="72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硝酸盐</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highlight w:val="none"/>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8.60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7" w:name="_Toc19406"/>
            <w:r>
              <w:rPr>
                <w:rFonts w:hint="eastAsia"/>
                <w:b w:val="0"/>
                <w:bCs w:val="0"/>
                <w:color w:val="000000" w:themeColor="text1"/>
                <w:sz w:val="21"/>
                <w:szCs w:val="21"/>
                <w:vertAlign w:val="baseline"/>
                <w:lang w:val="en-US" w:eastAsia="zh-CN"/>
              </w:rPr>
              <w:t>20.0</w:t>
            </w:r>
            <w:bookmarkEnd w:id="727"/>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28" w:name="_Toc4814"/>
            <w:r>
              <w:rPr>
                <w:rFonts w:hint="eastAsia"/>
                <w:b w:val="0"/>
                <w:bCs w:val="0"/>
                <w:color w:val="000000" w:themeColor="text1"/>
                <w:sz w:val="21"/>
                <w:szCs w:val="21"/>
                <w:vertAlign w:val="baseline"/>
                <w:lang w:val="en-US" w:eastAsia="zh-CN"/>
              </w:rPr>
              <w:t>0.43</w:t>
            </w:r>
            <w:bookmarkEnd w:id="728"/>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29" w:name="_Toc18480"/>
            <w:r>
              <w:rPr>
                <w:rFonts w:hint="eastAsia"/>
                <w:b w:val="0"/>
                <w:bCs w:val="0"/>
                <w:color w:val="000000" w:themeColor="text1"/>
                <w:sz w:val="21"/>
                <w:szCs w:val="21"/>
                <w:vertAlign w:val="baseline"/>
                <w:lang w:val="en-US" w:eastAsia="zh-CN"/>
              </w:rPr>
              <w:t>达标</w:t>
            </w:r>
            <w:bookmarkEnd w:id="72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硫酸盐（</w:t>
            </w:r>
            <w:r>
              <w:rPr>
                <w:rFonts w:hint="default" w:ascii="Times New Roman" w:hAnsi="Times New Roman" w:cs="Times New Roman"/>
                <w:b w:val="0"/>
                <w:bCs w:val="0"/>
                <w:color w:val="000000" w:themeColor="text1"/>
                <w:sz w:val="21"/>
                <w:szCs w:val="21"/>
                <w:highlight w:val="none"/>
                <w:lang w:val="en-US" w:eastAsia="zh-CN"/>
              </w:rPr>
              <w:t>SO</w:t>
            </w:r>
            <w:r>
              <w:rPr>
                <w:rFonts w:hint="default" w:ascii="Times New Roman" w:hAnsi="Times New Roman" w:cs="Times New Roman"/>
                <w:b w:val="0"/>
                <w:bCs w:val="0"/>
                <w:color w:val="000000" w:themeColor="text1"/>
                <w:sz w:val="21"/>
                <w:szCs w:val="21"/>
                <w:highlight w:val="none"/>
                <w:vertAlign w:val="subscript"/>
                <w:lang w:val="en-US" w:eastAsia="zh-CN"/>
              </w:rPr>
              <w:t>4</w:t>
            </w:r>
            <w:r>
              <w:rPr>
                <w:rFonts w:hint="default" w:ascii="Times New Roman" w:hAnsi="Times New Roman" w:cs="Times New Roman"/>
                <w:b w:val="0"/>
                <w:bCs w:val="0"/>
                <w:color w:val="000000" w:themeColor="text1"/>
                <w:sz w:val="21"/>
                <w:szCs w:val="21"/>
                <w:highlight w:val="none"/>
                <w:vertAlign w:val="superscript"/>
                <w:lang w:val="en-US" w:eastAsia="zh-CN"/>
              </w:rPr>
              <w:t>2-</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19.6</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0" w:name="_Toc13813"/>
            <w:r>
              <w:rPr>
                <w:rFonts w:hint="eastAsia"/>
                <w:b w:val="0"/>
                <w:bCs w:val="0"/>
                <w:color w:val="000000" w:themeColor="text1"/>
                <w:sz w:val="21"/>
                <w:szCs w:val="21"/>
                <w:vertAlign w:val="baseline"/>
                <w:lang w:val="en-US" w:eastAsia="zh-CN"/>
              </w:rPr>
              <w:t>250</w:t>
            </w:r>
            <w:bookmarkEnd w:id="730"/>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31" w:name="_Toc30910"/>
            <w:r>
              <w:rPr>
                <w:rFonts w:hint="eastAsia"/>
                <w:b w:val="0"/>
                <w:bCs w:val="0"/>
                <w:color w:val="000000" w:themeColor="text1"/>
                <w:sz w:val="21"/>
                <w:szCs w:val="21"/>
                <w:vertAlign w:val="baseline"/>
                <w:lang w:val="en-US" w:eastAsia="zh-CN"/>
              </w:rPr>
              <w:t>0.08</w:t>
            </w:r>
            <w:bookmarkEnd w:id="731"/>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2" w:name="_Toc22988"/>
            <w:r>
              <w:rPr>
                <w:rFonts w:hint="eastAsia"/>
                <w:b w:val="0"/>
                <w:bCs w:val="0"/>
                <w:color w:val="000000" w:themeColor="text1"/>
                <w:sz w:val="21"/>
                <w:szCs w:val="21"/>
                <w:vertAlign w:val="baseline"/>
                <w:lang w:val="en-US" w:eastAsia="zh-CN"/>
              </w:rPr>
              <w:t>达标</w:t>
            </w:r>
            <w:bookmarkEnd w:id="73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96"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lang w:eastAsia="zh-CN"/>
              </w:rPr>
              <w:t>氯化物（</w:t>
            </w:r>
            <w:r>
              <w:rPr>
                <w:rFonts w:hint="default" w:ascii="Times New Roman" w:hAnsi="Times New Roman" w:cs="Times New Roman"/>
                <w:b w:val="0"/>
                <w:bCs w:val="0"/>
                <w:color w:val="000000" w:themeColor="text1"/>
                <w:sz w:val="21"/>
                <w:szCs w:val="21"/>
                <w:highlight w:val="none"/>
                <w:lang w:val="en-US" w:eastAsia="zh-CN"/>
              </w:rPr>
              <w:t>Cl</w:t>
            </w:r>
            <w:r>
              <w:rPr>
                <w:rFonts w:hint="default" w:ascii="Times New Roman" w:hAnsi="Times New Roman" w:cs="Times New Roman"/>
                <w:b w:val="0"/>
                <w:bCs w:val="0"/>
                <w:color w:val="000000" w:themeColor="text1"/>
                <w:sz w:val="21"/>
                <w:szCs w:val="21"/>
                <w:highlight w:val="none"/>
                <w:vertAlign w:val="superscript"/>
                <w:lang w:val="en-US" w:eastAsia="zh-CN"/>
              </w:rPr>
              <w:t>-</w:t>
            </w:r>
            <w:r>
              <w:rPr>
                <w:rFonts w:hint="default" w:ascii="Times New Roman" w:hAnsi="Times New Roman" w:cs="Times New Roman"/>
                <w:b w:val="0"/>
                <w:bCs w:val="0"/>
                <w:color w:val="000000" w:themeColor="text1"/>
                <w:sz w:val="21"/>
                <w:szCs w:val="21"/>
                <w:highlight w:val="none"/>
                <w:lang w:eastAsia="zh-CN"/>
              </w:rPr>
              <w:t>）</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12.2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3" w:name="_Toc4438"/>
            <w:r>
              <w:rPr>
                <w:rFonts w:hint="eastAsia"/>
                <w:b w:val="0"/>
                <w:bCs w:val="0"/>
                <w:color w:val="000000" w:themeColor="text1"/>
                <w:sz w:val="21"/>
                <w:szCs w:val="21"/>
                <w:vertAlign w:val="baseline"/>
                <w:lang w:val="en-US" w:eastAsia="zh-CN"/>
              </w:rPr>
              <w:t>250</w:t>
            </w:r>
            <w:bookmarkEnd w:id="733"/>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34" w:name="_Toc5576"/>
            <w:r>
              <w:rPr>
                <w:rFonts w:hint="eastAsia"/>
                <w:b w:val="0"/>
                <w:bCs w:val="0"/>
                <w:color w:val="000000" w:themeColor="text1"/>
                <w:sz w:val="21"/>
                <w:szCs w:val="21"/>
                <w:vertAlign w:val="baseline"/>
                <w:lang w:val="en-US" w:eastAsia="zh-CN"/>
              </w:rPr>
              <w:t>0.05</w:t>
            </w:r>
            <w:bookmarkEnd w:id="734"/>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5" w:name="_Toc5553"/>
            <w:r>
              <w:rPr>
                <w:rFonts w:hint="eastAsia"/>
                <w:b w:val="0"/>
                <w:bCs w:val="0"/>
                <w:color w:val="000000" w:themeColor="text1"/>
                <w:sz w:val="21"/>
                <w:szCs w:val="21"/>
                <w:vertAlign w:val="baseline"/>
                <w:lang w:val="en-US" w:eastAsia="zh-CN"/>
              </w:rPr>
              <w:t>达标</w:t>
            </w:r>
            <w:bookmarkEnd w:id="73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rPr>
              <w:t>*</w:t>
            </w:r>
            <w:r>
              <w:rPr>
                <w:rFonts w:hint="eastAsia" w:ascii="Times New Roman" w:hAnsi="Times New Roman" w:cs="Times New Roman"/>
                <w:b w:val="0"/>
                <w:bCs w:val="0"/>
                <w:color w:val="000000" w:themeColor="text1"/>
                <w:kern w:val="2"/>
                <w:sz w:val="21"/>
                <w:szCs w:val="21"/>
                <w:highlight w:val="none"/>
                <w:lang w:val="en-US" w:eastAsia="zh-CN" w:bidi="ar-SA"/>
              </w:rPr>
              <w:t>钡</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rPr>
              <w:t>mg/L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0.0842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6" w:name="_Toc749"/>
            <w:r>
              <w:rPr>
                <w:rFonts w:hint="eastAsia"/>
                <w:b w:val="0"/>
                <w:bCs w:val="0"/>
                <w:color w:val="000000" w:themeColor="text1"/>
                <w:sz w:val="21"/>
                <w:szCs w:val="21"/>
                <w:vertAlign w:val="baseline"/>
                <w:lang w:val="en-US" w:eastAsia="zh-CN"/>
              </w:rPr>
              <w:t>0.70</w:t>
            </w:r>
            <w:bookmarkEnd w:id="736"/>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37" w:name="_Toc30272"/>
            <w:r>
              <w:rPr>
                <w:rFonts w:hint="eastAsia"/>
                <w:b w:val="0"/>
                <w:bCs w:val="0"/>
                <w:color w:val="000000" w:themeColor="text1"/>
                <w:sz w:val="21"/>
                <w:szCs w:val="21"/>
                <w:vertAlign w:val="baseline"/>
                <w:lang w:val="en-US" w:eastAsia="zh-CN"/>
              </w:rPr>
              <w:t>0.12</w:t>
            </w:r>
            <w:bookmarkEnd w:id="737"/>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8" w:name="_Toc9566"/>
            <w:r>
              <w:rPr>
                <w:rFonts w:hint="eastAsia"/>
                <w:b w:val="0"/>
                <w:bCs w:val="0"/>
                <w:color w:val="000000" w:themeColor="text1"/>
                <w:sz w:val="21"/>
                <w:szCs w:val="21"/>
                <w:vertAlign w:val="baseline"/>
                <w:lang w:val="en-US" w:eastAsia="zh-CN"/>
              </w:rPr>
              <w:t>达标</w:t>
            </w:r>
            <w:bookmarkEnd w:id="73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eastAsia" w:ascii="Times New Roman" w:hAnsi="Times New Roman" w:cs="Times New Roman"/>
                <w:b w:val="0"/>
                <w:bCs w:val="0"/>
                <w:color w:val="000000" w:themeColor="text1"/>
                <w:sz w:val="21"/>
                <w:szCs w:val="21"/>
                <w:lang w:val="en-US" w:eastAsia="zh-CN"/>
              </w:rPr>
              <w:t>菌落</w:t>
            </w:r>
            <w:r>
              <w:rPr>
                <w:rFonts w:hint="default" w:ascii="Times New Roman" w:hAnsi="Times New Roman" w:cs="Times New Roman"/>
                <w:b w:val="0"/>
                <w:bCs w:val="0"/>
                <w:color w:val="000000" w:themeColor="text1"/>
                <w:sz w:val="21"/>
                <w:szCs w:val="21"/>
              </w:rPr>
              <w:t>总数</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highlight w:val="none"/>
                <w:vertAlign w:val="baseline"/>
                <w:lang w:val="en-US" w:eastAsia="zh-CN" w:bidi="ar-SA"/>
              </w:rPr>
              <w:t>CFU/m</w:t>
            </w:r>
            <w:r>
              <w:rPr>
                <w:rFonts w:hint="default" w:ascii="Times New Roman" w:hAnsi="Times New Roman" w:cs="Times New Roman"/>
                <w:b w:val="0"/>
                <w:bCs w:val="0"/>
                <w:color w:val="000000" w:themeColor="text1"/>
                <w:sz w:val="21"/>
                <w:szCs w:val="21"/>
                <w:vertAlign w:val="baseline"/>
                <w:lang w:val="en-US" w:eastAsia="zh-CN"/>
              </w:rPr>
              <w:t>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30</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39" w:name="_Toc3636"/>
            <w:r>
              <w:rPr>
                <w:rFonts w:hint="eastAsia"/>
                <w:b w:val="0"/>
                <w:bCs w:val="0"/>
                <w:color w:val="000000" w:themeColor="text1"/>
                <w:sz w:val="21"/>
                <w:szCs w:val="21"/>
                <w:vertAlign w:val="baseline"/>
                <w:lang w:val="en-US" w:eastAsia="zh-CN"/>
              </w:rPr>
              <w:t>100</w:t>
            </w:r>
            <w:bookmarkEnd w:id="739"/>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40" w:name="_Toc31955"/>
            <w:r>
              <w:rPr>
                <w:rFonts w:hint="eastAsia"/>
                <w:b w:val="0"/>
                <w:bCs w:val="0"/>
                <w:color w:val="000000" w:themeColor="text1"/>
                <w:sz w:val="21"/>
                <w:szCs w:val="21"/>
                <w:vertAlign w:val="baseline"/>
                <w:lang w:val="en-US" w:eastAsia="zh-CN"/>
              </w:rPr>
              <w:t>0.30</w:t>
            </w:r>
            <w:bookmarkEnd w:id="740"/>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41" w:name="_Toc21119"/>
            <w:r>
              <w:rPr>
                <w:rFonts w:hint="eastAsia"/>
                <w:b w:val="0"/>
                <w:bCs w:val="0"/>
                <w:color w:val="000000" w:themeColor="text1"/>
                <w:sz w:val="21"/>
                <w:szCs w:val="21"/>
                <w:vertAlign w:val="baseline"/>
                <w:lang w:val="en-US" w:eastAsia="zh-CN"/>
              </w:rPr>
              <w:t>达标</w:t>
            </w:r>
            <w:bookmarkEnd w:id="74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9" w:type="dxa"/>
            <w:vMerge w:val="continue"/>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eastAsia="宋体"/>
                <w:b w:val="0"/>
                <w:bCs w:val="0"/>
                <w:color w:val="000000" w:themeColor="text1"/>
                <w:sz w:val="21"/>
                <w:szCs w:val="21"/>
                <w:vertAlign w:val="baseline"/>
                <w:lang w:val="en-US" w:eastAsia="zh-CN"/>
              </w:rPr>
            </w:pPr>
          </w:p>
        </w:tc>
        <w:tc>
          <w:tcPr>
            <w:tcW w:w="1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96" w:lineRule="exact"/>
              <w:ind w:left="0" w:lef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rPr>
            </w:pPr>
            <w:r>
              <w:rPr>
                <w:rFonts w:hint="default" w:ascii="Times New Roman" w:hAnsi="Times New Roman" w:cs="Times New Roman"/>
                <w:b w:val="0"/>
                <w:bCs w:val="0"/>
                <w:color w:val="000000" w:themeColor="text1"/>
                <w:sz w:val="21"/>
                <w:szCs w:val="21"/>
                <w:highlight w:val="none"/>
                <w:vertAlign w:val="baseline"/>
                <w:lang w:val="en-US" w:eastAsia="zh-CN"/>
              </w:rPr>
              <w:t>总大肠菌群</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kern w:val="2"/>
                <w:sz w:val="21"/>
                <w:szCs w:val="21"/>
                <w:vertAlign w:val="baseline"/>
                <w:lang w:val="en-US" w:eastAsia="zh-CN" w:bidi="ar-SA"/>
              </w:rPr>
            </w:pPr>
            <w:r>
              <w:rPr>
                <w:rFonts w:hint="eastAsia" w:ascii="Times New Roman" w:hAnsi="Times New Roman" w:cs="Times New Roman"/>
                <w:b w:val="0"/>
                <w:bCs w:val="0"/>
                <w:color w:val="000000" w:themeColor="text1"/>
                <w:kern w:val="2"/>
                <w:sz w:val="21"/>
                <w:szCs w:val="21"/>
                <w:vertAlign w:val="baseline"/>
                <w:lang w:val="en-US" w:eastAsia="zh-CN" w:bidi="ar-SA"/>
              </w:rPr>
              <w:t>MPN/100mL</w:t>
            </w:r>
          </w:p>
        </w:tc>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val="0"/>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kern w:val="2"/>
                <w:sz w:val="21"/>
                <w:szCs w:val="21"/>
                <w:highlight w:val="none"/>
                <w:lang w:val="en-US" w:eastAsia="zh-CN" w:bidi="ar-SA"/>
              </w:rPr>
              <w:t>＜2</w:t>
            </w:r>
          </w:p>
        </w:tc>
        <w:tc>
          <w:tcPr>
            <w:tcW w:w="1164"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42" w:name="_Toc22033"/>
            <w:r>
              <w:rPr>
                <w:rFonts w:hint="eastAsia"/>
                <w:b w:val="0"/>
                <w:bCs w:val="0"/>
                <w:color w:val="000000" w:themeColor="text1"/>
                <w:sz w:val="21"/>
                <w:szCs w:val="21"/>
                <w:vertAlign w:val="baseline"/>
                <w:lang w:val="en-US" w:eastAsia="zh-CN"/>
              </w:rPr>
              <w:t>3.0</w:t>
            </w:r>
            <w:bookmarkEnd w:id="742"/>
          </w:p>
        </w:tc>
        <w:tc>
          <w:tcPr>
            <w:tcW w:w="1087" w:type="dxa"/>
            <w:tcBorders>
              <w:tl2br w:val="nil"/>
              <w:tr2bl w:val="nil"/>
            </w:tcBorders>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jc w:val="center"/>
              <w:textAlignment w:val="auto"/>
              <w:outlineLvl w:val="1"/>
              <w:rPr>
                <w:rFonts w:hint="eastAsia"/>
                <w:b w:val="0"/>
                <w:bCs w:val="0"/>
                <w:color w:val="000000" w:themeColor="text1"/>
                <w:sz w:val="21"/>
                <w:szCs w:val="21"/>
                <w:vertAlign w:val="baseline"/>
                <w:lang w:val="en-US" w:eastAsia="zh-CN"/>
              </w:rPr>
            </w:pPr>
            <w:bookmarkStart w:id="743" w:name="_Toc16904"/>
            <w:r>
              <w:rPr>
                <w:rFonts w:hint="eastAsia"/>
                <w:b w:val="0"/>
                <w:bCs w:val="0"/>
                <w:color w:val="000000" w:themeColor="text1"/>
                <w:sz w:val="21"/>
                <w:szCs w:val="21"/>
                <w:vertAlign w:val="baseline"/>
                <w:lang w:val="en-US" w:eastAsia="zh-CN"/>
              </w:rPr>
              <w:t>0.67</w:t>
            </w:r>
            <w:bookmarkEnd w:id="743"/>
          </w:p>
        </w:tc>
        <w:tc>
          <w:tcPr>
            <w:tcW w:w="1280" w:type="dxa"/>
            <w:tcBorders>
              <w:tl2br w:val="nil"/>
              <w:tr2bl w:val="nil"/>
            </w:tcBorders>
            <w:vAlign w:val="center"/>
          </w:tcPr>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line="240" w:lineRule="auto"/>
              <w:ind w:left="0" w:leftChars="0" w:firstLine="0" w:firstLineChars="0"/>
              <w:jc w:val="center"/>
              <w:textAlignment w:val="auto"/>
              <w:outlineLvl w:val="1"/>
              <w:rPr>
                <w:rFonts w:hint="eastAsia"/>
                <w:b w:val="0"/>
                <w:bCs w:val="0"/>
                <w:color w:val="000000" w:themeColor="text1"/>
                <w:sz w:val="21"/>
                <w:szCs w:val="21"/>
                <w:vertAlign w:val="baseline"/>
                <w:lang w:val="en-US" w:eastAsia="zh-CN"/>
              </w:rPr>
            </w:pPr>
            <w:bookmarkStart w:id="744" w:name="_Toc19661"/>
            <w:r>
              <w:rPr>
                <w:rFonts w:hint="eastAsia"/>
                <w:b w:val="0"/>
                <w:bCs w:val="0"/>
                <w:color w:val="000000" w:themeColor="text1"/>
                <w:sz w:val="21"/>
                <w:szCs w:val="21"/>
                <w:vertAlign w:val="baseline"/>
                <w:lang w:val="en-US" w:eastAsia="zh-CN"/>
              </w:rPr>
              <w:t>达标</w:t>
            </w:r>
            <w:bookmarkEnd w:id="744"/>
          </w:p>
        </w:tc>
      </w:tr>
    </w:tbl>
    <w:p>
      <w:pPr>
        <w:keepNext w:val="0"/>
        <w:keepLines w:val="0"/>
        <w:pageBreakBefore w:val="0"/>
        <w:widowControl w:val="0"/>
        <w:numPr>
          <w:ilvl w:val="1"/>
          <w:numId w:val="0"/>
        </w:numPr>
        <w:kinsoku/>
        <w:wordWrap/>
        <w:overflowPunct/>
        <w:topLinePunct w:val="0"/>
        <w:autoSpaceDE/>
        <w:autoSpaceDN/>
        <w:bidi w:val="0"/>
        <w:adjustRightInd w:val="0"/>
        <w:snapToGrid w:val="0"/>
        <w:spacing w:beforeLines="0" w:line="360" w:lineRule="auto"/>
        <w:ind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由</w:t>
      </w:r>
      <w:r>
        <w:rPr>
          <w:rFonts w:hint="eastAsia" w:ascii="Times New Roman" w:hAnsi="Times New Roman" w:eastAsia="宋体" w:cs="Times New Roman"/>
          <w:b w:val="0"/>
          <w:bCs w:val="0"/>
          <w:color w:val="000000" w:themeColor="text1"/>
          <w:sz w:val="24"/>
          <w:szCs w:val="24"/>
          <w:lang w:eastAsia="zh-CN"/>
        </w:rPr>
        <w:t>上</w:t>
      </w:r>
      <w:r>
        <w:rPr>
          <w:rFonts w:hint="default" w:ascii="Times New Roman" w:hAnsi="Times New Roman" w:eastAsia="宋体" w:cs="Times New Roman"/>
          <w:b w:val="0"/>
          <w:bCs w:val="0"/>
          <w:color w:val="000000" w:themeColor="text1"/>
          <w:sz w:val="24"/>
          <w:szCs w:val="24"/>
        </w:rPr>
        <w:t>表可知，各监测因子均符合《地下水环境质量标准》（GB/T 14848-2017）中III类标准限值，说明项目区地下水水质较好。</w:t>
      </w:r>
    </w:p>
    <w:p>
      <w:pPr>
        <w:pStyle w:val="5"/>
        <w:rPr>
          <w:rFonts w:hint="eastAsia"/>
          <w:color w:val="FF0000"/>
          <w:lang w:val="en-US" w:eastAsia="zh-CN"/>
        </w:rPr>
      </w:pPr>
      <w:bookmarkStart w:id="745" w:name="_Toc26738"/>
      <w:r>
        <w:rPr>
          <w:rFonts w:hint="eastAsia"/>
          <w:color w:val="FF0000"/>
          <w:lang w:val="en-US" w:eastAsia="zh-CN"/>
        </w:rPr>
        <w:t>包气带</w:t>
      </w:r>
      <w:r>
        <w:rPr>
          <w:rFonts w:hint="eastAsia"/>
          <w:color w:val="FF0000"/>
        </w:rPr>
        <w:t>环境质量现状监测与评价</w:t>
      </w:r>
    </w:p>
    <w:p>
      <w:pPr>
        <w:pStyle w:val="5"/>
        <w:keepNext/>
        <w:keepLines/>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Times New Roman" w:hAnsi="Times New Roman" w:eastAsia="宋体" w:cs="Times New Roman"/>
          <w:b/>
          <w:bCs/>
          <w:color w:val="FF0000"/>
          <w:sz w:val="24"/>
          <w:szCs w:val="24"/>
          <w:lang w:val="en-US" w:eastAsia="zh-CN"/>
        </w:rPr>
      </w:pPr>
      <w:r>
        <w:rPr>
          <w:rFonts w:hint="eastAsia" w:ascii="Times New Roman" w:hAnsi="Times New Roman" w:eastAsia="宋体" w:cs="Times New Roman"/>
          <w:b/>
          <w:bCs/>
          <w:color w:val="FF0000"/>
          <w:sz w:val="24"/>
          <w:szCs w:val="24"/>
          <w:lang w:val="en-US" w:eastAsia="zh-CN"/>
        </w:rPr>
        <w:t>点位布设</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t>本项目为改扩建项目，评价等级为二级，根据《环境影响评价技术导则 地下水环境》（HJ610-2016）</w:t>
      </w:r>
      <w:r>
        <w:rPr>
          <w:rFonts w:hint="eastAsia" w:ascii="Times New Roman" w:hAnsi="Times New Roman" w:eastAsia="宋体" w:cs="Times New Roman"/>
          <w:b w:val="0"/>
          <w:bCs w:val="0"/>
          <w:color w:val="FF0000"/>
          <w:sz w:val="24"/>
          <w:szCs w:val="24"/>
          <w:lang w:val="en-US" w:eastAsia="zh-CN"/>
        </w:rPr>
        <w:t>，</w:t>
      </w:r>
      <w:r>
        <w:rPr>
          <w:rFonts w:hint="default" w:ascii="Times New Roman" w:hAnsi="Times New Roman" w:eastAsia="宋体" w:cs="Times New Roman"/>
          <w:b w:val="0"/>
          <w:bCs w:val="0"/>
          <w:color w:val="FF0000"/>
          <w:sz w:val="24"/>
          <w:szCs w:val="24"/>
          <w:lang w:val="en-US" w:eastAsia="zh-CN"/>
        </w:rPr>
        <w:t>本项目应开展现有工业场地的包气带污染现状调查。本次调查在厂界外地下水流场上游100m的林地设</w:t>
      </w:r>
      <w:r>
        <w:rPr>
          <w:rFonts w:hint="eastAsia" w:ascii="Times New Roman" w:hAnsi="Times New Roman" w:eastAsia="宋体" w:cs="Times New Roman"/>
          <w:b w:val="0"/>
          <w:bCs w:val="0"/>
          <w:color w:val="FF0000"/>
          <w:sz w:val="24"/>
          <w:szCs w:val="24"/>
          <w:lang w:val="en-US" w:eastAsia="zh-CN"/>
        </w:rPr>
        <w:t>1</w:t>
      </w:r>
      <w:r>
        <w:rPr>
          <w:rFonts w:hint="default" w:ascii="Times New Roman" w:hAnsi="Times New Roman" w:eastAsia="宋体" w:cs="Times New Roman"/>
          <w:b w:val="0"/>
          <w:bCs w:val="0"/>
          <w:color w:val="FF0000"/>
          <w:sz w:val="24"/>
          <w:szCs w:val="24"/>
          <w:lang w:val="en-US" w:eastAsia="zh-CN"/>
        </w:rPr>
        <w:t>个背景点监测点位，在现有工业场地的矿石临时堆场旁、废水沉淀池旁边、危险废物暂存间旁边</w:t>
      </w:r>
      <w:r>
        <w:rPr>
          <w:rFonts w:hint="eastAsia" w:ascii="Times New Roman" w:hAnsi="Times New Roman" w:eastAsia="宋体" w:cs="Times New Roman"/>
          <w:b w:val="0"/>
          <w:bCs w:val="0"/>
          <w:color w:val="FF0000"/>
          <w:sz w:val="24"/>
          <w:szCs w:val="24"/>
          <w:lang w:val="en-US" w:eastAsia="zh-CN"/>
        </w:rPr>
        <w:t>设置3个监测点位，分别在0-0.2m和0.2-0.8m的深度进行取样。</w:t>
      </w:r>
    </w:p>
    <w:p>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360" w:lineRule="auto"/>
        <w:ind w:left="0" w:leftChars="0" w:firstLine="480" w:firstLineChars="200"/>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监测时段与监测频次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202</w:t>
      </w:r>
      <w:r>
        <w:rPr>
          <w:rFonts w:hint="eastAsia"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rPr>
        <w:t>年</w:t>
      </w:r>
      <w:r>
        <w:rPr>
          <w:rFonts w:hint="eastAsia" w:ascii="Times New Roman" w:hAnsi="Times New Roman" w:eastAsia="宋体" w:cs="Times New Roman"/>
          <w:color w:val="FF0000"/>
          <w:sz w:val="24"/>
          <w:szCs w:val="24"/>
          <w:lang w:val="en-US" w:eastAsia="zh-CN"/>
        </w:rPr>
        <w:t>10</w:t>
      </w:r>
      <w:r>
        <w:rPr>
          <w:rFonts w:hint="default" w:ascii="Times New Roman" w:hAnsi="Times New Roman" w:eastAsia="宋体" w:cs="Times New Roman"/>
          <w:color w:val="FF0000"/>
          <w:sz w:val="24"/>
          <w:szCs w:val="24"/>
        </w:rPr>
        <w:t>月</w:t>
      </w:r>
      <w:r>
        <w:rPr>
          <w:rFonts w:hint="eastAsia" w:ascii="Times New Roman" w:hAnsi="Times New Roman" w:eastAsia="宋体" w:cs="Times New Roman"/>
          <w:color w:val="FF0000"/>
          <w:sz w:val="24"/>
          <w:szCs w:val="24"/>
          <w:lang w:val="en-US" w:eastAsia="zh-CN"/>
        </w:rPr>
        <w:t>8</w:t>
      </w:r>
      <w:r>
        <w:rPr>
          <w:rFonts w:hint="default" w:ascii="Times New Roman" w:hAnsi="Times New Roman" w:eastAsia="宋体" w:cs="Times New Roman"/>
          <w:color w:val="FF0000"/>
          <w:sz w:val="24"/>
          <w:szCs w:val="24"/>
        </w:rPr>
        <w:t>日进行取样监测，监测一天，一次</w:t>
      </w:r>
      <w:r>
        <w:rPr>
          <w:rFonts w:hint="default"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rPr>
        <w:t>天。</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（3）</w:t>
      </w:r>
      <w:r>
        <w:rPr>
          <w:rFonts w:hint="eastAsia" w:ascii="Times New Roman" w:hAnsi="Times New Roman" w:eastAsia="宋体" w:cs="Times New Roman"/>
          <w:b/>
          <w:bCs/>
          <w:color w:val="FF0000"/>
          <w:sz w:val="24"/>
          <w:szCs w:val="24"/>
          <w:lang w:eastAsia="zh-CN"/>
        </w:rPr>
        <w:t>监测项目及采样分析方法</w:t>
      </w:r>
    </w:p>
    <w:p>
      <w:pPr>
        <w:pStyle w:val="14"/>
        <w:keepNext w:val="0"/>
        <w:keepLines w:val="0"/>
        <w:pageBreakBefore w:val="0"/>
        <w:widowControl w:val="0"/>
        <w:kinsoku/>
        <w:wordWrap/>
        <w:overflowPunct/>
        <w:topLinePunct w:val="0"/>
        <w:autoSpaceDE/>
        <w:autoSpaceDN/>
        <w:bidi w:val="0"/>
        <w:adjustRightInd w:val="0"/>
        <w:snapToGrid w:val="0"/>
        <w:spacing w:beforeLines="0" w:line="360" w:lineRule="auto"/>
        <w:jc w:val="center"/>
        <w:textAlignment w:val="auto"/>
        <w:rPr>
          <w:rFonts w:hint="default"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lang w:val="en-US" w:eastAsia="zh-CN"/>
        </w:rPr>
        <w:t>表4.2-</w:t>
      </w:r>
      <w:r>
        <w:rPr>
          <w:rFonts w:hint="eastAsia" w:ascii="Times New Roman" w:hAnsi="Times New Roman" w:eastAsia="宋体" w:cs="Times New Roman"/>
          <w:b/>
          <w:bCs/>
          <w:color w:val="FF0000"/>
          <w:kern w:val="28"/>
          <w:sz w:val="21"/>
          <w:szCs w:val="21"/>
          <w:lang w:val="en-US" w:eastAsia="zh-CN" w:bidi="ar-SA"/>
        </w:rPr>
        <w:t>12</w:t>
      </w:r>
      <w:r>
        <w:rPr>
          <w:rFonts w:hint="default" w:ascii="Times New Roman" w:hAnsi="Times New Roman" w:eastAsia="宋体" w:cs="Times New Roman"/>
          <w:b/>
          <w:bCs/>
          <w:color w:val="FF0000"/>
          <w:kern w:val="28"/>
          <w:sz w:val="21"/>
          <w:szCs w:val="21"/>
          <w:lang w:val="en-US" w:eastAsia="zh-CN" w:bidi="ar-SA"/>
        </w:rPr>
        <w:t xml:space="preserve">   </w:t>
      </w:r>
      <w:r>
        <w:rPr>
          <w:rFonts w:hint="default" w:ascii="Times New Roman" w:hAnsi="Times New Roman" w:eastAsia="宋体" w:cs="Times New Roman"/>
          <w:b/>
          <w:bCs/>
          <w:color w:val="FF0000"/>
          <w:sz w:val="21"/>
          <w:szCs w:val="21"/>
          <w:lang w:eastAsia="zh-CN"/>
        </w:rPr>
        <w:t>包气带监测分析方法</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83"/>
        <w:gridCol w:w="3048"/>
        <w:gridCol w:w="2346"/>
        <w:gridCol w:w="1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8957" w:type="dxa"/>
            <w:gridSpan w:val="5"/>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FF0000"/>
                <w:szCs w:val="21"/>
              </w:rPr>
              <w:t>检测依据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FF0000"/>
                <w:szCs w:val="21"/>
              </w:rPr>
            </w:pPr>
            <w:r>
              <w:rPr>
                <w:rFonts w:hint="default" w:ascii="Times New Roman" w:hAnsi="Times New Roman" w:eastAsia="宋体" w:cs="Times New Roman"/>
                <w:color w:val="FF0000"/>
                <w:szCs w:val="21"/>
                <w:lang w:eastAsia="zh-CN"/>
              </w:rPr>
              <w:t>检测类别</w:t>
            </w: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FF0000"/>
                <w:szCs w:val="21"/>
              </w:rPr>
            </w:pPr>
            <w:r>
              <w:rPr>
                <w:rFonts w:hint="default" w:ascii="Times New Roman" w:hAnsi="Times New Roman" w:eastAsia="宋体" w:cs="Times New Roman"/>
                <w:color w:val="FF0000"/>
                <w:szCs w:val="21"/>
              </w:rPr>
              <w:t>检测项目</w:t>
            </w:r>
          </w:p>
        </w:tc>
        <w:tc>
          <w:tcPr>
            <w:tcW w:w="304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FF0000"/>
                <w:szCs w:val="21"/>
              </w:rPr>
            </w:pPr>
            <w:r>
              <w:rPr>
                <w:rFonts w:hint="default" w:ascii="Times New Roman" w:hAnsi="Times New Roman" w:eastAsia="宋体" w:cs="Times New Roman"/>
                <w:color w:val="FF0000"/>
                <w:szCs w:val="21"/>
              </w:rPr>
              <w:t>检测依据</w:t>
            </w:r>
          </w:p>
        </w:tc>
        <w:tc>
          <w:tcPr>
            <w:tcW w:w="2346"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FF0000"/>
                <w:szCs w:val="21"/>
              </w:rPr>
            </w:pPr>
            <w:r>
              <w:rPr>
                <w:rFonts w:hint="default" w:ascii="Times New Roman" w:hAnsi="Times New Roman" w:eastAsia="宋体" w:cs="Times New Roman"/>
                <w:color w:val="FF0000"/>
                <w:szCs w:val="21"/>
              </w:rPr>
              <w:t>仪器名称/型号/管理编号</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FF0000"/>
                <w:szCs w:val="21"/>
              </w:rPr>
            </w:pPr>
            <w:r>
              <w:rPr>
                <w:rFonts w:hint="default" w:ascii="Times New Roman" w:hAnsi="Times New Roman" w:eastAsia="宋体" w:cs="Times New Roman"/>
                <w:color w:val="FF0000"/>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jc w:val="center"/>
        </w:trPr>
        <w:tc>
          <w:tcPr>
            <w:tcW w:w="1182" w:type="dxa"/>
            <w:tcBorders>
              <w:tl2br w:val="nil"/>
              <w:tr2bl w:val="nil"/>
            </w:tcBorders>
            <w:vAlign w:val="center"/>
          </w:tcPr>
          <w:p>
            <w:pPr>
              <w:keepNext w:val="0"/>
              <w:keepLines w:val="0"/>
              <w:pageBreakBefore w:val="0"/>
              <w:kinsoku/>
              <w:wordWrap/>
              <w:overflowPunct/>
              <w:topLinePunct w:val="0"/>
              <w:autoSpaceDE w:val="0"/>
              <w:autoSpaceDN/>
              <w:bidi w:val="0"/>
              <w:adjustRightInd/>
              <w:snapToGrid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1"/>
                <w:lang w:val="en-US" w:eastAsia="zh-CN"/>
              </w:rPr>
              <w:t>包气带</w:t>
            </w: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1"/>
              </w:rPr>
              <w:t>pH值</w:t>
            </w:r>
          </w:p>
        </w:tc>
        <w:tc>
          <w:tcPr>
            <w:tcW w:w="30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0"/>
                <w:szCs w:val="21"/>
                <w:shd w:val="clear" w:color="auto" w:fill="FFFFFF"/>
              </w:rPr>
              <w:t xml:space="preserve">生活饮用水标准检验方法 </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0"/>
                <w:szCs w:val="21"/>
                <w:shd w:val="clear" w:color="auto" w:fill="FFFFFF"/>
              </w:rPr>
              <w:t>感官性状和物理指标</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0"/>
                <w:szCs w:val="21"/>
                <w:shd w:val="clear" w:color="auto" w:fill="FFFFFF"/>
              </w:rPr>
              <w:t>玻璃电极法</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0"/>
                <w:szCs w:val="21"/>
                <w:shd w:val="clear" w:color="auto" w:fill="FFFFFF"/>
              </w:rPr>
              <w:t>GB/T 5750.4-2006（5.1）</w:t>
            </w:r>
          </w:p>
        </w:tc>
        <w:tc>
          <w:tcPr>
            <w:tcW w:w="2346"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kern w:val="0"/>
                <w:szCs w:val="21"/>
                <w:shd w:val="clear" w:color="auto" w:fill="FFFFFF"/>
                <w:lang w:val="en-US" w:eastAsia="zh-CN"/>
              </w:rPr>
            </w:pPr>
            <w:r>
              <w:rPr>
                <w:rFonts w:hint="default" w:ascii="Times New Roman" w:hAnsi="Times New Roman" w:eastAsia="宋体" w:cs="Times New Roman"/>
                <w:color w:val="FF0000"/>
                <w:kern w:val="0"/>
                <w:szCs w:val="21"/>
                <w:shd w:val="clear" w:color="auto" w:fill="FFFFFF"/>
              </w:rPr>
              <w:t>PH计</w:t>
            </w:r>
          </w:p>
          <w:p>
            <w:pPr>
              <w:keepNext w:val="0"/>
              <w:keepLines w:val="0"/>
              <w:pageBreakBefore w:val="0"/>
              <w:widowControl/>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0"/>
                <w:szCs w:val="21"/>
                <w:shd w:val="clear" w:color="auto" w:fill="FFFFFF"/>
                <w:lang w:val="en-US" w:eastAsia="zh-CN"/>
              </w:rPr>
              <w:t>/</w:t>
            </w:r>
            <w:r>
              <w:rPr>
                <w:rFonts w:hint="default" w:ascii="Times New Roman" w:hAnsi="Times New Roman" w:eastAsia="宋体" w:cs="Times New Roman"/>
                <w:color w:val="FF0000"/>
                <w:kern w:val="0"/>
                <w:szCs w:val="21"/>
                <w:shd w:val="clear" w:color="auto" w:fill="FFFFFF"/>
              </w:rPr>
              <w:t>PHS-3C/</w:t>
            </w:r>
          </w:p>
          <w:p>
            <w:pPr>
              <w:keepNext w:val="0"/>
              <w:keepLines w:val="0"/>
              <w:pageBreakBefore w:val="0"/>
              <w:widowControl/>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0"/>
                <w:szCs w:val="21"/>
                <w:shd w:val="clear" w:color="auto" w:fill="FFFFFF"/>
              </w:rPr>
              <w:t>ZXJC-YQ-019</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snapToGrid w:val="0"/>
                <w:color w:val="FF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8957" w:type="dxa"/>
            <w:gridSpan w:val="5"/>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b/>
                <w:bCs/>
                <w:color w:val="FF0000"/>
                <w:szCs w:val="21"/>
              </w:rPr>
              <w:t>检测依据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eastAsia="zh-CN"/>
              </w:rPr>
              <w:t>检测类别</w:t>
            </w: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Cs w:val="21"/>
              </w:rPr>
              <w:t>检测项目</w:t>
            </w:r>
          </w:p>
        </w:tc>
        <w:tc>
          <w:tcPr>
            <w:tcW w:w="304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1"/>
              </w:rPr>
              <w:t>检测依据</w:t>
            </w:r>
          </w:p>
        </w:tc>
        <w:tc>
          <w:tcPr>
            <w:tcW w:w="2346"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Cs w:val="21"/>
              </w:rPr>
              <w:t>仪器名称/型号/管理编号</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vMerge w:val="restart"/>
            <w:tcBorders>
              <w:tl2br w:val="nil"/>
              <w:tr2bl w:val="nil"/>
            </w:tcBorders>
            <w:vAlign w:val="center"/>
          </w:tcPr>
          <w:p>
            <w:pPr>
              <w:keepNext w:val="0"/>
              <w:keepLines w:val="0"/>
              <w:pageBreakBefore w:val="0"/>
              <w:kinsoku/>
              <w:wordWrap/>
              <w:overflowPunct/>
              <w:topLinePunct w:val="0"/>
              <w:autoSpaceDE w:val="0"/>
              <w:autoSpaceDN/>
              <w:bidi w:val="0"/>
              <w:adjustRightInd/>
              <w:snapToGrid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1"/>
                <w:lang w:val="en-US" w:eastAsia="zh-CN"/>
              </w:rPr>
              <w:t>包气带</w:t>
            </w: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pacing w:line="240" w:lineRule="exact"/>
              <w:ind w:left="1050" w:leftChars="0" w:hanging="1050" w:hangingChars="500"/>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rPr>
              <w:t>砷</w:t>
            </w:r>
          </w:p>
        </w:tc>
        <w:tc>
          <w:tcPr>
            <w:tcW w:w="304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 xml:space="preserve">水质 汞、砷、硒、铋和锑的测定 </w:t>
            </w:r>
          </w:p>
          <w:p>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 xml:space="preserve"> 原子荧光法</w:t>
            </w:r>
          </w:p>
          <w:p>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2"/>
                <w:sz w:val="21"/>
                <w:szCs w:val="21"/>
                <w:lang w:val="en-US" w:eastAsia="zh-CN" w:bidi="ar-SA"/>
              </w:rPr>
              <w:t>HJ 694-2014</w:t>
            </w:r>
          </w:p>
        </w:tc>
        <w:tc>
          <w:tcPr>
            <w:tcW w:w="234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color w:val="FF0000"/>
                <w:szCs w:val="21"/>
                <w:lang w:val="en-US" w:eastAsia="zh-CN"/>
              </w:rPr>
              <w:t>原子荧光分光光度计/</w:t>
            </w:r>
            <w:r>
              <w:rPr>
                <w:rFonts w:hint="default" w:ascii="Times New Roman" w:hAnsi="Times New Roman" w:eastAsia="宋体" w:cs="Times New Roman"/>
                <w:i w:val="0"/>
                <w:color w:val="FF0000"/>
                <w:kern w:val="0"/>
                <w:sz w:val="21"/>
                <w:szCs w:val="21"/>
                <w:u w:val="none"/>
                <w:lang w:val="en-US" w:eastAsia="zh-CN" w:bidi="ar"/>
              </w:rPr>
              <w:t>AF-7500B/</w:t>
            </w:r>
          </w:p>
          <w:p>
            <w:pPr>
              <w:keepNext w:val="0"/>
              <w:keepLines w:val="0"/>
              <w:pageBreakBefore w:val="0"/>
              <w:suppressLineNumbers w:val="0"/>
              <w:kinsoku/>
              <w:wordWrap/>
              <w:overflowPunct/>
              <w:topLinePunct w:val="0"/>
              <w:autoSpaceDE/>
              <w:autoSpaceDN/>
              <w:bidi w:val="0"/>
              <w:adjustRightInd/>
              <w:spacing w:beforeAutospacing="0" w:afterAutospacing="0"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 w:val="21"/>
                <w:szCs w:val="21"/>
              </w:rPr>
              <w:t>ZXJC-YQ-0</w:t>
            </w:r>
            <w:r>
              <w:rPr>
                <w:rFonts w:hint="default" w:ascii="Times New Roman" w:hAnsi="Times New Roman" w:eastAsia="宋体" w:cs="Times New Roman"/>
                <w:color w:val="FF0000"/>
                <w:sz w:val="21"/>
                <w:szCs w:val="21"/>
                <w:lang w:val="en-US" w:eastAsia="zh-CN"/>
              </w:rPr>
              <w:t>89</w:t>
            </w:r>
          </w:p>
        </w:tc>
        <w:tc>
          <w:tcPr>
            <w:tcW w:w="1198"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sz w:val="21"/>
                <w:szCs w:val="21"/>
                <w:lang w:val="en-US" w:eastAsia="zh-CN"/>
              </w:rPr>
              <w:t>0.3μg/L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pacing w:line="240" w:lineRule="exact"/>
              <w:ind w:left="1050" w:leftChars="0" w:hanging="1050" w:hangingChars="500"/>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lang w:eastAsia="zh-CN"/>
              </w:rPr>
              <w:t>汞</w:t>
            </w:r>
          </w:p>
        </w:tc>
        <w:tc>
          <w:tcPr>
            <w:tcW w:w="3048" w:type="dxa"/>
            <w:vMerge w:val="continue"/>
            <w:tcBorders>
              <w:tl2br w:val="nil"/>
              <w:tr2bl w:val="nil"/>
            </w:tcBorders>
            <w:vAlign w:val="center"/>
          </w:tcPr>
          <w:p>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0"/>
                <w:szCs w:val="21"/>
                <w:shd w:val="clear" w:color="auto" w:fill="FFFFFF"/>
              </w:rPr>
            </w:pPr>
          </w:p>
        </w:tc>
        <w:tc>
          <w:tcPr>
            <w:tcW w:w="234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Autospacing="0" w:afterAutospacing="0" w:line="240" w:lineRule="exact"/>
              <w:jc w:val="center"/>
              <w:textAlignment w:val="auto"/>
              <w:rPr>
                <w:rFonts w:hint="default" w:ascii="Times New Roman" w:hAnsi="Times New Roman" w:eastAsia="宋体" w:cs="Times New Roman"/>
                <w:color w:val="FF0000"/>
                <w:kern w:val="0"/>
                <w:szCs w:val="21"/>
                <w:shd w:val="clear" w:color="auto" w:fill="FFFFFF"/>
              </w:rPr>
            </w:pPr>
          </w:p>
        </w:tc>
        <w:tc>
          <w:tcPr>
            <w:tcW w:w="1198"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sz w:val="21"/>
                <w:szCs w:val="21"/>
                <w:lang w:val="en-US" w:eastAsia="zh-CN"/>
              </w:rPr>
              <w:t>0.04μg/L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1"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rPr>
              <w:t>铅</w:t>
            </w:r>
          </w:p>
        </w:tc>
        <w:tc>
          <w:tcPr>
            <w:tcW w:w="30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 xml:space="preserve">生活饮用水标准检验方法 </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金属指标</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11.1</w:t>
            </w:r>
            <w:r>
              <w:rPr>
                <w:rFonts w:hint="default" w:ascii="Times New Roman" w:hAnsi="Times New Roman" w:eastAsia="宋体" w:cs="Times New Roman"/>
                <w:color w:val="FF0000"/>
                <w:sz w:val="21"/>
                <w:szCs w:val="21"/>
              </w:rPr>
              <w:t>无火焰原子吸收分光光度法</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 w:val="21"/>
                <w:szCs w:val="21"/>
              </w:rPr>
              <w:t xml:space="preserve">GB/T 5750.6-2006                   </w:t>
            </w:r>
          </w:p>
        </w:tc>
        <w:tc>
          <w:tcPr>
            <w:tcW w:w="2346" w:type="dxa"/>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z w:val="21"/>
                <w:szCs w:val="32"/>
                <w:lang w:val="en-US" w:eastAsia="zh-CN"/>
              </w:rPr>
            </w:pPr>
            <w:r>
              <w:rPr>
                <w:rFonts w:hint="default" w:ascii="Times New Roman" w:hAnsi="Times New Roman" w:eastAsia="宋体" w:cs="Times New Roman"/>
                <w:color w:val="FF0000"/>
                <w:sz w:val="21"/>
                <w:szCs w:val="32"/>
                <w:lang w:val="en-US" w:eastAsia="zh-CN"/>
              </w:rPr>
              <w:t>原子吸收分光光度计/SP-3500AA(4AT)/</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 w:val="21"/>
                <w:szCs w:val="32"/>
                <w:lang w:val="en-US" w:eastAsia="zh-CN"/>
              </w:rPr>
              <w:t>ZXJC-YQ-083</w:t>
            </w:r>
          </w:p>
        </w:tc>
        <w:tc>
          <w:tcPr>
            <w:tcW w:w="1198" w:type="dxa"/>
            <w:tcBorders>
              <w:tl2br w:val="nil"/>
              <w:tr2bl w:val="nil"/>
            </w:tcBorders>
            <w:vAlign w:val="center"/>
          </w:tcPr>
          <w:p>
            <w:pPr>
              <w:pStyle w:val="60"/>
              <w:keepNext w:val="0"/>
              <w:keepLines w:val="0"/>
              <w:pageBreakBefore w:val="0"/>
              <w:kinsoku/>
              <w:wordWrap/>
              <w:overflowPunct/>
              <w:topLinePunct w:val="0"/>
              <w:autoSpaceDE/>
              <w:autoSpaceDN/>
              <w:bidi w:val="0"/>
              <w:adjustRightInd/>
              <w:spacing w:line="240" w:lineRule="atLeast"/>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kern w:val="2"/>
                <w:sz w:val="21"/>
                <w:szCs w:val="21"/>
                <w:vertAlign w:val="baseline"/>
                <w:lang w:val="en-US" w:eastAsia="zh-CN" w:bidi="ar-SA"/>
              </w:rPr>
              <w:t>0.625μg/L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lang w:val="en-US" w:eastAsia="zh-CN"/>
              </w:rPr>
              <w:t>镉</w:t>
            </w:r>
          </w:p>
        </w:tc>
        <w:tc>
          <w:tcPr>
            <w:tcW w:w="30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snapToGrid w:val="0"/>
                <w:color w:val="FF0000"/>
                <w:kern w:val="0"/>
                <w:szCs w:val="21"/>
                <w:lang w:val="en-US" w:eastAsia="zh-CN"/>
              </w:rPr>
            </w:pPr>
            <w:r>
              <w:rPr>
                <w:rFonts w:hint="default" w:ascii="Times New Roman" w:hAnsi="Times New Roman" w:eastAsia="宋体" w:cs="Times New Roman"/>
                <w:snapToGrid w:val="0"/>
                <w:color w:val="FF0000"/>
                <w:kern w:val="0"/>
                <w:szCs w:val="21"/>
                <w:lang w:val="en-US" w:eastAsia="zh-CN"/>
              </w:rPr>
              <w:t xml:space="preserve">生活饮用水标准检验方法 </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金属指标</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9.1</w:t>
            </w:r>
            <w:r>
              <w:rPr>
                <w:rFonts w:hint="default" w:ascii="Times New Roman" w:hAnsi="Times New Roman" w:eastAsia="宋体" w:cs="Times New Roman"/>
                <w:color w:val="FF0000"/>
                <w:sz w:val="21"/>
                <w:szCs w:val="21"/>
              </w:rPr>
              <w:t>无火焰原子吸收分光光度法</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 w:val="21"/>
                <w:szCs w:val="21"/>
              </w:rPr>
              <w:t>GB/T 5750.6-2006</w:t>
            </w:r>
          </w:p>
        </w:tc>
        <w:tc>
          <w:tcPr>
            <w:tcW w:w="2346" w:type="dxa"/>
            <w:tcBorders>
              <w:tl2br w:val="nil"/>
              <w:tr2bl w:val="nil"/>
            </w:tcBorders>
            <w:vAlign w:val="center"/>
          </w:tcPr>
          <w:p>
            <w:pPr>
              <w:pStyle w:val="18"/>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FF0000"/>
                <w:sz w:val="21"/>
                <w:szCs w:val="32"/>
                <w:lang w:val="en-US" w:eastAsia="zh-CN"/>
              </w:rPr>
            </w:pPr>
            <w:r>
              <w:rPr>
                <w:rFonts w:hint="default" w:ascii="Times New Roman" w:hAnsi="Times New Roman" w:eastAsia="宋体" w:cs="Times New Roman"/>
                <w:color w:val="FF0000"/>
                <w:sz w:val="21"/>
                <w:szCs w:val="32"/>
                <w:lang w:val="en-US" w:eastAsia="zh-CN"/>
              </w:rPr>
              <w:t>原子吸收分光光度计/SP-3500AA(4AT)/</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 w:val="21"/>
                <w:szCs w:val="32"/>
                <w:lang w:val="en-US" w:eastAsia="zh-CN"/>
              </w:rPr>
              <w:t>ZXJC-YQ-083</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b w:val="0"/>
                <w:bCs w:val="0"/>
                <w:snapToGrid w:val="0"/>
                <w:color w:val="FF0000"/>
                <w:spacing w:val="0"/>
                <w:kern w:val="0"/>
                <w:sz w:val="21"/>
                <w:szCs w:val="21"/>
                <w:lang w:val="en-US" w:eastAsia="zh-CN"/>
              </w:rPr>
              <w:t>0.5</w:t>
            </w:r>
            <w:r>
              <w:rPr>
                <w:rFonts w:hint="default" w:ascii="Times New Roman" w:hAnsi="Times New Roman" w:eastAsia="宋体" w:cs="Times New Roman"/>
                <w:color w:val="FF0000"/>
                <w:sz w:val="21"/>
                <w:szCs w:val="21"/>
                <w:vertAlign w:val="baseline"/>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2"/>
                <w:lang w:val="en-US" w:eastAsia="zh-CN"/>
              </w:rPr>
              <w:t>铁</w:t>
            </w:r>
          </w:p>
        </w:tc>
        <w:tc>
          <w:tcPr>
            <w:tcW w:w="304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 xml:space="preserve">水质 铁、锰的测定  </w:t>
            </w:r>
          </w:p>
          <w:p>
            <w:pPr>
              <w:keepNext w:val="0"/>
              <w:keepLines w:val="0"/>
              <w:pageBreakBefore w:val="0"/>
              <w:widowControl/>
              <w:suppressLineNumbers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火焰原子吸收分光光度法</w:t>
            </w:r>
          </w:p>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2"/>
                <w:sz w:val="21"/>
                <w:szCs w:val="21"/>
                <w:lang w:val="en-US" w:eastAsia="zh-CN" w:bidi="ar-SA"/>
              </w:rPr>
              <w:t>GB/T 11911-1989</w:t>
            </w:r>
          </w:p>
        </w:tc>
        <w:tc>
          <w:tcPr>
            <w:tcW w:w="2346" w:type="dxa"/>
            <w:vMerge w:val="restart"/>
            <w:tcBorders>
              <w:tl2br w:val="nil"/>
              <w:tr2bl w:val="nil"/>
            </w:tcBorders>
            <w:vAlign w:val="center"/>
          </w:tcPr>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原子吸收分光光度计/SP-3500AA(4AT)/</w:t>
            </w:r>
          </w:p>
          <w:p>
            <w:pPr>
              <w:keepNext w:val="0"/>
              <w:keepLines w:val="0"/>
              <w:pageBreakBefore w:val="0"/>
              <w:suppressLineNumbers w:val="0"/>
              <w:kinsoku/>
              <w:wordWrap/>
              <w:overflowPunct/>
              <w:topLinePunct w:val="0"/>
              <w:autoSpaceDE/>
              <w:autoSpaceDN/>
              <w:bidi w:val="0"/>
              <w:spacing w:beforeAutospacing="0" w:afterAutospacing="0"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 w:val="21"/>
                <w:szCs w:val="21"/>
              </w:rPr>
              <w:t>ZXJC-YQ-0</w:t>
            </w:r>
            <w:r>
              <w:rPr>
                <w:rFonts w:hint="default" w:ascii="Times New Roman" w:hAnsi="Times New Roman" w:eastAsia="宋体" w:cs="Times New Roman"/>
                <w:color w:val="FF0000"/>
                <w:sz w:val="21"/>
                <w:szCs w:val="21"/>
                <w:lang w:val="en-US" w:eastAsia="zh-CN"/>
              </w:rPr>
              <w:t>83</w:t>
            </w:r>
          </w:p>
        </w:tc>
        <w:tc>
          <w:tcPr>
            <w:tcW w:w="1198" w:type="dxa"/>
            <w:tcBorders>
              <w:tl2br w:val="nil"/>
              <w:tr2bl w:val="nil"/>
            </w:tcBorders>
            <w:vAlign w:val="center"/>
          </w:tcPr>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80" w:lineRule="exact"/>
              <w:ind w:left="0" w:leftChars="0" w:right="0" w:rightChars="0"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kern w:val="0"/>
                <w:szCs w:val="21"/>
                <w:shd w:val="clear" w:color="auto" w:fill="FFFFFF"/>
                <w:lang w:val="en-US" w:eastAsia="zh-CN"/>
              </w:rPr>
              <w:t>0.03</w:t>
            </w:r>
            <w:r>
              <w:rPr>
                <w:rFonts w:hint="default" w:ascii="Times New Roman" w:hAnsi="Times New Roman" w:eastAsia="宋体" w:cs="Times New Roman"/>
                <w:color w:val="FF0000"/>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2"/>
                <w:lang w:val="en-US" w:eastAsia="zh-CN"/>
              </w:rPr>
              <w:t>锰</w:t>
            </w:r>
          </w:p>
        </w:tc>
        <w:tc>
          <w:tcPr>
            <w:tcW w:w="3048" w:type="dxa"/>
            <w:vMerge w:val="continue"/>
            <w:tcBorders>
              <w:tl2br w:val="nil"/>
              <w:tr2bl w:val="nil"/>
            </w:tcBorders>
            <w:vAlign w:val="center"/>
          </w:tcPr>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0"/>
                <w:szCs w:val="21"/>
                <w:shd w:val="clear" w:color="auto" w:fill="FFFFFF"/>
              </w:rPr>
            </w:pPr>
          </w:p>
        </w:tc>
        <w:tc>
          <w:tcPr>
            <w:tcW w:w="234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Autospacing="0" w:afterAutospacing="0" w:line="240" w:lineRule="exact"/>
              <w:jc w:val="center"/>
              <w:textAlignment w:val="auto"/>
              <w:rPr>
                <w:rFonts w:hint="default" w:ascii="Times New Roman" w:hAnsi="Times New Roman" w:eastAsia="宋体" w:cs="Times New Roman"/>
                <w:color w:val="FF0000"/>
                <w:kern w:val="0"/>
                <w:szCs w:val="21"/>
                <w:shd w:val="clear" w:color="auto" w:fill="FFFFFF"/>
              </w:rPr>
            </w:pPr>
          </w:p>
        </w:tc>
        <w:tc>
          <w:tcPr>
            <w:tcW w:w="1198" w:type="dxa"/>
            <w:tcBorders>
              <w:tl2br w:val="nil"/>
              <w:tr2bl w:val="nil"/>
            </w:tcBorders>
            <w:vAlign w:val="center"/>
          </w:tcPr>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80" w:lineRule="exact"/>
              <w:ind w:left="0" w:leftChars="0" w:right="0" w:rightChars="0"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kern w:val="0"/>
                <w:szCs w:val="21"/>
                <w:shd w:val="clear" w:color="auto" w:fill="FFFFFF"/>
                <w:lang w:val="en-US" w:eastAsia="zh-CN"/>
              </w:rPr>
              <w:t>0.01</w:t>
            </w:r>
            <w:r>
              <w:rPr>
                <w:rFonts w:hint="default" w:ascii="Times New Roman" w:hAnsi="Times New Roman" w:eastAsia="宋体" w:cs="Times New Roman"/>
                <w:color w:val="FF0000"/>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CO</w:t>
            </w:r>
            <w:r>
              <w:rPr>
                <w:rFonts w:hint="default" w:ascii="Times New Roman" w:hAnsi="Times New Roman" w:eastAsia="宋体" w:cs="Times New Roman"/>
                <w:color w:val="FF0000"/>
                <w:szCs w:val="21"/>
                <w:vertAlign w:val="subscript"/>
              </w:rPr>
              <w:t>3</w:t>
            </w:r>
            <w:r>
              <w:rPr>
                <w:rFonts w:hint="default" w:ascii="Times New Roman" w:hAnsi="Times New Roman" w:eastAsia="宋体" w:cs="Times New Roman"/>
                <w:color w:val="FF0000"/>
                <w:szCs w:val="21"/>
                <w:vertAlign w:val="superscript"/>
              </w:rPr>
              <w:t>2-</w:t>
            </w:r>
          </w:p>
        </w:tc>
        <w:tc>
          <w:tcPr>
            <w:tcW w:w="30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地下水质</w:t>
            </w:r>
            <w:r>
              <w:rPr>
                <w:rFonts w:hint="default" w:ascii="Times New Roman" w:hAnsi="Times New Roman" w:eastAsia="宋体" w:cs="Times New Roman"/>
                <w:color w:val="FF0000"/>
                <w:szCs w:val="22"/>
                <w:lang w:eastAsia="zh-CN"/>
              </w:rPr>
              <w:t>分析</w:t>
            </w:r>
            <w:r>
              <w:rPr>
                <w:rFonts w:hint="default" w:ascii="Times New Roman" w:hAnsi="Times New Roman" w:eastAsia="宋体" w:cs="Times New Roman"/>
                <w:color w:val="FF0000"/>
                <w:szCs w:val="22"/>
              </w:rPr>
              <w:t>方法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lang w:val="en-US" w:eastAsia="zh-CN"/>
              </w:rPr>
            </w:pPr>
            <w:r>
              <w:rPr>
                <w:rFonts w:hint="default" w:ascii="Times New Roman" w:hAnsi="Times New Roman" w:eastAsia="宋体" w:cs="Times New Roman"/>
                <w:color w:val="FF0000"/>
                <w:szCs w:val="22"/>
                <w:lang w:eastAsia="zh-CN"/>
              </w:rPr>
              <w:t>第</w:t>
            </w:r>
            <w:r>
              <w:rPr>
                <w:rFonts w:hint="default" w:ascii="Times New Roman" w:hAnsi="Times New Roman" w:eastAsia="宋体" w:cs="Times New Roman"/>
                <w:color w:val="FF0000"/>
                <w:szCs w:val="22"/>
                <w:lang w:val="en-US" w:eastAsia="zh-CN"/>
              </w:rPr>
              <w:t>49部分：</w:t>
            </w:r>
            <w:r>
              <w:rPr>
                <w:rFonts w:hint="default" w:ascii="Times New Roman" w:hAnsi="Times New Roman" w:eastAsia="宋体" w:cs="Times New Roman"/>
                <w:color w:val="FF0000"/>
                <w:szCs w:val="22"/>
              </w:rPr>
              <w:t>碳酸根、重碳酸根和氢氧根</w:t>
            </w:r>
            <w:r>
              <w:rPr>
                <w:rFonts w:hint="default" w:ascii="Times New Roman" w:hAnsi="Times New Roman" w:eastAsia="宋体" w:cs="Times New Roman"/>
                <w:color w:val="FF0000"/>
                <w:szCs w:val="22"/>
                <w:lang w:eastAsia="zh-CN"/>
              </w:rPr>
              <w:t>离子的测定</w:t>
            </w:r>
            <w:r>
              <w:rPr>
                <w:rFonts w:hint="default" w:ascii="Times New Roman" w:hAnsi="Times New Roman" w:eastAsia="宋体" w:cs="Times New Roman"/>
                <w:color w:val="FF0000"/>
                <w:szCs w:val="22"/>
                <w:lang w:val="en-US" w:eastAsia="zh-CN"/>
              </w:rPr>
              <w:t xml:space="preserve">  滴定法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Cs w:val="22"/>
              </w:rPr>
              <w:t>DZ/T 0064.49-</w:t>
            </w:r>
            <w:r>
              <w:rPr>
                <w:rFonts w:hint="default" w:ascii="Times New Roman" w:hAnsi="Times New Roman" w:eastAsia="宋体" w:cs="Times New Roman"/>
                <w:color w:val="FF0000"/>
                <w:szCs w:val="22"/>
                <w:lang w:val="en-US" w:eastAsia="zh-CN"/>
              </w:rPr>
              <w:t>2021</w:t>
            </w:r>
          </w:p>
        </w:tc>
        <w:tc>
          <w:tcPr>
            <w:tcW w:w="23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50ml滴定管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szCs w:val="22"/>
              </w:rPr>
              <w:t>A级</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szCs w:val="21"/>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HCO</w:t>
            </w:r>
            <w:r>
              <w:rPr>
                <w:rFonts w:hint="default" w:ascii="Times New Roman" w:hAnsi="Times New Roman" w:eastAsia="宋体" w:cs="Times New Roman"/>
                <w:color w:val="FF0000"/>
                <w:szCs w:val="21"/>
                <w:vertAlign w:val="subscript"/>
              </w:rPr>
              <w:t>3</w:t>
            </w:r>
            <w:r>
              <w:rPr>
                <w:rFonts w:hint="default" w:ascii="Times New Roman" w:hAnsi="Times New Roman" w:eastAsia="宋体" w:cs="Times New Roman"/>
                <w:color w:val="FF0000"/>
                <w:szCs w:val="21"/>
                <w:vertAlign w:val="superscript"/>
              </w:rPr>
              <w:t>-</w:t>
            </w:r>
          </w:p>
        </w:tc>
        <w:tc>
          <w:tcPr>
            <w:tcW w:w="30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p>
        </w:tc>
        <w:tc>
          <w:tcPr>
            <w:tcW w:w="23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0"/>
                <w:szCs w:val="21"/>
                <w:shd w:val="clear" w:color="auto" w:fill="FFFFFF"/>
              </w:rPr>
            </w:pP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szCs w:val="21"/>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lang w:val="en-US" w:eastAsia="zh-CN"/>
              </w:rPr>
              <w:t>氟化物</w:t>
            </w:r>
          </w:p>
        </w:tc>
        <w:tc>
          <w:tcPr>
            <w:tcW w:w="3048" w:type="dxa"/>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snapToGrid w:val="0"/>
                <w:color w:val="FF0000"/>
                <w:kern w:val="0"/>
                <w:szCs w:val="21"/>
                <w:lang w:val="en-US" w:eastAsia="zh-CN"/>
              </w:rPr>
            </w:pPr>
            <w:r>
              <w:rPr>
                <w:rFonts w:hint="default" w:ascii="Times New Roman" w:hAnsi="Times New Roman" w:eastAsia="宋体" w:cs="Times New Roman"/>
                <w:snapToGrid w:val="0"/>
                <w:color w:val="FF0000"/>
                <w:kern w:val="0"/>
                <w:szCs w:val="21"/>
                <w:lang w:eastAsia="zh-CN"/>
              </w:rPr>
              <w:t>水质</w:t>
            </w:r>
            <w:r>
              <w:rPr>
                <w:rFonts w:hint="default" w:ascii="Times New Roman" w:hAnsi="Times New Roman" w:eastAsia="宋体" w:cs="Times New Roman"/>
                <w:snapToGrid w:val="0"/>
                <w:color w:val="FF0000"/>
                <w:kern w:val="0"/>
                <w:szCs w:val="21"/>
                <w:lang w:val="en-US" w:eastAsia="zh-CN"/>
              </w:rPr>
              <w:t xml:space="preserve"> 氟化物的测定</w:t>
            </w:r>
          </w:p>
          <w:p>
            <w:pPr>
              <w:pStyle w:val="2"/>
              <w:keepNext w:val="0"/>
              <w:keepLines w:val="0"/>
              <w:pageBreakBefore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rPr>
              <w:t>离子选择电极法</w:t>
            </w:r>
          </w:p>
          <w:p>
            <w:pPr>
              <w:pStyle w:val="2"/>
              <w:keepNext w:val="0"/>
              <w:keepLines w:val="0"/>
              <w:pageBreakBefore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snapToGrid w:val="0"/>
                <w:color w:val="FF0000"/>
                <w:kern w:val="0"/>
                <w:szCs w:val="21"/>
              </w:rPr>
              <w:t xml:space="preserve">GB/T </w:t>
            </w:r>
            <w:r>
              <w:rPr>
                <w:rFonts w:hint="default" w:ascii="Times New Roman" w:hAnsi="Times New Roman" w:eastAsia="宋体" w:cs="Times New Roman"/>
                <w:snapToGrid w:val="0"/>
                <w:color w:val="FF0000"/>
                <w:kern w:val="0"/>
                <w:szCs w:val="21"/>
                <w:lang w:val="en-US" w:eastAsia="zh-CN"/>
              </w:rPr>
              <w:t>7484-1987</w:t>
            </w:r>
          </w:p>
        </w:tc>
        <w:tc>
          <w:tcPr>
            <w:tcW w:w="234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离子计/</w:t>
            </w:r>
          </w:p>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rPr>
              <w:t>PXSJ-216F</w:t>
            </w:r>
            <w:r>
              <w:rPr>
                <w:rFonts w:hint="default" w:ascii="Times New Roman" w:hAnsi="Times New Roman" w:eastAsia="宋体" w:cs="Times New Roman"/>
                <w:color w:val="FF0000"/>
                <w:lang w:val="en-US" w:eastAsia="zh-CN"/>
              </w:rPr>
              <w:t>/</w:t>
            </w:r>
          </w:p>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lang w:val="en-US" w:eastAsia="zh-CN"/>
              </w:rPr>
              <w:t>ZXJC-YQ-017</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kern w:val="2"/>
                <w:sz w:val="21"/>
                <w:szCs w:val="21"/>
                <w:vertAlign w:val="baseline"/>
                <w:lang w:val="en-US" w:eastAsia="zh-CN" w:bidi="ar-SA"/>
              </w:rPr>
              <w:t>0.05</w:t>
            </w:r>
            <w:r>
              <w:rPr>
                <w:rFonts w:hint="default" w:ascii="Times New Roman" w:hAnsi="Times New Roman" w:eastAsia="宋体" w:cs="Times New Roman"/>
                <w:color w:val="FF0000"/>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rPr>
              <w:t>氰化物</w:t>
            </w:r>
          </w:p>
        </w:tc>
        <w:tc>
          <w:tcPr>
            <w:tcW w:w="30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lang w:eastAsia="zh-CN"/>
              </w:rPr>
            </w:pPr>
            <w:r>
              <w:rPr>
                <w:rFonts w:hint="default" w:ascii="Times New Roman" w:hAnsi="Times New Roman" w:eastAsia="宋体" w:cs="Times New Roman"/>
                <w:color w:val="FF0000"/>
                <w:kern w:val="0"/>
                <w:szCs w:val="21"/>
                <w:shd w:val="clear" w:color="auto" w:fill="FFFFFF"/>
                <w:lang w:eastAsia="zh-CN"/>
              </w:rPr>
              <w:t xml:space="preserve">生活饮用水标准检验方法 </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lang w:eastAsia="zh-CN"/>
              </w:rPr>
            </w:pPr>
            <w:r>
              <w:rPr>
                <w:rFonts w:hint="default" w:ascii="Times New Roman" w:hAnsi="Times New Roman" w:eastAsia="宋体" w:cs="Times New Roman"/>
                <w:color w:val="FF0000"/>
                <w:kern w:val="0"/>
                <w:szCs w:val="21"/>
                <w:shd w:val="clear" w:color="auto" w:fill="FFFFFF"/>
                <w:lang w:eastAsia="zh-CN"/>
              </w:rPr>
              <w:t>无机非金属指标</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lang w:eastAsia="zh-CN"/>
              </w:rPr>
            </w:pPr>
            <w:r>
              <w:rPr>
                <w:rFonts w:hint="default" w:ascii="Times New Roman" w:hAnsi="Times New Roman" w:eastAsia="宋体" w:cs="Times New Roman"/>
                <w:color w:val="FF0000"/>
                <w:kern w:val="0"/>
                <w:szCs w:val="21"/>
                <w:shd w:val="clear" w:color="auto" w:fill="FFFFFF"/>
                <w:lang w:eastAsia="zh-CN"/>
              </w:rPr>
              <w:t>异烟酸-吡唑酮分光光度法</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0"/>
                <w:szCs w:val="21"/>
                <w:shd w:val="clear" w:color="auto" w:fill="FFFFFF"/>
                <w:lang w:eastAsia="zh-CN"/>
              </w:rPr>
              <w:t>GB/T 5750.5-2006（4.1）</w:t>
            </w:r>
          </w:p>
        </w:tc>
        <w:tc>
          <w:tcPr>
            <w:tcW w:w="234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lang w:val="en-US" w:eastAsia="zh-CN"/>
              </w:rPr>
            </w:pPr>
            <w:r>
              <w:rPr>
                <w:rFonts w:hint="default" w:ascii="Times New Roman" w:hAnsi="Times New Roman" w:eastAsia="宋体" w:cs="Times New Roman"/>
                <w:color w:val="FF0000"/>
                <w:kern w:val="0"/>
                <w:szCs w:val="21"/>
                <w:shd w:val="clear" w:color="auto" w:fill="FFFFFF"/>
                <w:lang w:val="en-US" w:eastAsia="zh-CN"/>
              </w:rPr>
              <w:t>可见分光光度计/</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lang w:val="en-US" w:eastAsia="zh-CN"/>
              </w:rPr>
            </w:pPr>
            <w:r>
              <w:rPr>
                <w:rFonts w:hint="default" w:ascii="Times New Roman" w:hAnsi="Times New Roman" w:eastAsia="宋体" w:cs="Times New Roman"/>
                <w:color w:val="FF0000"/>
                <w:kern w:val="0"/>
                <w:szCs w:val="21"/>
                <w:shd w:val="clear" w:color="auto" w:fill="FFFFFF"/>
                <w:lang w:val="en-US" w:eastAsia="zh-CN"/>
              </w:rPr>
              <w:t>N2S/</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Cs w:val="21"/>
                <w:shd w:val="clear" w:color="auto" w:fill="FFFFFF"/>
              </w:rPr>
            </w:pPr>
            <w:r>
              <w:rPr>
                <w:rFonts w:hint="default" w:ascii="Times New Roman" w:hAnsi="Times New Roman" w:eastAsia="宋体" w:cs="Times New Roman"/>
                <w:color w:val="FF0000"/>
                <w:kern w:val="0"/>
                <w:szCs w:val="21"/>
                <w:shd w:val="clear" w:color="auto" w:fill="FFFFFF"/>
                <w:lang w:eastAsia="zh-CN"/>
              </w:rPr>
              <w:t>ZXJC-YQ-0</w:t>
            </w:r>
            <w:r>
              <w:rPr>
                <w:rFonts w:hint="default" w:ascii="Times New Roman" w:hAnsi="Times New Roman" w:eastAsia="宋体" w:cs="Times New Roman"/>
                <w:color w:val="FF0000"/>
                <w:kern w:val="0"/>
                <w:szCs w:val="21"/>
                <w:shd w:val="clear" w:color="auto" w:fill="FFFFFF"/>
                <w:lang w:val="en-US" w:eastAsia="zh-CN"/>
              </w:rPr>
              <w:t>21</w:t>
            </w:r>
          </w:p>
        </w:tc>
        <w:tc>
          <w:tcPr>
            <w:tcW w:w="119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color w:val="FF0000"/>
                <w:kern w:val="0"/>
                <w:szCs w:val="21"/>
                <w:shd w:val="clear" w:color="auto" w:fill="FFFFFF"/>
                <w:lang w:val="en-US" w:eastAsia="zh-CN"/>
              </w:rPr>
              <w:t>0.002mg/L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2"/>
                <w:lang w:val="en-US" w:eastAsia="zh-CN" w:bidi="ar-SA"/>
              </w:rPr>
            </w:pPr>
            <w:r>
              <w:rPr>
                <w:rFonts w:hint="default" w:ascii="Times New Roman" w:hAnsi="Times New Roman" w:eastAsia="宋体" w:cs="Times New Roman"/>
                <w:color w:val="FF0000"/>
                <w:sz w:val="21"/>
                <w:szCs w:val="21"/>
              </w:rPr>
              <w:t>六价铬</w:t>
            </w:r>
          </w:p>
        </w:tc>
        <w:tc>
          <w:tcPr>
            <w:tcW w:w="30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rPr>
              <w:t xml:space="preserve">生活饮用水标准检验方法 </w:t>
            </w:r>
          </w:p>
          <w:p>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rPr>
              <w:t>金属指标</w:t>
            </w:r>
          </w:p>
          <w:p>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lang w:val="en-US" w:eastAsia="zh-CN"/>
              </w:rPr>
              <w:t>10.1</w:t>
            </w:r>
            <w:r>
              <w:rPr>
                <w:rFonts w:hint="default" w:ascii="Times New Roman" w:hAnsi="Times New Roman" w:eastAsia="宋体" w:cs="Times New Roman"/>
                <w:snapToGrid w:val="0"/>
                <w:color w:val="FF0000"/>
                <w:kern w:val="0"/>
                <w:szCs w:val="21"/>
              </w:rPr>
              <w:t>二苯碳酰二肼分光光度法</w:t>
            </w:r>
          </w:p>
          <w:p>
            <w:pPr>
              <w:pStyle w:val="2"/>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snapToGrid w:val="0"/>
                <w:color w:val="FF0000"/>
                <w:kern w:val="0"/>
                <w:szCs w:val="21"/>
              </w:rPr>
              <w:t>GB/T 5750.6-2006</w:t>
            </w:r>
          </w:p>
        </w:tc>
        <w:tc>
          <w:tcPr>
            <w:tcW w:w="2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可见分光光度计/</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N2S/</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lang w:eastAsia="zh-CN"/>
              </w:rPr>
              <w:t>ZX</w:t>
            </w:r>
            <w:r>
              <w:rPr>
                <w:rFonts w:hint="default" w:ascii="Times New Roman" w:hAnsi="Times New Roman" w:eastAsia="宋体" w:cs="Times New Roman"/>
                <w:color w:val="FF0000"/>
              </w:rPr>
              <w:t>JC-YQ-0</w:t>
            </w:r>
            <w:r>
              <w:rPr>
                <w:rFonts w:hint="default" w:ascii="Times New Roman" w:hAnsi="Times New Roman" w:eastAsia="宋体" w:cs="Times New Roman"/>
                <w:color w:val="FF0000"/>
                <w:lang w:val="en-US" w:eastAsia="zh-CN"/>
              </w:rPr>
              <w:t>21</w:t>
            </w:r>
          </w:p>
        </w:tc>
        <w:tc>
          <w:tcPr>
            <w:tcW w:w="11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kern w:val="0"/>
                <w:sz w:val="21"/>
                <w:szCs w:val="21"/>
                <w:shd w:val="clear" w:color="auto" w:fill="FFFFFF"/>
                <w:lang w:val="en-US" w:eastAsia="zh-CN" w:bidi="ar-SA"/>
              </w:rPr>
            </w:pPr>
            <w:r>
              <w:rPr>
                <w:rFonts w:hint="default" w:ascii="Times New Roman" w:hAnsi="Times New Roman" w:eastAsia="宋体" w:cs="Times New Roman"/>
                <w:b w:val="0"/>
                <w:bCs w:val="0"/>
                <w:snapToGrid w:val="0"/>
                <w:color w:val="FF0000"/>
                <w:spacing w:val="0"/>
                <w:kern w:val="0"/>
                <w:sz w:val="21"/>
                <w:szCs w:val="21"/>
                <w:lang w:val="en-US" w:eastAsia="zh-CN"/>
              </w:rPr>
              <w:t>0.004</w:t>
            </w:r>
            <w:r>
              <w:rPr>
                <w:rFonts w:hint="default" w:ascii="Times New Roman" w:hAnsi="Times New Roman" w:eastAsia="宋体" w:cs="Times New Roman"/>
                <w:color w:val="FF0000"/>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1"/>
                <w:lang w:eastAsia="zh-CN"/>
              </w:rPr>
              <w:t>硫酸盐</w:t>
            </w:r>
          </w:p>
        </w:tc>
        <w:tc>
          <w:tcPr>
            <w:tcW w:w="30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生活饮用水标准检验方法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无机非金属指标</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1.3铬酸钡分光光度法（热法）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2"/>
              </w:rPr>
              <w:t>GB/T 5750.5-2006</w:t>
            </w:r>
          </w:p>
        </w:tc>
        <w:tc>
          <w:tcPr>
            <w:tcW w:w="2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可见分光光度计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lang w:val="en-US" w:eastAsia="zh-CN"/>
              </w:rPr>
              <w:t>/</w:t>
            </w:r>
            <w:r>
              <w:rPr>
                <w:rFonts w:hint="default" w:ascii="Times New Roman" w:hAnsi="Times New Roman" w:eastAsia="宋体" w:cs="Times New Roman"/>
                <w:color w:val="FF0000"/>
                <w:szCs w:val="22"/>
              </w:rPr>
              <w:t>N2S/</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2"/>
                <w:lang w:val="en-US" w:eastAsia="zh-CN" w:bidi="ar-SA"/>
              </w:rPr>
            </w:pPr>
            <w:r>
              <w:rPr>
                <w:rFonts w:hint="default" w:ascii="Times New Roman" w:hAnsi="Times New Roman" w:eastAsia="宋体" w:cs="Times New Roman"/>
                <w:color w:val="FF0000"/>
                <w:szCs w:val="22"/>
              </w:rPr>
              <w:t>ZXJC-YQ-021</w:t>
            </w:r>
          </w:p>
        </w:tc>
        <w:tc>
          <w:tcPr>
            <w:tcW w:w="1198" w:type="dxa"/>
            <w:tcBorders>
              <w:tl2br w:val="nil"/>
              <w:tr2bl w:val="nil"/>
            </w:tcBorders>
            <w:vAlign w:val="center"/>
          </w:tcPr>
          <w:p>
            <w:pPr>
              <w:keepNext w:val="0"/>
              <w:keepLines w:val="0"/>
              <w:pageBreakBefore w:val="0"/>
              <w:kinsoku/>
              <w:wordWrap/>
              <w:overflowPunct/>
              <w:topLinePunct w:val="0"/>
              <w:autoSpaceDE/>
              <w:autoSpaceDN/>
              <w:bidi w:val="0"/>
              <w:adjustRightInd/>
              <w:spacing w:line="240" w:lineRule="atLeast"/>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Cs w:val="21"/>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jc w:val="center"/>
        </w:trPr>
        <w:tc>
          <w:tcPr>
            <w:tcW w:w="1182" w:type="dxa"/>
            <w:vMerge w:val="continue"/>
            <w:tcBorders>
              <w:tl2br w:val="nil"/>
              <w:tr2bl w:val="nil"/>
            </w:tcBorders>
            <w:vAlign w:val="center"/>
          </w:tcPr>
          <w:p>
            <w:pPr>
              <w:autoSpaceDE w:val="0"/>
              <w:snapToGrid w:val="0"/>
              <w:spacing w:line="300" w:lineRule="exact"/>
              <w:jc w:val="center"/>
              <w:rPr>
                <w:rFonts w:hint="default" w:ascii="Times New Roman" w:hAnsi="Times New Roman" w:eastAsia="宋体" w:cs="Times New Roman"/>
                <w:color w:val="FF0000"/>
                <w:szCs w:val="21"/>
                <w:lang w:val="en-US" w:eastAsia="zh-CN"/>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钡</w:t>
            </w:r>
          </w:p>
        </w:tc>
        <w:tc>
          <w:tcPr>
            <w:tcW w:w="30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snapToGrid w:val="0"/>
                <w:color w:val="FF0000"/>
                <w:kern w:val="0"/>
                <w:szCs w:val="21"/>
                <w:lang w:val="en-US" w:eastAsia="zh-CN"/>
              </w:rPr>
            </w:pPr>
            <w:r>
              <w:rPr>
                <w:rFonts w:hint="default" w:ascii="Times New Roman" w:hAnsi="Times New Roman" w:eastAsia="宋体" w:cs="Times New Roman"/>
                <w:snapToGrid w:val="0"/>
                <w:color w:val="FF0000"/>
                <w:kern w:val="0"/>
                <w:szCs w:val="21"/>
                <w:lang w:val="en-US" w:eastAsia="zh-CN"/>
              </w:rPr>
              <w:t xml:space="preserve">生活饮用水标准检验方法 </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金属指标</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16.1</w:t>
            </w:r>
            <w:r>
              <w:rPr>
                <w:rFonts w:hint="default" w:ascii="Times New Roman" w:hAnsi="Times New Roman" w:eastAsia="宋体" w:cs="Times New Roman"/>
                <w:color w:val="FF0000"/>
                <w:sz w:val="21"/>
                <w:szCs w:val="21"/>
              </w:rPr>
              <w:t>无火焰原子吸收分光光度法</w:t>
            </w:r>
          </w:p>
          <w:p>
            <w:pPr>
              <w:pStyle w:val="2"/>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kern w:val="0"/>
                <w:sz w:val="21"/>
                <w:szCs w:val="21"/>
                <w:shd w:val="clear" w:color="auto" w:fill="FFFFFF"/>
                <w:lang w:val="en-US" w:eastAsia="zh-CN" w:bidi="ar-SA"/>
              </w:rPr>
            </w:pPr>
            <w:r>
              <w:rPr>
                <w:rFonts w:hint="default" w:ascii="Times New Roman" w:hAnsi="Times New Roman" w:eastAsia="宋体" w:cs="Times New Roman"/>
                <w:color w:val="FF0000"/>
                <w:sz w:val="21"/>
                <w:szCs w:val="21"/>
              </w:rPr>
              <w:t>GB/T 5750.6-2006</w:t>
            </w:r>
          </w:p>
        </w:tc>
        <w:tc>
          <w:tcPr>
            <w:tcW w:w="2346" w:type="dxa"/>
            <w:tcBorders>
              <w:tl2br w:val="nil"/>
              <w:tr2bl w:val="nil"/>
            </w:tcBorders>
            <w:vAlign w:val="center"/>
          </w:tcPr>
          <w:p>
            <w:pPr>
              <w:pStyle w:val="18"/>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FF0000"/>
                <w:sz w:val="21"/>
                <w:szCs w:val="32"/>
                <w:lang w:val="en-US" w:eastAsia="zh-CN"/>
              </w:rPr>
            </w:pPr>
            <w:r>
              <w:rPr>
                <w:rFonts w:hint="default" w:ascii="Times New Roman" w:hAnsi="Times New Roman" w:eastAsia="宋体" w:cs="Times New Roman"/>
                <w:color w:val="FF0000"/>
                <w:sz w:val="21"/>
                <w:szCs w:val="32"/>
                <w:lang w:val="en-US" w:eastAsia="zh-CN"/>
              </w:rPr>
              <w:t>原子吸收分光光度计/SP-3500AA(4AT)/</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FF0000"/>
                <w:kern w:val="0"/>
                <w:sz w:val="21"/>
                <w:szCs w:val="21"/>
                <w:shd w:val="clear" w:color="auto" w:fill="FFFFFF"/>
                <w:lang w:val="en-US" w:eastAsia="zh-CN" w:bidi="ar-SA"/>
              </w:rPr>
            </w:pPr>
            <w:r>
              <w:rPr>
                <w:rFonts w:hint="default" w:ascii="Times New Roman" w:hAnsi="Times New Roman" w:eastAsia="宋体" w:cs="Times New Roman"/>
                <w:color w:val="FF0000"/>
                <w:sz w:val="21"/>
                <w:szCs w:val="32"/>
                <w:lang w:val="en-US" w:eastAsia="zh-CN"/>
              </w:rPr>
              <w:t>ZXJC-YQ-083</w:t>
            </w:r>
          </w:p>
        </w:tc>
        <w:tc>
          <w:tcPr>
            <w:tcW w:w="11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FF0000"/>
                <w:spacing w:val="0"/>
                <w:kern w:val="0"/>
                <w:sz w:val="21"/>
                <w:szCs w:val="21"/>
                <w:lang w:val="en-US" w:eastAsia="zh-CN"/>
              </w:rPr>
            </w:pPr>
            <w:r>
              <w:rPr>
                <w:rFonts w:hint="default" w:ascii="Times New Roman" w:hAnsi="Times New Roman" w:eastAsia="宋体" w:cs="Times New Roman"/>
                <w:b w:val="0"/>
                <w:bCs w:val="0"/>
                <w:snapToGrid w:val="0"/>
                <w:color w:val="FF0000"/>
                <w:spacing w:val="0"/>
                <w:kern w:val="0"/>
                <w:sz w:val="21"/>
                <w:szCs w:val="21"/>
                <w:lang w:val="en-US" w:eastAsia="zh-CN"/>
              </w:rPr>
              <w:t>2.5</w:t>
            </w:r>
            <w:r>
              <w:rPr>
                <w:rFonts w:hint="default" w:ascii="Times New Roman" w:hAnsi="Times New Roman" w:eastAsia="宋体" w:cs="Times New Roman"/>
                <w:color w:val="FF0000"/>
                <w:sz w:val="21"/>
                <w:szCs w:val="21"/>
                <w:lang w:val="en-US" w:eastAsia="zh-CN"/>
              </w:rPr>
              <w:t>μg/L</w:t>
            </w:r>
          </w:p>
        </w:tc>
      </w:tr>
    </w:tbl>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Chars="200"/>
        <w:textAlignment w:val="auto"/>
        <w:rPr>
          <w:rFonts w:hint="eastAsia"/>
          <w:b/>
          <w:bCs/>
          <w:color w:val="FF0000"/>
          <w:sz w:val="24"/>
          <w:szCs w:val="24"/>
          <w:lang w:val="en-US" w:eastAsia="zh-CN"/>
        </w:rPr>
      </w:pPr>
      <w:r>
        <w:rPr>
          <w:rFonts w:hint="eastAsia"/>
          <w:b/>
          <w:bCs/>
          <w:color w:val="FF0000"/>
          <w:sz w:val="24"/>
          <w:szCs w:val="24"/>
          <w:lang w:val="en-US" w:eastAsia="zh-CN"/>
        </w:rPr>
        <w:t>（4）监测结果</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表4.2-13  监测结果一览表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232"/>
        <w:gridCol w:w="1481"/>
        <w:gridCol w:w="1497"/>
        <w:gridCol w:w="1378"/>
        <w:gridCol w:w="1316"/>
        <w:gridCol w:w="9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8957"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b/>
                <w:bCs/>
                <w:color w:val="FF0000"/>
                <w:sz w:val="21"/>
                <w:szCs w:val="21"/>
                <w:lang w:eastAsia="zh-CN"/>
              </w:rPr>
              <w:t>包气带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jc w:val="center"/>
        </w:trPr>
        <w:tc>
          <w:tcPr>
            <w:tcW w:w="1124"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b w:val="0"/>
                <w:bCs w:val="0"/>
                <w:color w:val="FF0000"/>
                <w:kern w:val="2"/>
                <w:sz w:val="21"/>
                <w:szCs w:val="21"/>
                <w:lang w:val="en-US" w:eastAsia="zh-CN" w:bidi="ar-SA"/>
              </w:rPr>
              <w:t>采样日期</w:t>
            </w:r>
          </w:p>
        </w:tc>
        <w:tc>
          <w:tcPr>
            <w:tcW w:w="123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b w:val="0"/>
                <w:bCs w:val="0"/>
                <w:color w:val="FF0000"/>
                <w:kern w:val="2"/>
                <w:sz w:val="21"/>
                <w:szCs w:val="21"/>
                <w:lang w:val="en-US" w:eastAsia="zh-CN" w:bidi="ar-SA"/>
              </w:rPr>
              <w:t>监测项目</w:t>
            </w:r>
          </w:p>
        </w:tc>
        <w:tc>
          <w:tcPr>
            <w:tcW w:w="56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b w:val="0"/>
                <w:bCs w:val="0"/>
                <w:color w:val="FF0000"/>
                <w:kern w:val="2"/>
                <w:sz w:val="21"/>
                <w:szCs w:val="21"/>
                <w:lang w:val="en-US" w:eastAsia="zh-CN" w:bidi="ar-SA"/>
              </w:rPr>
              <w:t>监测点位及结果</w:t>
            </w:r>
          </w:p>
        </w:tc>
        <w:tc>
          <w:tcPr>
            <w:tcW w:w="929" w:type="dxa"/>
            <w:vMerge w:val="restart"/>
            <w:tcBorders>
              <w:tl2br w:val="nil"/>
              <w:tr2bl w:val="nil"/>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color w:val="FF0000"/>
                <w:spacing w:val="0"/>
                <w:w w:val="100"/>
                <w:kern w:val="2"/>
                <w:position w:val="0"/>
                <w:sz w:val="21"/>
                <w:szCs w:val="21"/>
                <w:lang w:val="en-US" w:eastAsia="zh-CN" w:bidi="ar-SA"/>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12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3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lang w:val="en-US" w:eastAsia="zh-CN"/>
              </w:rPr>
            </w:pPr>
          </w:p>
        </w:tc>
        <w:tc>
          <w:tcPr>
            <w:tcW w:w="14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1#危险废物暂存间旁边（0-0.2m）</w:t>
            </w:r>
          </w:p>
        </w:tc>
        <w:tc>
          <w:tcPr>
            <w:tcW w:w="14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1#危险废物暂存间旁边（0.2-0.8m）</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eastAsia="宋体" w:cs="Times New Roman"/>
                <w:color w:val="FF0000"/>
                <w:sz w:val="21"/>
                <w:szCs w:val="21"/>
                <w:lang w:val="en-US" w:eastAsia="zh-CN"/>
              </w:rPr>
              <w:t>2#废水沉淀池旁边（0-0.2m）</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eastAsia="宋体" w:cs="Times New Roman"/>
                <w:color w:val="FF0000"/>
                <w:sz w:val="21"/>
                <w:szCs w:val="21"/>
                <w:lang w:val="en-US" w:eastAsia="zh-CN"/>
              </w:rPr>
              <w:t>2#废水沉淀池旁边（0.2-0.8m）</w:t>
            </w:r>
          </w:p>
        </w:tc>
        <w:tc>
          <w:tcPr>
            <w:tcW w:w="9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8" w:hRule="exact"/>
          <w:jc w:val="center"/>
        </w:trPr>
        <w:tc>
          <w:tcPr>
            <w:tcW w:w="112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r>
              <w:rPr>
                <w:rFonts w:hint="default" w:ascii="Times New Roman" w:hAnsi="Times New Roman" w:eastAsia="宋体" w:cs="Times New Roman"/>
                <w:b w:val="0"/>
                <w:bCs w:val="0"/>
                <w:color w:val="FF0000"/>
                <w:sz w:val="21"/>
                <w:szCs w:val="21"/>
                <w:lang w:val="en-US" w:eastAsia="zh-CN"/>
              </w:rPr>
              <w:t>2022.10.08</w:t>
            </w: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pH值</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7.15</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7.23</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7.08</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7.33</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砷</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汞</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9"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铅</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镉</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铁</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锰</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CO</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vertAlign w:val="superscript"/>
              </w:rPr>
              <w:t>2-</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HCO</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vertAlign w:val="superscript"/>
              </w:rPr>
              <w:t>-</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72</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79</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87</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91</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氟化物</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氰化物</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六价铬</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硫酸盐</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74.5</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76.2</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82.5</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81.4</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钡</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124"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r>
              <w:rPr>
                <w:rFonts w:hint="default" w:ascii="Times New Roman" w:hAnsi="Times New Roman" w:eastAsia="宋体" w:cs="Times New Roman"/>
                <w:b w:val="0"/>
                <w:bCs w:val="0"/>
                <w:color w:val="FF0000"/>
                <w:kern w:val="2"/>
                <w:sz w:val="21"/>
                <w:szCs w:val="21"/>
                <w:lang w:val="en-US" w:eastAsia="zh-CN" w:bidi="ar-SA"/>
              </w:rPr>
              <w:t>采样日期</w:t>
            </w:r>
          </w:p>
        </w:tc>
        <w:tc>
          <w:tcPr>
            <w:tcW w:w="123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b w:val="0"/>
                <w:bCs w:val="0"/>
                <w:color w:val="FF0000"/>
                <w:kern w:val="2"/>
                <w:sz w:val="21"/>
                <w:szCs w:val="21"/>
                <w:lang w:val="en-US" w:eastAsia="zh-CN" w:bidi="ar-SA"/>
              </w:rPr>
              <w:t>监测项目</w:t>
            </w:r>
          </w:p>
        </w:tc>
        <w:tc>
          <w:tcPr>
            <w:tcW w:w="56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FF0000"/>
                <w:kern w:val="2"/>
                <w:sz w:val="21"/>
                <w:szCs w:val="21"/>
                <w:lang w:val="en-US" w:eastAsia="zh-CN" w:bidi="ar-SA"/>
              </w:rPr>
              <w:t>监测点位及结果</w:t>
            </w:r>
          </w:p>
        </w:tc>
        <w:tc>
          <w:tcPr>
            <w:tcW w:w="929" w:type="dxa"/>
            <w:vMerge w:val="restart"/>
            <w:tcBorders>
              <w:tl2br w:val="nil"/>
              <w:tr2bl w:val="nil"/>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pacing w:val="0"/>
                <w:w w:val="100"/>
                <w:kern w:val="2"/>
                <w:position w:val="0"/>
                <w:sz w:val="21"/>
                <w:szCs w:val="21"/>
                <w:lang w:val="en-US" w:eastAsia="zh-CN" w:bidi="ar-SA"/>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21" w:hRule="exact"/>
          <w:jc w:val="center"/>
        </w:trPr>
        <w:tc>
          <w:tcPr>
            <w:tcW w:w="112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lang w:val="en-US" w:eastAsia="zh-CN"/>
              </w:rPr>
            </w:pPr>
          </w:p>
        </w:tc>
        <w:tc>
          <w:tcPr>
            <w:tcW w:w="123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p>
        </w:tc>
        <w:tc>
          <w:tcPr>
            <w:tcW w:w="14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3#矿石临时堆场旁（0-0.2m）</w:t>
            </w:r>
          </w:p>
        </w:tc>
        <w:tc>
          <w:tcPr>
            <w:tcW w:w="14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3#矿石临时堆场旁（0.2-0.8m）</w:t>
            </w:r>
          </w:p>
        </w:tc>
        <w:tc>
          <w:tcPr>
            <w:tcW w:w="13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4#厂界外地下水流场上游100m的林地（0-0.2m）</w:t>
            </w:r>
          </w:p>
        </w:tc>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4#厂界外地下水流场上游100m的林地（0.2-0.8m）</w:t>
            </w:r>
          </w:p>
        </w:tc>
        <w:tc>
          <w:tcPr>
            <w:tcW w:w="9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exact"/>
          <w:jc w:val="center"/>
        </w:trPr>
        <w:tc>
          <w:tcPr>
            <w:tcW w:w="112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r>
              <w:rPr>
                <w:rFonts w:hint="default" w:ascii="Times New Roman" w:hAnsi="Times New Roman" w:eastAsia="宋体" w:cs="Times New Roman"/>
                <w:b w:val="0"/>
                <w:bCs w:val="0"/>
                <w:color w:val="FF0000"/>
                <w:sz w:val="21"/>
                <w:szCs w:val="21"/>
                <w:lang w:val="en-US" w:eastAsia="zh-CN"/>
              </w:rPr>
              <w:t>2022.10.08</w:t>
            </w: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pH值</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7.11</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 xml:space="preserve">7.10 </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6.93</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7.44</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kern w:val="2"/>
                <w:sz w:val="21"/>
                <w:szCs w:val="21"/>
                <w:lang w:val="en-US" w:eastAsia="zh-CN" w:bidi="ar-SA"/>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砷</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0.3ND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汞</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0.04ND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铅</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0.625ND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val="en-US" w:eastAsia="zh-CN"/>
              </w:rPr>
              <w:t>镉</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val="en-US" w:eastAsia="zh-CN"/>
              </w:rPr>
              <w:t>铁</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0.03ND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val="en-US" w:eastAsia="zh-CN"/>
              </w:rPr>
              <w:t>锰</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0.01ND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CO</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vertAlign w:val="superscript"/>
              </w:rPr>
              <w:t>2-</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HCO</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vertAlign w:val="superscript"/>
              </w:rPr>
              <w:t>-</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55</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49</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67</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71</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val="en-US" w:eastAsia="zh-CN"/>
              </w:rPr>
              <w:t>氟化物</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2"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氰化物</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六价铬</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0.004ND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硫酸盐</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78.1</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85.3</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88.9</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73.2</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jc w:val="center"/>
        </w:trPr>
        <w:tc>
          <w:tcPr>
            <w:tcW w:w="11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lang w:val="en-US" w:eastAsia="zh-CN"/>
              </w:rPr>
            </w:pPr>
          </w:p>
        </w:tc>
        <w:tc>
          <w:tcPr>
            <w:tcW w:w="1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钡</w:t>
            </w:r>
          </w:p>
        </w:tc>
        <w:tc>
          <w:tcPr>
            <w:tcW w:w="14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13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131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2.5ND</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μg/L</w:t>
            </w:r>
          </w:p>
        </w:tc>
      </w:tr>
    </w:tbl>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t>（5）现状评价</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t>本次包气带调查监测了pH值、砷、汞、铅、镉、铁、锰、CO3</w:t>
      </w:r>
      <w:r>
        <w:rPr>
          <w:rFonts w:hint="default" w:ascii="Times New Roman" w:hAnsi="Times New Roman" w:eastAsia="宋体" w:cs="Times New Roman"/>
          <w:b w:val="0"/>
          <w:bCs w:val="0"/>
          <w:color w:val="FF0000"/>
          <w:sz w:val="24"/>
          <w:szCs w:val="24"/>
          <w:vertAlign w:val="superscript"/>
          <w:lang w:val="en-US" w:eastAsia="zh-CN"/>
        </w:rPr>
        <w:t>2-</w:t>
      </w:r>
      <w:r>
        <w:rPr>
          <w:rFonts w:hint="default" w:ascii="Times New Roman" w:hAnsi="Times New Roman" w:eastAsia="宋体" w:cs="Times New Roman"/>
          <w:b w:val="0"/>
          <w:bCs w:val="0"/>
          <w:color w:val="FF0000"/>
          <w:sz w:val="24"/>
          <w:szCs w:val="24"/>
          <w:lang w:val="en-US" w:eastAsia="zh-CN"/>
        </w:rPr>
        <w:t>、</w:t>
      </w:r>
      <w:r>
        <w:rPr>
          <w:rFonts w:hint="default" w:ascii="Times New Roman" w:hAnsi="Times New Roman" w:eastAsia="宋体" w:cs="Times New Roman"/>
          <w:b w:val="0"/>
          <w:bCs w:val="0"/>
          <w:color w:val="FF0000"/>
          <w:sz w:val="24"/>
          <w:szCs w:val="24"/>
        </w:rPr>
        <w:t>HCO</w:t>
      </w:r>
      <w:r>
        <w:rPr>
          <w:rFonts w:hint="default" w:ascii="Times New Roman" w:hAnsi="Times New Roman" w:eastAsia="宋体" w:cs="Times New Roman"/>
          <w:b w:val="0"/>
          <w:bCs w:val="0"/>
          <w:color w:val="FF0000"/>
          <w:sz w:val="24"/>
          <w:szCs w:val="24"/>
          <w:vertAlign w:val="subscript"/>
        </w:rPr>
        <w:t>3</w:t>
      </w:r>
      <w:r>
        <w:rPr>
          <w:rFonts w:hint="default" w:ascii="Times New Roman" w:hAnsi="Times New Roman" w:eastAsia="宋体" w:cs="Times New Roman"/>
          <w:b w:val="0"/>
          <w:bCs w:val="0"/>
          <w:color w:val="FF0000"/>
          <w:sz w:val="24"/>
          <w:szCs w:val="24"/>
          <w:vertAlign w:val="superscript"/>
        </w:rPr>
        <w:t>-</w:t>
      </w:r>
      <w:r>
        <w:rPr>
          <w:rFonts w:hint="default" w:ascii="Times New Roman" w:hAnsi="Times New Roman" w:eastAsia="宋体" w:cs="Times New Roman"/>
          <w:b w:val="0"/>
          <w:bCs w:val="0"/>
          <w:color w:val="FF0000"/>
          <w:sz w:val="24"/>
          <w:szCs w:val="24"/>
          <w:vertAlign w:val="baseline"/>
          <w:lang w:eastAsia="zh-CN"/>
        </w:rPr>
        <w:t>、</w:t>
      </w:r>
      <w:r>
        <w:rPr>
          <w:rFonts w:hint="default" w:ascii="Times New Roman" w:hAnsi="Times New Roman" w:eastAsia="宋体" w:cs="Times New Roman"/>
          <w:b w:val="0"/>
          <w:bCs w:val="0"/>
          <w:color w:val="FF0000"/>
          <w:sz w:val="24"/>
          <w:szCs w:val="24"/>
          <w:lang w:val="en-US" w:eastAsia="zh-CN"/>
        </w:rPr>
        <w:t>氟化物、</w:t>
      </w:r>
      <w:r>
        <w:rPr>
          <w:rFonts w:hint="default" w:ascii="Times New Roman" w:hAnsi="Times New Roman" w:eastAsia="宋体" w:cs="Times New Roman"/>
          <w:b w:val="0"/>
          <w:bCs w:val="0"/>
          <w:color w:val="FF0000"/>
          <w:sz w:val="24"/>
          <w:szCs w:val="24"/>
        </w:rPr>
        <w:t>氰化物</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rPr>
        <w:t>六价铬</w:t>
      </w:r>
      <w:r>
        <w:rPr>
          <w:rFonts w:hint="default" w:ascii="Times New Roman" w:hAnsi="Times New Roman" w:eastAsia="宋体" w:cs="Times New Roman"/>
          <w:b w:val="0"/>
          <w:bCs w:val="0"/>
          <w:color w:val="FF0000"/>
          <w:sz w:val="24"/>
          <w:szCs w:val="24"/>
          <w:lang w:eastAsia="zh-CN"/>
        </w:rPr>
        <w:t>、硫酸盐、钡</w:t>
      </w:r>
      <w:r>
        <w:rPr>
          <w:rFonts w:hint="default" w:ascii="Times New Roman" w:hAnsi="Times New Roman" w:eastAsia="宋体" w:cs="Times New Roman"/>
          <w:b w:val="0"/>
          <w:bCs w:val="0"/>
          <w:color w:val="FF0000"/>
          <w:sz w:val="24"/>
          <w:szCs w:val="24"/>
          <w:lang w:val="en-US" w:eastAsia="zh-CN"/>
        </w:rPr>
        <w:t>共14种因子。根据监测结果可知，工业场地内各监测点pH值监测值的范围为7.08-7.33，背景值为6.93-7.44，监测结果与背景点值接近，无明显变化；工业场地内各监测点砷、汞、铅、镉、铁、锰、</w:t>
      </w:r>
      <w:r>
        <w:rPr>
          <w:rFonts w:hint="default" w:ascii="Times New Roman" w:hAnsi="Times New Roman" w:eastAsia="宋体" w:cs="Times New Roman"/>
          <w:b w:val="0"/>
          <w:bCs w:val="0"/>
          <w:color w:val="FF0000"/>
          <w:sz w:val="24"/>
          <w:szCs w:val="24"/>
        </w:rPr>
        <w:t>CO</w:t>
      </w:r>
      <w:r>
        <w:rPr>
          <w:rFonts w:hint="default" w:ascii="Times New Roman" w:hAnsi="Times New Roman" w:eastAsia="宋体" w:cs="Times New Roman"/>
          <w:b w:val="0"/>
          <w:bCs w:val="0"/>
          <w:color w:val="FF0000"/>
          <w:sz w:val="24"/>
          <w:szCs w:val="24"/>
          <w:vertAlign w:val="subscript"/>
        </w:rPr>
        <w:t>3</w:t>
      </w:r>
      <w:r>
        <w:rPr>
          <w:rFonts w:hint="default" w:ascii="Times New Roman" w:hAnsi="Times New Roman" w:eastAsia="宋体" w:cs="Times New Roman"/>
          <w:b w:val="0"/>
          <w:bCs w:val="0"/>
          <w:color w:val="FF0000"/>
          <w:sz w:val="24"/>
          <w:szCs w:val="24"/>
          <w:vertAlign w:val="superscript"/>
        </w:rPr>
        <w:t>2-</w:t>
      </w:r>
      <w:r>
        <w:rPr>
          <w:rFonts w:hint="default" w:ascii="Times New Roman" w:hAnsi="Times New Roman" w:eastAsia="宋体" w:cs="Times New Roman"/>
          <w:b w:val="0"/>
          <w:bCs w:val="0"/>
          <w:color w:val="FF0000"/>
          <w:sz w:val="24"/>
          <w:szCs w:val="24"/>
          <w:vertAlign w:val="baseline"/>
          <w:lang w:eastAsia="zh-CN"/>
        </w:rPr>
        <w:t>、</w:t>
      </w:r>
      <w:r>
        <w:rPr>
          <w:rFonts w:hint="default" w:ascii="Times New Roman" w:hAnsi="Times New Roman" w:eastAsia="宋体" w:cs="Times New Roman"/>
          <w:b w:val="0"/>
          <w:bCs w:val="0"/>
          <w:color w:val="FF0000"/>
          <w:sz w:val="24"/>
          <w:szCs w:val="24"/>
          <w:vertAlign w:val="baseline"/>
          <w:lang w:val="en-US" w:eastAsia="zh-CN"/>
        </w:rPr>
        <w:t>氟化物、氰化物、六价铬、钡均未检出，</w:t>
      </w:r>
      <w:r>
        <w:rPr>
          <w:rFonts w:hint="default" w:ascii="Times New Roman" w:hAnsi="Times New Roman" w:eastAsia="宋体" w:cs="Times New Roman"/>
          <w:b w:val="0"/>
          <w:bCs w:val="0"/>
          <w:color w:val="FF0000"/>
          <w:sz w:val="24"/>
          <w:szCs w:val="24"/>
          <w:lang w:val="en-US" w:eastAsia="zh-CN"/>
        </w:rPr>
        <w:t>背景点砷、汞、铅、镉、铁、锰、</w:t>
      </w:r>
      <w:r>
        <w:rPr>
          <w:rFonts w:hint="default" w:ascii="Times New Roman" w:hAnsi="Times New Roman" w:eastAsia="宋体" w:cs="Times New Roman"/>
          <w:b w:val="0"/>
          <w:bCs w:val="0"/>
          <w:color w:val="FF0000"/>
          <w:sz w:val="24"/>
          <w:szCs w:val="24"/>
        </w:rPr>
        <w:t>CO</w:t>
      </w:r>
      <w:r>
        <w:rPr>
          <w:rFonts w:hint="default" w:ascii="Times New Roman" w:hAnsi="Times New Roman" w:eastAsia="宋体" w:cs="Times New Roman"/>
          <w:b w:val="0"/>
          <w:bCs w:val="0"/>
          <w:color w:val="FF0000"/>
          <w:sz w:val="24"/>
          <w:szCs w:val="24"/>
          <w:vertAlign w:val="subscript"/>
        </w:rPr>
        <w:t>3</w:t>
      </w:r>
      <w:r>
        <w:rPr>
          <w:rFonts w:hint="default" w:ascii="Times New Roman" w:hAnsi="Times New Roman" w:eastAsia="宋体" w:cs="Times New Roman"/>
          <w:b w:val="0"/>
          <w:bCs w:val="0"/>
          <w:color w:val="FF0000"/>
          <w:sz w:val="24"/>
          <w:szCs w:val="24"/>
          <w:vertAlign w:val="superscript"/>
        </w:rPr>
        <w:t>2-</w:t>
      </w:r>
      <w:r>
        <w:rPr>
          <w:rFonts w:hint="default" w:ascii="Times New Roman" w:hAnsi="Times New Roman" w:eastAsia="宋体" w:cs="Times New Roman"/>
          <w:b w:val="0"/>
          <w:bCs w:val="0"/>
          <w:color w:val="FF0000"/>
          <w:sz w:val="24"/>
          <w:szCs w:val="24"/>
          <w:vertAlign w:val="baseline"/>
          <w:lang w:eastAsia="zh-CN"/>
        </w:rPr>
        <w:t>、</w:t>
      </w:r>
      <w:r>
        <w:rPr>
          <w:rFonts w:hint="default" w:ascii="Times New Roman" w:hAnsi="Times New Roman" w:eastAsia="宋体" w:cs="Times New Roman"/>
          <w:b w:val="0"/>
          <w:bCs w:val="0"/>
          <w:color w:val="FF0000"/>
          <w:sz w:val="24"/>
          <w:szCs w:val="24"/>
          <w:vertAlign w:val="baseline"/>
          <w:lang w:val="en-US" w:eastAsia="zh-CN"/>
        </w:rPr>
        <w:t>氟化物、氰化物、六价铬、钡均未检出；</w:t>
      </w:r>
      <w:r>
        <w:rPr>
          <w:rFonts w:hint="default" w:ascii="Times New Roman" w:hAnsi="Times New Roman" w:eastAsia="宋体" w:cs="Times New Roman"/>
          <w:b w:val="0"/>
          <w:bCs w:val="0"/>
          <w:color w:val="FF0000"/>
          <w:sz w:val="24"/>
          <w:szCs w:val="24"/>
          <w:lang w:val="en-US" w:eastAsia="zh-CN"/>
        </w:rPr>
        <w:t>工业场地内各监测点</w:t>
      </w:r>
      <w:r>
        <w:rPr>
          <w:rFonts w:hint="default" w:ascii="Times New Roman" w:hAnsi="Times New Roman" w:eastAsia="宋体" w:cs="Times New Roman"/>
          <w:b w:val="0"/>
          <w:bCs w:val="0"/>
          <w:color w:val="FF0000"/>
          <w:sz w:val="24"/>
          <w:szCs w:val="24"/>
        </w:rPr>
        <w:t>HCO</w:t>
      </w:r>
      <w:r>
        <w:rPr>
          <w:rFonts w:hint="default" w:ascii="Times New Roman" w:hAnsi="Times New Roman" w:eastAsia="宋体" w:cs="Times New Roman"/>
          <w:b w:val="0"/>
          <w:bCs w:val="0"/>
          <w:color w:val="FF0000"/>
          <w:sz w:val="24"/>
          <w:szCs w:val="24"/>
          <w:vertAlign w:val="subscript"/>
        </w:rPr>
        <w:t>3</w:t>
      </w:r>
      <w:r>
        <w:rPr>
          <w:rFonts w:hint="default" w:ascii="Times New Roman" w:hAnsi="Times New Roman" w:eastAsia="宋体" w:cs="Times New Roman"/>
          <w:b w:val="0"/>
          <w:bCs w:val="0"/>
          <w:color w:val="FF0000"/>
          <w:sz w:val="24"/>
          <w:szCs w:val="24"/>
          <w:vertAlign w:val="superscript"/>
        </w:rPr>
        <w:t>-</w:t>
      </w:r>
      <w:r>
        <w:rPr>
          <w:rFonts w:hint="default" w:ascii="Times New Roman" w:hAnsi="Times New Roman" w:eastAsia="宋体" w:cs="Times New Roman"/>
          <w:b w:val="0"/>
          <w:bCs w:val="0"/>
          <w:color w:val="FF0000"/>
          <w:sz w:val="24"/>
          <w:szCs w:val="24"/>
          <w:lang w:val="en-US" w:eastAsia="zh-CN"/>
        </w:rPr>
        <w:t>监测值的范围为</w:t>
      </w:r>
      <w:r>
        <w:rPr>
          <w:rFonts w:hint="eastAsia" w:ascii="Times New Roman" w:hAnsi="Times New Roman" w:eastAsia="宋体" w:cs="Times New Roman"/>
          <w:b w:val="0"/>
          <w:bCs w:val="0"/>
          <w:color w:val="FF0000"/>
          <w:sz w:val="24"/>
          <w:szCs w:val="24"/>
          <w:lang w:val="en-US" w:eastAsia="zh-CN"/>
        </w:rPr>
        <w:t>49~91</w:t>
      </w:r>
      <w:r>
        <w:rPr>
          <w:rFonts w:hint="default" w:ascii="Times New Roman" w:hAnsi="Times New Roman" w:eastAsia="宋体" w:cs="Times New Roman"/>
          <w:b w:val="0"/>
          <w:bCs w:val="0"/>
          <w:color w:val="FF0000"/>
          <w:sz w:val="24"/>
          <w:szCs w:val="24"/>
          <w:lang w:val="en-US" w:eastAsia="zh-CN"/>
        </w:rPr>
        <w:t>，背景点</w:t>
      </w:r>
      <w:r>
        <w:rPr>
          <w:rFonts w:hint="default" w:ascii="Times New Roman" w:hAnsi="Times New Roman" w:eastAsia="宋体" w:cs="Times New Roman"/>
          <w:b w:val="0"/>
          <w:bCs w:val="0"/>
          <w:color w:val="FF0000"/>
          <w:sz w:val="24"/>
          <w:szCs w:val="24"/>
        </w:rPr>
        <w:t>HCO</w:t>
      </w:r>
      <w:r>
        <w:rPr>
          <w:rFonts w:hint="default" w:ascii="Times New Roman" w:hAnsi="Times New Roman" w:eastAsia="宋体" w:cs="Times New Roman"/>
          <w:b w:val="0"/>
          <w:bCs w:val="0"/>
          <w:color w:val="FF0000"/>
          <w:sz w:val="24"/>
          <w:szCs w:val="24"/>
          <w:vertAlign w:val="subscript"/>
        </w:rPr>
        <w:t>3</w:t>
      </w:r>
      <w:r>
        <w:rPr>
          <w:rFonts w:hint="default" w:ascii="Times New Roman" w:hAnsi="Times New Roman" w:eastAsia="宋体" w:cs="Times New Roman"/>
          <w:b w:val="0"/>
          <w:bCs w:val="0"/>
          <w:color w:val="FF0000"/>
          <w:sz w:val="24"/>
          <w:szCs w:val="24"/>
          <w:vertAlign w:val="superscript"/>
        </w:rPr>
        <w:t>-</w:t>
      </w:r>
      <w:r>
        <w:rPr>
          <w:rFonts w:hint="default" w:ascii="Times New Roman" w:hAnsi="Times New Roman" w:eastAsia="宋体" w:cs="Times New Roman"/>
          <w:b w:val="0"/>
          <w:bCs w:val="0"/>
          <w:color w:val="FF0000"/>
          <w:sz w:val="24"/>
          <w:szCs w:val="24"/>
          <w:lang w:val="en-US" w:eastAsia="zh-CN"/>
        </w:rPr>
        <w:t>监测值为</w:t>
      </w:r>
      <w:r>
        <w:rPr>
          <w:rFonts w:hint="eastAsia" w:ascii="Times New Roman" w:hAnsi="Times New Roman" w:eastAsia="宋体" w:cs="Times New Roman"/>
          <w:b w:val="0"/>
          <w:bCs w:val="0"/>
          <w:color w:val="FF0000"/>
          <w:sz w:val="24"/>
          <w:szCs w:val="24"/>
          <w:lang w:val="en-US" w:eastAsia="zh-CN"/>
        </w:rPr>
        <w:t>67~71</w:t>
      </w:r>
      <w:r>
        <w:rPr>
          <w:rFonts w:hint="default" w:ascii="Times New Roman" w:hAnsi="Times New Roman" w:eastAsia="宋体" w:cs="Times New Roman"/>
          <w:b w:val="0"/>
          <w:bCs w:val="0"/>
          <w:color w:val="FF0000"/>
          <w:sz w:val="24"/>
          <w:szCs w:val="24"/>
          <w:lang w:val="en-US" w:eastAsia="zh-CN"/>
        </w:rPr>
        <w:t>，监测结果与背景点值接近，无明显变化；工业场地内各监测点</w:t>
      </w:r>
      <w:r>
        <w:rPr>
          <w:rFonts w:hint="eastAsia" w:ascii="Times New Roman" w:hAnsi="Times New Roman" w:eastAsia="宋体" w:cs="Times New Roman"/>
          <w:b w:val="0"/>
          <w:bCs w:val="0"/>
          <w:color w:val="FF0000"/>
          <w:sz w:val="24"/>
          <w:szCs w:val="24"/>
          <w:lang w:val="en-US" w:eastAsia="zh-CN"/>
        </w:rPr>
        <w:t>硫酸盐</w:t>
      </w:r>
      <w:r>
        <w:rPr>
          <w:rFonts w:hint="default" w:ascii="Times New Roman" w:hAnsi="Times New Roman" w:eastAsia="宋体" w:cs="Times New Roman"/>
          <w:b w:val="0"/>
          <w:bCs w:val="0"/>
          <w:color w:val="FF0000"/>
          <w:sz w:val="24"/>
          <w:szCs w:val="24"/>
          <w:lang w:val="en-US" w:eastAsia="zh-CN"/>
        </w:rPr>
        <w:t>监测值的范围为</w:t>
      </w:r>
      <w:r>
        <w:rPr>
          <w:rFonts w:hint="eastAsia" w:ascii="Times New Roman" w:hAnsi="Times New Roman" w:eastAsia="宋体" w:cs="Times New Roman"/>
          <w:b w:val="0"/>
          <w:bCs w:val="0"/>
          <w:color w:val="FF0000"/>
          <w:sz w:val="24"/>
          <w:szCs w:val="24"/>
          <w:lang w:val="en-US" w:eastAsia="zh-CN"/>
        </w:rPr>
        <w:t>74.5-85.3</w:t>
      </w:r>
      <w:r>
        <w:rPr>
          <w:rFonts w:hint="default" w:ascii="Times New Roman" w:hAnsi="Times New Roman" w:eastAsia="宋体" w:cs="Times New Roman"/>
          <w:b w:val="0"/>
          <w:bCs w:val="0"/>
          <w:color w:val="FF0000"/>
          <w:sz w:val="24"/>
          <w:szCs w:val="24"/>
          <w:lang w:val="en-US" w:eastAsia="zh-CN"/>
        </w:rPr>
        <w:t>，背景点监测值为</w:t>
      </w:r>
      <w:r>
        <w:rPr>
          <w:rFonts w:hint="eastAsia" w:ascii="Times New Roman" w:hAnsi="Times New Roman" w:eastAsia="宋体" w:cs="Times New Roman"/>
          <w:b w:val="0"/>
          <w:bCs w:val="0"/>
          <w:color w:val="FF0000"/>
          <w:sz w:val="24"/>
          <w:szCs w:val="24"/>
          <w:lang w:val="en-US" w:eastAsia="zh-CN"/>
        </w:rPr>
        <w:t>73.2-88.9</w:t>
      </w:r>
      <w:r>
        <w:rPr>
          <w:rFonts w:hint="default" w:ascii="Times New Roman" w:hAnsi="Times New Roman" w:eastAsia="宋体" w:cs="Times New Roman"/>
          <w:b w:val="0"/>
          <w:bCs w:val="0"/>
          <w:color w:val="FF0000"/>
          <w:sz w:val="24"/>
          <w:szCs w:val="24"/>
          <w:lang w:val="en-US" w:eastAsia="zh-CN"/>
        </w:rPr>
        <w:t>，监测结果与背景点值接近，无明显变化</w:t>
      </w:r>
      <w:r>
        <w:rPr>
          <w:rFonts w:hint="eastAsia" w:ascii="Times New Roman" w:hAnsi="Times New Roman" w:eastAsia="宋体" w:cs="Times New Roman"/>
          <w:b w:val="0"/>
          <w:bCs w:val="0"/>
          <w:color w:val="FF0000"/>
          <w:sz w:val="24"/>
          <w:szCs w:val="24"/>
          <w:lang w:val="en-US" w:eastAsia="zh-CN"/>
        </w:rPr>
        <w:t>。</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t>总体认为，工业场地内包气带环境质量现状未发生明显改变。</w:t>
      </w:r>
    </w:p>
    <w:p>
      <w:pPr>
        <w:pStyle w:val="5"/>
        <w:rPr>
          <w:rFonts w:hint="eastAsia"/>
          <w:color w:val="000000" w:themeColor="text1"/>
          <w:lang w:val="en-US" w:eastAsia="zh-CN"/>
        </w:rPr>
      </w:pPr>
      <w:r>
        <w:rPr>
          <w:rFonts w:hint="eastAsia"/>
          <w:color w:val="000000" w:themeColor="text1"/>
          <w:lang w:val="en-US" w:eastAsia="zh-CN"/>
        </w:rPr>
        <w:t>声</w:t>
      </w:r>
      <w:r>
        <w:rPr>
          <w:rFonts w:hint="eastAsia"/>
          <w:color w:val="000000" w:themeColor="text1"/>
        </w:rPr>
        <w:t>环境质量现状监测与评价</w:t>
      </w:r>
      <w:bookmarkEnd w:id="745"/>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4"/>
          <w:szCs w:val="24"/>
          <w:lang w:val="en-US" w:eastAsia="zh-CN"/>
        </w:rPr>
        <w:t>（1）布点原则</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default" w:ascii="Times New Roman" w:hAnsi="Times New Roman" w:eastAsia="宋体" w:cs="Times New Roman"/>
          <w:color w:val="000000" w:themeColor="text1"/>
          <w:sz w:val="24"/>
          <w:szCs w:val="24"/>
        </w:rPr>
      </w:pPr>
      <w:bookmarkStart w:id="746" w:name="_Toc10709"/>
      <w:r>
        <w:rPr>
          <w:rFonts w:hint="default" w:ascii="Times New Roman" w:hAnsi="Times New Roman" w:eastAsia="宋体" w:cs="Times New Roman"/>
          <w:color w:val="000000" w:themeColor="text1"/>
          <w:sz w:val="24"/>
          <w:szCs w:val="24"/>
        </w:rPr>
        <w:t>根据《环境影响评价技术导则 声环境》规定的布点原则，项目共选取了声环境现状监测点</w:t>
      </w:r>
      <w:r>
        <w:rPr>
          <w:rFonts w:hint="eastAsia" w:ascii="Times New Roman" w:hAnsi="Times New Roman" w:eastAsia="宋体"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rPr>
        <w:t>处，分别位于</w:t>
      </w:r>
      <w:r>
        <w:rPr>
          <w:rFonts w:hint="eastAsia" w:ascii="Times New Roman" w:hAnsi="Times New Roman" w:eastAsia="宋体" w:cs="Times New Roman"/>
          <w:color w:val="000000" w:themeColor="text1"/>
          <w:sz w:val="24"/>
          <w:szCs w:val="24"/>
          <w:lang w:val="en-US" w:eastAsia="zh-CN"/>
        </w:rPr>
        <w:t>K1和K2矿区场界的</w:t>
      </w:r>
      <w:r>
        <w:rPr>
          <w:rFonts w:hint="default" w:ascii="Times New Roman" w:hAnsi="Times New Roman" w:eastAsia="宋体" w:cs="Times New Roman"/>
          <w:color w:val="000000" w:themeColor="text1"/>
          <w:sz w:val="24"/>
          <w:szCs w:val="24"/>
        </w:rPr>
        <w:t>四周。</w:t>
      </w:r>
      <w:bookmarkEnd w:id="746"/>
    </w:p>
    <w:p>
      <w:pPr>
        <w:pStyle w:val="3"/>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0"/>
        <w:rPr>
          <w:rFonts w:hint="eastAsia" w:ascii="Times New Roman" w:hAnsi="Times New Roman" w:eastAsia="宋体" w:cs="Times New Roman"/>
          <w:b/>
          <w:bCs w:val="0"/>
          <w:color w:val="000000" w:themeColor="text1"/>
          <w:sz w:val="24"/>
          <w:szCs w:val="24"/>
          <w:lang w:eastAsia="zh-CN"/>
        </w:rPr>
      </w:pPr>
      <w:bookmarkStart w:id="747" w:name="_Toc4131"/>
      <w:r>
        <w:rPr>
          <w:rFonts w:hint="eastAsia" w:ascii="Times New Roman" w:hAnsi="Times New Roman" w:eastAsia="宋体" w:cs="Times New Roman"/>
          <w:b/>
          <w:bCs w:val="0"/>
          <w:color w:val="000000" w:themeColor="text1"/>
          <w:sz w:val="24"/>
          <w:szCs w:val="24"/>
          <w:lang w:eastAsia="zh-CN"/>
        </w:rPr>
        <w:t>（</w:t>
      </w:r>
      <w:r>
        <w:rPr>
          <w:rFonts w:hint="eastAsia" w:ascii="Times New Roman" w:hAnsi="Times New Roman" w:eastAsia="宋体" w:cs="Times New Roman"/>
          <w:b/>
          <w:bCs w:val="0"/>
          <w:color w:val="000000" w:themeColor="text1"/>
          <w:sz w:val="24"/>
          <w:szCs w:val="24"/>
          <w:lang w:val="en-US" w:eastAsia="zh-CN"/>
        </w:rPr>
        <w:t>2</w:t>
      </w:r>
      <w:r>
        <w:rPr>
          <w:rFonts w:hint="eastAsia" w:ascii="Times New Roman" w:hAnsi="Times New Roman" w:eastAsia="宋体" w:cs="Times New Roman"/>
          <w:b/>
          <w:bCs w:val="0"/>
          <w:color w:val="000000" w:themeColor="text1"/>
          <w:sz w:val="24"/>
          <w:szCs w:val="24"/>
          <w:lang w:eastAsia="zh-CN"/>
        </w:rPr>
        <w:t>）</w:t>
      </w:r>
      <w:r>
        <w:rPr>
          <w:rFonts w:hint="default" w:ascii="Times New Roman" w:hAnsi="Times New Roman" w:eastAsia="宋体" w:cs="Times New Roman"/>
          <w:b/>
          <w:bCs w:val="0"/>
          <w:color w:val="000000" w:themeColor="text1"/>
          <w:sz w:val="24"/>
          <w:szCs w:val="24"/>
        </w:rPr>
        <w:t>监测</w:t>
      </w:r>
      <w:r>
        <w:rPr>
          <w:rFonts w:hint="eastAsia" w:ascii="Times New Roman" w:hAnsi="Times New Roman" w:eastAsia="宋体" w:cs="Times New Roman"/>
          <w:b/>
          <w:bCs w:val="0"/>
          <w:color w:val="000000" w:themeColor="text1"/>
          <w:sz w:val="24"/>
          <w:szCs w:val="24"/>
          <w:lang w:eastAsia="zh-CN"/>
        </w:rPr>
        <w:t>因子</w:t>
      </w:r>
      <w:bookmarkEnd w:id="747"/>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default" w:ascii="Times New Roman" w:hAnsi="Times New Roman" w:eastAsia="宋体" w:cs="Times New Roman"/>
          <w:color w:val="000000" w:themeColor="text1"/>
          <w:sz w:val="24"/>
          <w:szCs w:val="24"/>
        </w:rPr>
      </w:pPr>
      <w:bookmarkStart w:id="748" w:name="_Toc26502"/>
      <w:r>
        <w:rPr>
          <w:rFonts w:hint="default" w:ascii="Times New Roman" w:hAnsi="Times New Roman" w:eastAsia="宋体" w:cs="Times New Roman"/>
          <w:color w:val="000000" w:themeColor="text1"/>
          <w:sz w:val="24"/>
          <w:szCs w:val="24"/>
        </w:rPr>
        <w:t>监测</w:t>
      </w:r>
      <w:r>
        <w:rPr>
          <w:rFonts w:hint="eastAsia" w:ascii="Times New Roman" w:hAnsi="Times New Roman" w:eastAsia="宋体" w:cs="Times New Roman"/>
          <w:color w:val="000000" w:themeColor="text1"/>
          <w:sz w:val="24"/>
          <w:szCs w:val="24"/>
          <w:lang w:eastAsia="zh-CN"/>
        </w:rPr>
        <w:t>因子</w:t>
      </w:r>
      <w:r>
        <w:rPr>
          <w:rFonts w:hint="default" w:ascii="Times New Roman" w:hAnsi="Times New Roman" w:eastAsia="宋体" w:cs="Times New Roman"/>
          <w:color w:val="000000" w:themeColor="text1"/>
          <w:sz w:val="24"/>
          <w:szCs w:val="24"/>
        </w:rPr>
        <w:t>为每个监测点的等效连续A声级（L</w:t>
      </w:r>
      <w:r>
        <w:rPr>
          <w:rFonts w:hint="default" w:ascii="Times New Roman" w:hAnsi="Times New Roman" w:eastAsia="宋体" w:cs="Times New Roman"/>
          <w:color w:val="000000" w:themeColor="text1"/>
          <w:sz w:val="24"/>
          <w:szCs w:val="24"/>
          <w:vertAlign w:val="subscript"/>
        </w:rPr>
        <w:t>Aeq</w:t>
      </w:r>
      <w:r>
        <w:rPr>
          <w:rFonts w:hint="default" w:ascii="Times New Roman" w:hAnsi="Times New Roman" w:eastAsia="宋体" w:cs="Times New Roman"/>
          <w:color w:val="000000" w:themeColor="text1"/>
          <w:sz w:val="24"/>
          <w:szCs w:val="24"/>
        </w:rPr>
        <w:t>）。</w:t>
      </w:r>
      <w:bookmarkEnd w:id="748"/>
    </w:p>
    <w:p>
      <w:pPr>
        <w:pStyle w:val="3"/>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0"/>
        <w:rPr>
          <w:rFonts w:hint="default" w:ascii="Times New Roman" w:hAnsi="Times New Roman" w:eastAsia="宋体" w:cs="Times New Roman"/>
          <w:b/>
          <w:bCs w:val="0"/>
          <w:color w:val="000000" w:themeColor="text1"/>
          <w:sz w:val="24"/>
          <w:szCs w:val="24"/>
        </w:rPr>
      </w:pPr>
      <w:bookmarkStart w:id="749" w:name="_Toc25962"/>
      <w:r>
        <w:rPr>
          <w:rFonts w:hint="eastAsia" w:ascii="Times New Roman" w:hAnsi="Times New Roman" w:eastAsia="宋体" w:cs="Times New Roman"/>
          <w:b/>
          <w:bCs w:val="0"/>
          <w:color w:val="000000" w:themeColor="text1"/>
          <w:sz w:val="24"/>
          <w:szCs w:val="24"/>
          <w:lang w:eastAsia="zh-CN"/>
        </w:rPr>
        <w:t>（</w:t>
      </w:r>
      <w:r>
        <w:rPr>
          <w:rFonts w:hint="eastAsia" w:ascii="Times New Roman" w:hAnsi="Times New Roman" w:eastAsia="宋体" w:cs="Times New Roman"/>
          <w:b/>
          <w:bCs w:val="0"/>
          <w:color w:val="000000" w:themeColor="text1"/>
          <w:sz w:val="24"/>
          <w:szCs w:val="24"/>
          <w:lang w:val="en-US" w:eastAsia="zh-CN"/>
        </w:rPr>
        <w:t>3</w:t>
      </w:r>
      <w:r>
        <w:rPr>
          <w:rFonts w:hint="eastAsia" w:ascii="Times New Roman" w:hAnsi="Times New Roman" w:eastAsia="宋体" w:cs="Times New Roman"/>
          <w:b/>
          <w:bCs w:val="0"/>
          <w:color w:val="000000" w:themeColor="text1"/>
          <w:sz w:val="24"/>
          <w:szCs w:val="24"/>
          <w:lang w:eastAsia="zh-CN"/>
        </w:rPr>
        <w:t>）</w:t>
      </w:r>
      <w:r>
        <w:rPr>
          <w:rFonts w:hint="default" w:ascii="Times New Roman" w:hAnsi="Times New Roman" w:eastAsia="宋体" w:cs="Times New Roman"/>
          <w:b/>
          <w:bCs w:val="0"/>
          <w:color w:val="000000" w:themeColor="text1"/>
          <w:sz w:val="24"/>
          <w:szCs w:val="24"/>
        </w:rPr>
        <w:t>监测时间</w:t>
      </w:r>
      <w:bookmarkEnd w:id="749"/>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default" w:ascii="Times New Roman" w:hAnsi="Times New Roman" w:eastAsia="宋体" w:cs="Times New Roman"/>
          <w:color w:val="000000" w:themeColor="text1"/>
          <w:sz w:val="24"/>
          <w:szCs w:val="24"/>
        </w:rPr>
      </w:pPr>
      <w:bookmarkStart w:id="750" w:name="_Toc14025"/>
      <w:r>
        <w:rPr>
          <w:rFonts w:hint="default" w:ascii="Times New Roman" w:hAnsi="Times New Roman" w:eastAsia="宋体" w:cs="Times New Roman"/>
          <w:color w:val="000000" w:themeColor="text1"/>
          <w:sz w:val="24"/>
          <w:szCs w:val="24"/>
        </w:rPr>
        <w:t>噪声现状监测于20</w:t>
      </w:r>
      <w:r>
        <w:rPr>
          <w:rFonts w:hint="eastAsia" w:ascii="Times New Roman" w:hAnsi="Times New Roman" w:eastAsia="宋体" w:cs="Times New Roman"/>
          <w:color w:val="000000" w:themeColor="text1"/>
          <w:sz w:val="24"/>
          <w:szCs w:val="24"/>
          <w:lang w:val="en-US" w:eastAsia="zh-CN"/>
        </w:rPr>
        <w:t>22</w:t>
      </w:r>
      <w:r>
        <w:rPr>
          <w:rFonts w:hint="default"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月</w:t>
      </w:r>
      <w:r>
        <w:rPr>
          <w:rFonts w:hint="eastAsia" w:ascii="Times New Roman" w:hAnsi="Times New Roman" w:eastAsia="宋体" w:cs="Times New Roman"/>
          <w:color w:val="000000" w:themeColor="text1"/>
          <w:sz w:val="24"/>
          <w:szCs w:val="24"/>
          <w:lang w:val="en-US" w:eastAsia="zh-CN"/>
        </w:rPr>
        <w:t>11</w:t>
      </w:r>
      <w:r>
        <w:rPr>
          <w:rFonts w:hint="default" w:ascii="Times New Roman" w:hAnsi="Times New Roman" w:eastAsia="宋体" w:cs="Times New Roman"/>
          <w:color w:val="000000" w:themeColor="text1"/>
          <w:sz w:val="24"/>
          <w:szCs w:val="24"/>
        </w:rPr>
        <w:t>日和20</w:t>
      </w:r>
      <w:r>
        <w:rPr>
          <w:rFonts w:hint="eastAsia" w:ascii="Times New Roman" w:hAnsi="Times New Roman" w:eastAsia="宋体" w:cs="Times New Roman"/>
          <w:color w:val="000000" w:themeColor="text1"/>
          <w:sz w:val="24"/>
          <w:szCs w:val="24"/>
          <w:lang w:val="en-US" w:eastAsia="zh-CN"/>
        </w:rPr>
        <w:t>22</w:t>
      </w:r>
      <w:r>
        <w:rPr>
          <w:rFonts w:hint="default"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月1</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日进行。</w:t>
      </w:r>
      <w:bookmarkEnd w:id="750"/>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textAlignment w:val="auto"/>
        <w:outlineLvl w:val="3"/>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监测仪器及方法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噪声的测量严格按照《声环境质量标准》（GB3096-2008）中规定的方法进行。监测仪器为AWA</w:t>
      </w:r>
      <w:r>
        <w:rPr>
          <w:rFonts w:hint="default" w:ascii="Times New Roman" w:hAnsi="Times New Roman" w:eastAsia="宋体" w:cs="Times New Roman"/>
          <w:color w:val="000000" w:themeColor="text1"/>
          <w:sz w:val="24"/>
          <w:szCs w:val="24"/>
          <w:lang w:val="en-US" w:eastAsia="zh-CN"/>
        </w:rPr>
        <w:t>5688</w:t>
      </w:r>
      <w:r>
        <w:rPr>
          <w:rFonts w:hint="default" w:ascii="Times New Roman" w:hAnsi="Times New Roman" w:eastAsia="宋体" w:cs="Times New Roman"/>
          <w:color w:val="000000" w:themeColor="text1"/>
          <w:sz w:val="24"/>
          <w:szCs w:val="24"/>
        </w:rPr>
        <w:t>型多功能</w:t>
      </w:r>
      <w:r>
        <w:rPr>
          <w:rFonts w:hint="default" w:ascii="Times New Roman" w:hAnsi="Times New Roman" w:eastAsia="宋体" w:cs="Times New Roman"/>
          <w:color w:val="000000" w:themeColor="text1"/>
          <w:sz w:val="24"/>
          <w:szCs w:val="24"/>
          <w:lang w:eastAsia="zh-CN"/>
        </w:rPr>
        <w:t>声级计</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SPC-033</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气象条件满足为晴，风速</w:t>
      </w:r>
      <w:r>
        <w:rPr>
          <w:rFonts w:hint="default" w:ascii="Times New Roman" w:hAnsi="Times New Roman" w:eastAsia="宋体" w:cs="Times New Roman"/>
          <w:color w:val="000000" w:themeColor="text1"/>
          <w:sz w:val="24"/>
          <w:szCs w:val="24"/>
        </w:rPr>
        <w:t>5m/s以下时进行。</w:t>
      </w:r>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3"/>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监测结果与评价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Theme="minorEastAsia"/>
          <w:color w:val="000000" w:themeColor="text1"/>
          <w:lang w:eastAsia="zh-CN"/>
        </w:rPr>
      </w:pPr>
      <w:r>
        <w:rPr>
          <w:rFonts w:hint="eastAsia"/>
          <w:color w:val="000000" w:themeColor="text1"/>
          <w:sz w:val="24"/>
          <w:szCs w:val="24"/>
        </w:rPr>
        <w:t>声环境监测结果见</w:t>
      </w:r>
      <w:r>
        <w:rPr>
          <w:rFonts w:hint="eastAsia"/>
          <w:color w:val="000000" w:themeColor="text1"/>
          <w:sz w:val="24"/>
          <w:szCs w:val="24"/>
          <w:lang w:eastAsia="zh-CN"/>
        </w:rPr>
        <w:t>下</w:t>
      </w:r>
      <w:r>
        <w:rPr>
          <w:rFonts w:hint="eastAsia"/>
          <w:color w:val="000000" w:themeColor="text1"/>
          <w:sz w:val="24"/>
          <w:szCs w:val="24"/>
        </w:rPr>
        <w:t>表</w:t>
      </w:r>
      <w:r>
        <w:rPr>
          <w:rFonts w:hint="eastAsia"/>
          <w:color w:val="000000" w:themeColor="text1"/>
          <w:sz w:val="24"/>
          <w:szCs w:val="24"/>
          <w:lang w:eastAsia="zh-CN"/>
        </w:rPr>
        <w:t>：</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表4.2-1</w:t>
      </w:r>
      <w:r>
        <w:rPr>
          <w:rFonts w:hint="eastAsia" w:ascii="Times New Roman" w:hAnsi="Times New Roman" w:eastAsia="宋体" w:cs="Times New Roman"/>
          <w:b/>
          <w:bCs w:val="0"/>
          <w:color w:val="000000" w:themeColor="text1"/>
          <w:sz w:val="21"/>
          <w:szCs w:val="21"/>
          <w:lang w:val="en-US" w:eastAsia="zh-CN"/>
        </w:rPr>
        <w:t>4</w:t>
      </w:r>
      <w:r>
        <w:rPr>
          <w:rFonts w:hint="default" w:ascii="Times New Roman" w:hAnsi="Times New Roman" w:eastAsia="宋体" w:cs="Times New Roman"/>
          <w:b/>
          <w:bCs w:val="0"/>
          <w:color w:val="000000" w:themeColor="text1"/>
          <w:sz w:val="21"/>
          <w:szCs w:val="21"/>
          <w:lang w:val="en-US"/>
        </w:rPr>
        <w:t xml:space="preserve"> </w:t>
      </w:r>
      <w:r>
        <w:rPr>
          <w:rFonts w:hint="default" w:ascii="Times New Roman" w:hAnsi="Times New Roman" w:eastAsia="宋体" w:cs="Times New Roman"/>
          <w:b/>
          <w:bCs w:val="0"/>
          <w:color w:val="000000" w:themeColor="text1"/>
          <w:sz w:val="21"/>
          <w:szCs w:val="21"/>
        </w:rPr>
        <w:t xml:space="preserve"> 环境噪声监测结果     单位：dB（A）</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086"/>
        <w:gridCol w:w="958"/>
        <w:gridCol w:w="933"/>
        <w:gridCol w:w="983"/>
        <w:gridCol w:w="956"/>
        <w:gridCol w:w="821"/>
        <w:gridCol w:w="820"/>
        <w:gridCol w:w="821"/>
        <w:gridCol w:w="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5574" w:type="dxa"/>
            <w:gridSpan w:val="6"/>
            <w:tcBorders>
              <w:tl2br w:val="nil"/>
              <w:tr2bl w:val="nil"/>
            </w:tcBorders>
            <w:vAlign w:val="center"/>
          </w:tcPr>
          <w:p>
            <w:pPr>
              <w:pStyle w:val="43"/>
              <w:rPr>
                <w:rFonts w:hint="eastAsia" w:ascii="Times New Roman" w:cs="Times New Roman"/>
                <w:color w:val="000000" w:themeColor="text1"/>
                <w:lang w:val="en-US" w:eastAsia="zh-CN"/>
              </w:rPr>
            </w:pPr>
            <w:r>
              <w:rPr>
                <w:rFonts w:hint="eastAsia" w:ascii="Times New Roman" w:cs="Times New Roman"/>
                <w:color w:val="000000" w:themeColor="text1"/>
                <w:lang w:val="en-US" w:eastAsia="zh-CN"/>
              </w:rPr>
              <w:t>监测结果</w:t>
            </w:r>
          </w:p>
        </w:tc>
        <w:tc>
          <w:tcPr>
            <w:tcW w:w="1641" w:type="dxa"/>
            <w:gridSpan w:val="2"/>
            <w:vMerge w:val="restart"/>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标准值</w:t>
            </w:r>
          </w:p>
        </w:tc>
        <w:tc>
          <w:tcPr>
            <w:tcW w:w="1742" w:type="dxa"/>
            <w:gridSpan w:val="2"/>
            <w:vMerge w:val="restart"/>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最大超标情况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744" w:type="dxa"/>
            <w:gridSpan w:val="2"/>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监测日期</w:t>
            </w:r>
          </w:p>
        </w:tc>
        <w:tc>
          <w:tcPr>
            <w:tcW w:w="1891" w:type="dxa"/>
            <w:gridSpan w:val="2"/>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2022年03</w:t>
            </w:r>
            <w:r>
              <w:rPr>
                <w:rFonts w:ascii="Times New Roman" w:cs="Times New Roman"/>
                <w:color w:val="000000" w:themeColor="text1"/>
              </w:rPr>
              <w:t>月</w:t>
            </w:r>
            <w:r>
              <w:rPr>
                <w:rFonts w:hint="eastAsia" w:ascii="Times New Roman" w:cs="Times New Roman"/>
                <w:color w:val="000000" w:themeColor="text1"/>
                <w:lang w:val="en-US" w:eastAsia="zh-CN"/>
              </w:rPr>
              <w:t>11</w:t>
            </w:r>
            <w:r>
              <w:rPr>
                <w:rFonts w:ascii="Times New Roman" w:cs="Times New Roman"/>
                <w:color w:val="000000" w:themeColor="text1"/>
              </w:rPr>
              <w:t>日</w:t>
            </w:r>
          </w:p>
        </w:tc>
        <w:tc>
          <w:tcPr>
            <w:tcW w:w="1939" w:type="dxa"/>
            <w:gridSpan w:val="2"/>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2022年03</w:t>
            </w:r>
            <w:r>
              <w:rPr>
                <w:rFonts w:ascii="Times New Roman" w:cs="Times New Roman"/>
                <w:color w:val="000000" w:themeColor="text1"/>
              </w:rPr>
              <w:t>月</w:t>
            </w:r>
            <w:r>
              <w:rPr>
                <w:rFonts w:hint="eastAsia" w:ascii="Times New Roman" w:cs="Times New Roman"/>
                <w:color w:val="000000" w:themeColor="text1"/>
                <w:lang w:val="en-US" w:eastAsia="zh-CN"/>
              </w:rPr>
              <w:t>12</w:t>
            </w:r>
            <w:r>
              <w:rPr>
                <w:rFonts w:ascii="Times New Roman" w:cs="Times New Roman"/>
                <w:color w:val="000000" w:themeColor="text1"/>
              </w:rPr>
              <w:t>日</w:t>
            </w:r>
          </w:p>
        </w:tc>
        <w:tc>
          <w:tcPr>
            <w:tcW w:w="1641" w:type="dxa"/>
            <w:gridSpan w:val="2"/>
            <w:vMerge w:val="continue"/>
            <w:tcBorders>
              <w:tl2br w:val="nil"/>
              <w:tr2bl w:val="nil"/>
            </w:tcBorders>
            <w:vAlign w:val="center"/>
          </w:tcPr>
          <w:p>
            <w:pPr>
              <w:pStyle w:val="43"/>
              <w:rPr>
                <w:rFonts w:ascii="Times New Roman" w:cs="Times New Roman"/>
                <w:color w:val="000000" w:themeColor="text1"/>
              </w:rPr>
            </w:pPr>
          </w:p>
        </w:tc>
        <w:tc>
          <w:tcPr>
            <w:tcW w:w="1742" w:type="dxa"/>
            <w:gridSpan w:val="2"/>
            <w:vMerge w:val="continue"/>
            <w:tcBorders>
              <w:tl2br w:val="nil"/>
              <w:tr2bl w:val="nil"/>
            </w:tcBorders>
            <w:vAlign w:val="center"/>
          </w:tcPr>
          <w:p>
            <w:pPr>
              <w:pStyle w:val="43"/>
              <w:rPr>
                <w:rFonts w:asci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744" w:type="dxa"/>
            <w:gridSpan w:val="2"/>
            <w:vMerge w:val="restart"/>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default" w:ascii="Times New Roman" w:hAnsi="Times New Roman" w:eastAsia="宋体" w:cs="Times New Roman"/>
                <w:b w:val="0"/>
                <w:bCs w:val="0"/>
                <w:color w:val="000000" w:themeColor="text1"/>
                <w:lang w:eastAsia="zh-CN"/>
              </w:rPr>
              <w:t>仪器校准值</w:t>
            </w:r>
            <w:r>
              <w:rPr>
                <w:rFonts w:hint="default" w:ascii="Times New Roman" w:hAnsi="Times New Roman" w:eastAsia="宋体" w:cs="Times New Roman"/>
                <w:b w:val="0"/>
                <w:bCs w:val="0"/>
                <w:color w:val="000000" w:themeColor="text1"/>
                <w:lang w:val="en-US" w:eastAsia="zh-CN"/>
              </w:rPr>
              <w:t>94.0±0.5</w:t>
            </w:r>
            <w:r>
              <w:rPr>
                <w:rFonts w:hint="default" w:ascii="Times New Roman" w:hAnsi="Times New Roman" w:eastAsia="宋体" w:cs="Times New Roman"/>
                <w:b w:val="0"/>
                <w:bCs w:val="0"/>
                <w:color w:val="000000" w:themeColor="text1"/>
                <w:sz w:val="21"/>
                <w:szCs w:val="21"/>
              </w:rPr>
              <w:t>dB</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测量前</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测量后</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测量前</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测量后</w:t>
            </w:r>
          </w:p>
        </w:tc>
        <w:tc>
          <w:tcPr>
            <w:tcW w:w="1641" w:type="dxa"/>
            <w:gridSpan w:val="2"/>
            <w:vMerge w:val="continue"/>
            <w:tcBorders>
              <w:tl2br w:val="nil"/>
              <w:tr2bl w:val="nil"/>
            </w:tcBorders>
            <w:vAlign w:val="center"/>
          </w:tcPr>
          <w:p>
            <w:pPr>
              <w:pStyle w:val="43"/>
              <w:rPr>
                <w:rFonts w:ascii="Times New Roman" w:cs="Times New Roman"/>
                <w:color w:val="000000" w:themeColor="text1"/>
              </w:rPr>
            </w:pPr>
          </w:p>
        </w:tc>
        <w:tc>
          <w:tcPr>
            <w:tcW w:w="1742" w:type="dxa"/>
            <w:gridSpan w:val="2"/>
            <w:vMerge w:val="continue"/>
            <w:tcBorders>
              <w:tl2br w:val="nil"/>
              <w:tr2bl w:val="nil"/>
            </w:tcBorders>
            <w:vAlign w:val="center"/>
          </w:tcPr>
          <w:p>
            <w:pPr>
              <w:pStyle w:val="43"/>
              <w:rPr>
                <w:rFonts w:asci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744" w:type="dxa"/>
            <w:gridSpan w:val="2"/>
            <w:vMerge w:val="continue"/>
            <w:tcBorders>
              <w:tl2br w:val="nil"/>
              <w:tr2bl w:val="nil"/>
            </w:tcBorders>
            <w:vAlign w:val="center"/>
          </w:tcPr>
          <w:p>
            <w:pPr>
              <w:pStyle w:val="43"/>
              <w:rPr>
                <w:rFonts w:ascii="Times New Roman" w:cs="Times New Roman"/>
                <w:color w:val="000000" w:themeColor="text1"/>
              </w:rPr>
            </w:pP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93.9</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94.0</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93.8</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93.9</w:t>
            </w:r>
          </w:p>
        </w:tc>
        <w:tc>
          <w:tcPr>
            <w:tcW w:w="1641" w:type="dxa"/>
            <w:gridSpan w:val="2"/>
            <w:vMerge w:val="continue"/>
            <w:tcBorders>
              <w:tl2br w:val="nil"/>
              <w:tr2bl w:val="nil"/>
            </w:tcBorders>
            <w:vAlign w:val="center"/>
          </w:tcPr>
          <w:p>
            <w:pPr>
              <w:pStyle w:val="43"/>
              <w:rPr>
                <w:rFonts w:ascii="Times New Roman" w:cs="Times New Roman"/>
                <w:color w:val="000000" w:themeColor="text1"/>
              </w:rPr>
            </w:pPr>
          </w:p>
        </w:tc>
        <w:tc>
          <w:tcPr>
            <w:tcW w:w="1742" w:type="dxa"/>
            <w:gridSpan w:val="2"/>
            <w:vMerge w:val="continue"/>
            <w:tcBorders>
              <w:tl2br w:val="nil"/>
              <w:tr2bl w:val="nil"/>
            </w:tcBorders>
            <w:vAlign w:val="center"/>
          </w:tcPr>
          <w:p>
            <w:pPr>
              <w:pStyle w:val="43"/>
              <w:rPr>
                <w:rFonts w:asci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编号</w:t>
            </w:r>
          </w:p>
        </w:tc>
        <w:tc>
          <w:tcPr>
            <w:tcW w:w="1086"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eastAsia="zh-CN"/>
              </w:rPr>
              <w:t>监测点位</w:t>
            </w:r>
          </w:p>
        </w:tc>
        <w:tc>
          <w:tcPr>
            <w:tcW w:w="958"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昼间</w:t>
            </w:r>
          </w:p>
        </w:tc>
        <w:tc>
          <w:tcPr>
            <w:tcW w:w="933"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夜间</w:t>
            </w:r>
          </w:p>
        </w:tc>
        <w:tc>
          <w:tcPr>
            <w:tcW w:w="983"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昼间</w:t>
            </w:r>
          </w:p>
        </w:tc>
        <w:tc>
          <w:tcPr>
            <w:tcW w:w="956"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夜间</w:t>
            </w:r>
          </w:p>
        </w:tc>
        <w:tc>
          <w:tcPr>
            <w:tcW w:w="8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昼间</w:t>
            </w:r>
          </w:p>
        </w:tc>
        <w:tc>
          <w:tcPr>
            <w:tcW w:w="820"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夜间</w:t>
            </w:r>
          </w:p>
        </w:tc>
        <w:tc>
          <w:tcPr>
            <w:tcW w:w="8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昼间</w:t>
            </w:r>
          </w:p>
        </w:tc>
        <w:tc>
          <w:tcPr>
            <w:tcW w:w="9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N1</w:t>
            </w:r>
          </w:p>
        </w:tc>
        <w:tc>
          <w:tcPr>
            <w:tcW w:w="1086" w:type="dxa"/>
            <w:tcBorders>
              <w:tl2br w:val="nil"/>
              <w:tr2bl w:val="nil"/>
            </w:tcBorders>
            <w:vAlign w:val="center"/>
          </w:tcPr>
          <w:p>
            <w:pPr>
              <w:pStyle w:val="43"/>
              <w:rPr>
                <w:rFonts w:hint="eastAsia" w:ascii="Times New Roman" w:cs="Times New Roman" w:eastAsiaTheme="minorEastAsia"/>
                <w:color w:val="000000" w:themeColor="text1"/>
                <w:lang w:eastAsia="zh-CN"/>
              </w:rPr>
            </w:pPr>
            <w:r>
              <w:rPr>
                <w:rFonts w:hint="eastAsia" w:ascii="Times New Roman" w:cs="Times New Roman"/>
                <w:color w:val="000000" w:themeColor="text1"/>
                <w:lang w:val="en-US" w:eastAsia="zh-CN"/>
              </w:rPr>
              <w:t>K1厂区</w:t>
            </w:r>
            <w:r>
              <w:rPr>
                <w:rFonts w:ascii="Times New Roman" w:cs="Times New Roman"/>
                <w:color w:val="000000" w:themeColor="text1"/>
              </w:rPr>
              <w:t>厂界</w:t>
            </w:r>
            <w:r>
              <w:rPr>
                <w:rFonts w:hint="eastAsia" w:ascii="Times New Roman" w:cs="Times New Roman"/>
                <w:color w:val="000000" w:themeColor="text1"/>
                <w:lang w:eastAsia="zh-CN"/>
              </w:rPr>
              <w:t>北</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50</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41</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51</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43</w:t>
            </w:r>
          </w:p>
        </w:tc>
        <w:tc>
          <w:tcPr>
            <w:tcW w:w="821"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N2</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K1厂区</w:t>
            </w:r>
            <w:r>
              <w:rPr>
                <w:rFonts w:ascii="Times New Roman" w:cs="Times New Roman"/>
                <w:color w:val="000000" w:themeColor="text1"/>
              </w:rPr>
              <w:t>厂界</w:t>
            </w:r>
            <w:r>
              <w:rPr>
                <w:rFonts w:hint="eastAsia" w:ascii="Times New Roman" w:cs="Times New Roman"/>
                <w:color w:val="000000" w:themeColor="text1"/>
                <w:lang w:eastAsia="zh-CN"/>
              </w:rPr>
              <w:t>西</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49</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40</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50</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40</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N3</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K1厂区</w:t>
            </w:r>
            <w:r>
              <w:rPr>
                <w:rFonts w:ascii="Times New Roman" w:cs="Times New Roman"/>
                <w:color w:val="000000" w:themeColor="text1"/>
              </w:rPr>
              <w:t>厂界</w:t>
            </w:r>
            <w:r>
              <w:rPr>
                <w:rFonts w:hint="eastAsia" w:ascii="Times New Roman" w:cs="Times New Roman"/>
                <w:color w:val="000000" w:themeColor="text1"/>
                <w:lang w:eastAsia="zh-CN"/>
              </w:rPr>
              <w:t>南</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51</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42</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49</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42</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pStyle w:val="43"/>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N4</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K1厂区</w:t>
            </w:r>
            <w:r>
              <w:rPr>
                <w:rFonts w:ascii="Times New Roman" w:cs="Times New Roman"/>
                <w:color w:val="000000" w:themeColor="text1"/>
              </w:rPr>
              <w:t>厂界</w:t>
            </w:r>
            <w:r>
              <w:rPr>
                <w:rFonts w:hint="eastAsia" w:ascii="Times New Roman" w:cs="Times New Roman"/>
                <w:color w:val="000000" w:themeColor="text1"/>
                <w:lang w:eastAsia="zh-CN"/>
              </w:rPr>
              <w:t>东</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52</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42</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51</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41</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N5</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K2厂区</w:t>
            </w:r>
            <w:r>
              <w:rPr>
                <w:rFonts w:ascii="Times New Roman" w:cs="Times New Roman"/>
                <w:color w:val="000000" w:themeColor="text1"/>
              </w:rPr>
              <w:t>厂界</w:t>
            </w:r>
            <w:r>
              <w:rPr>
                <w:rFonts w:hint="eastAsia" w:ascii="Times New Roman" w:cs="Times New Roman"/>
                <w:color w:val="000000" w:themeColor="text1"/>
                <w:lang w:eastAsia="zh-CN"/>
              </w:rPr>
              <w:t>北</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53</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42</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52</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43</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N6</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K2厂区</w:t>
            </w:r>
            <w:r>
              <w:rPr>
                <w:rFonts w:ascii="Times New Roman" w:cs="Times New Roman"/>
                <w:color w:val="000000" w:themeColor="text1"/>
              </w:rPr>
              <w:t>厂界</w:t>
            </w:r>
            <w:r>
              <w:rPr>
                <w:rFonts w:hint="eastAsia" w:ascii="Times New Roman" w:cs="Times New Roman"/>
                <w:color w:val="000000" w:themeColor="text1"/>
                <w:lang w:eastAsia="zh-CN"/>
              </w:rPr>
              <w:t>西</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51</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41</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50</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41</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N7</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K2厂区</w:t>
            </w:r>
            <w:r>
              <w:rPr>
                <w:rFonts w:ascii="Times New Roman" w:cs="Times New Roman"/>
                <w:color w:val="000000" w:themeColor="text1"/>
              </w:rPr>
              <w:t>厂界</w:t>
            </w:r>
            <w:r>
              <w:rPr>
                <w:rFonts w:hint="eastAsia" w:ascii="Times New Roman" w:cs="Times New Roman"/>
                <w:color w:val="000000" w:themeColor="text1"/>
                <w:lang w:eastAsia="zh-CN"/>
              </w:rPr>
              <w:t>南</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52</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43</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52</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42</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N8</w:t>
            </w:r>
          </w:p>
        </w:tc>
        <w:tc>
          <w:tcPr>
            <w:tcW w:w="1086" w:type="dxa"/>
            <w:tcBorders>
              <w:tl2br w:val="nil"/>
              <w:tr2bl w:val="nil"/>
            </w:tcBorders>
            <w:vAlign w:val="center"/>
          </w:tcPr>
          <w:p>
            <w:pPr>
              <w:pStyle w:val="43"/>
              <w:rPr>
                <w:rFonts w:ascii="Times New Roman" w:cs="Times New Roman"/>
                <w:color w:val="000000" w:themeColor="text1"/>
              </w:rPr>
            </w:pPr>
            <w:r>
              <w:rPr>
                <w:rFonts w:hint="eastAsia" w:ascii="Times New Roman" w:cs="Times New Roman"/>
                <w:color w:val="000000" w:themeColor="text1"/>
                <w:lang w:val="en-US" w:eastAsia="zh-CN"/>
              </w:rPr>
              <w:t>K2厂区</w:t>
            </w:r>
            <w:r>
              <w:rPr>
                <w:rFonts w:ascii="Times New Roman" w:cs="Times New Roman"/>
                <w:color w:val="000000" w:themeColor="text1"/>
              </w:rPr>
              <w:t>厂界</w:t>
            </w:r>
            <w:r>
              <w:rPr>
                <w:rFonts w:hint="eastAsia" w:ascii="Times New Roman" w:cs="Times New Roman"/>
                <w:color w:val="000000" w:themeColor="text1"/>
                <w:lang w:eastAsia="zh-CN"/>
              </w:rPr>
              <w:t>东</w:t>
            </w:r>
          </w:p>
        </w:tc>
        <w:tc>
          <w:tcPr>
            <w:tcW w:w="958"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51</w:t>
            </w:r>
          </w:p>
        </w:tc>
        <w:tc>
          <w:tcPr>
            <w:tcW w:w="93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41</w:t>
            </w:r>
          </w:p>
        </w:tc>
        <w:tc>
          <w:tcPr>
            <w:tcW w:w="983"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51</w:t>
            </w:r>
          </w:p>
        </w:tc>
        <w:tc>
          <w:tcPr>
            <w:tcW w:w="956" w:type="dxa"/>
            <w:tcBorders>
              <w:tl2br w:val="nil"/>
              <w:tr2bl w:val="nil"/>
            </w:tcBorders>
            <w:vAlign w:val="center"/>
          </w:tcPr>
          <w:p>
            <w:pPr>
              <w:pStyle w:val="43"/>
              <w:rPr>
                <w:rFonts w:hint="eastAsia" w:ascii="Times New Roman" w:cs="Times New Roman" w:eastAsiaTheme="minorEastAsia"/>
                <w:color w:val="000000" w:themeColor="text1"/>
                <w:lang w:val="en-US" w:eastAsia="zh-CN"/>
              </w:rPr>
            </w:pPr>
            <w:r>
              <w:rPr>
                <w:rFonts w:hint="eastAsia" w:ascii="Times New Roman" w:cs="Times New Roman"/>
                <w:color w:val="000000" w:themeColor="text1"/>
                <w:lang w:val="en-US" w:eastAsia="zh-CN"/>
              </w:rPr>
              <w:t>43</w:t>
            </w:r>
          </w:p>
        </w:tc>
        <w:tc>
          <w:tcPr>
            <w:tcW w:w="821"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60</w:t>
            </w:r>
          </w:p>
        </w:tc>
        <w:tc>
          <w:tcPr>
            <w:tcW w:w="820" w:type="dxa"/>
            <w:tcBorders>
              <w:tl2br w:val="nil"/>
              <w:tr2bl w:val="nil"/>
            </w:tcBorders>
            <w:vAlign w:val="center"/>
          </w:tcPr>
          <w:p>
            <w:pPr>
              <w:jc w:val="center"/>
              <w:rPr>
                <w:rFonts w:ascii="Times New Roman" w:cs="Times New Roman"/>
                <w:color w:val="000000" w:themeColor="text1"/>
              </w:rPr>
            </w:pPr>
            <w:r>
              <w:rPr>
                <w:rFonts w:hint="eastAsia" w:ascii="Times New Roman" w:cs="Times New Roman"/>
                <w:color w:val="000000" w:themeColor="text1"/>
                <w:lang w:val="en-US" w:eastAsia="zh-CN"/>
              </w:rPr>
              <w:t>50</w:t>
            </w:r>
          </w:p>
        </w:tc>
        <w:tc>
          <w:tcPr>
            <w:tcW w:w="8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c>
          <w:tcPr>
            <w:tcW w:w="921" w:type="dxa"/>
            <w:tcBorders>
              <w:tl2br w:val="nil"/>
              <w:tr2bl w:val="nil"/>
            </w:tcBorders>
            <w:vAlign w:val="center"/>
          </w:tcPr>
          <w:p>
            <w:pPr>
              <w:jc w:val="center"/>
              <w:rPr>
                <w:rFonts w:ascii="Times New Roman" w:cs="Times New Roman"/>
                <w:color w:val="000000" w:themeColor="text1"/>
              </w:rPr>
            </w:pPr>
            <w:r>
              <w:rPr>
                <w:rFonts w:ascii="Times New Roman" w:cs="Times New Roman"/>
                <w:color w:val="000000" w:themeColor="text1"/>
              </w:rPr>
              <w:t>0</w:t>
            </w:r>
          </w:p>
        </w:tc>
      </w:tr>
    </w:tbl>
    <w:p>
      <w:pPr>
        <w:pStyle w:val="55"/>
        <w:pageBreakBefore w:val="0"/>
        <w:widowControl w:val="0"/>
        <w:kinsoku/>
        <w:wordWrap/>
        <w:overflowPunct/>
        <w:topLinePunct w:val="0"/>
        <w:autoSpaceDE/>
        <w:autoSpaceDN/>
        <w:bidi w:val="0"/>
        <w:adjustRightInd w:val="0"/>
        <w:snapToGrid w:val="0"/>
        <w:spacing w:line="360" w:lineRule="auto"/>
        <w:jc w:val="left"/>
        <w:textAlignment w:val="auto"/>
        <w:rPr>
          <w:rFonts w:ascii="Times New Roman"/>
          <w:color w:val="000000" w:themeColor="text1"/>
        </w:rPr>
      </w:pPr>
      <w:r>
        <w:rPr>
          <w:rFonts w:ascii="Times New Roman"/>
          <w:color w:val="000000" w:themeColor="text1"/>
        </w:rPr>
        <w:t>由监测结果可知，项目</w:t>
      </w:r>
      <w:r>
        <w:rPr>
          <w:rFonts w:hint="eastAsia" w:ascii="Times New Roman"/>
          <w:color w:val="000000" w:themeColor="text1"/>
        </w:rPr>
        <w:t>现状监测点位</w:t>
      </w:r>
      <w:r>
        <w:rPr>
          <w:rFonts w:ascii="Times New Roman"/>
          <w:color w:val="000000" w:themeColor="text1"/>
        </w:rPr>
        <w:t>昼间、夜间环境噪声均能满足《声环境质量标准》（</w:t>
      </w:r>
      <w:r>
        <w:rPr>
          <w:rFonts w:ascii="Times New Roman" w:hAnsi="Times New Roman"/>
          <w:color w:val="000000" w:themeColor="text1"/>
        </w:rPr>
        <w:t>GB3096-2008</w:t>
      </w:r>
      <w:r>
        <w:rPr>
          <w:rFonts w:ascii="Times New Roman"/>
          <w:color w:val="000000" w:themeColor="text1"/>
        </w:rPr>
        <w:t>）</w:t>
      </w:r>
      <w:r>
        <w:rPr>
          <w:rFonts w:hint="eastAsia" w:ascii="Times New Roman"/>
          <w:color w:val="000000" w:themeColor="text1"/>
          <w:lang w:val="en-US" w:eastAsia="zh-CN"/>
        </w:rPr>
        <w:t>2</w:t>
      </w:r>
      <w:r>
        <w:rPr>
          <w:rFonts w:ascii="Times New Roman"/>
          <w:color w:val="000000" w:themeColor="text1"/>
        </w:rPr>
        <w:t>类标准要求</w:t>
      </w:r>
      <w:r>
        <w:rPr>
          <w:rFonts w:hint="eastAsia" w:ascii="Times New Roman"/>
          <w:color w:val="000000" w:themeColor="text1"/>
        </w:rPr>
        <w:t>，</w:t>
      </w:r>
      <w:r>
        <w:rPr>
          <w:rFonts w:ascii="Times New Roman"/>
          <w:color w:val="000000" w:themeColor="text1"/>
        </w:rPr>
        <w:t>声环境质量现状较好。</w:t>
      </w:r>
    </w:p>
    <w:p>
      <w:pPr>
        <w:pStyle w:val="5"/>
        <w:rPr>
          <w:rFonts w:hint="eastAsia"/>
          <w:color w:val="000000" w:themeColor="text1"/>
          <w:lang w:val="en-US" w:eastAsia="zh-CN"/>
        </w:rPr>
      </w:pPr>
      <w:bookmarkStart w:id="751" w:name="_Toc7160"/>
      <w:r>
        <w:rPr>
          <w:rFonts w:hint="eastAsia"/>
          <w:color w:val="000000" w:themeColor="text1"/>
          <w:lang w:val="en-US" w:eastAsia="zh-CN"/>
        </w:rPr>
        <w:t>土壤</w:t>
      </w:r>
      <w:r>
        <w:rPr>
          <w:rFonts w:hint="eastAsia"/>
          <w:color w:val="000000" w:themeColor="text1"/>
        </w:rPr>
        <w:t>环境质量现状监测与评价</w:t>
      </w:r>
      <w:bookmarkEnd w:id="751"/>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textAlignment w:val="auto"/>
        <w:outlineLvl w:val="3"/>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 xml:space="preserve"> </w:t>
      </w:r>
      <w:r>
        <w:rPr>
          <w:rFonts w:hint="default" w:ascii="Times New Roman" w:hAnsi="Times New Roman" w:eastAsia="宋体" w:cs="Times New Roman"/>
          <w:color w:val="000000" w:themeColor="text1"/>
          <w:sz w:val="24"/>
          <w:szCs w:val="24"/>
          <w:lang w:eastAsia="zh-CN"/>
        </w:rPr>
        <w:t>监测点位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根据《环境影响评价技术导则 土壤环境》（试行）规定的布点原则，项目共选取了土壤环境现状监测点</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处，</w:t>
      </w:r>
      <w:r>
        <w:rPr>
          <w:rFonts w:hint="eastAsia" w:ascii="Times New Roman" w:hAnsi="Times New Roman" w:eastAsia="宋体" w:cs="Times New Roman"/>
          <w:color w:val="000000" w:themeColor="text1"/>
          <w:sz w:val="24"/>
          <w:szCs w:val="24"/>
          <w:lang w:val="en-US" w:eastAsia="zh-CN"/>
        </w:rPr>
        <w:t>K1矿区3处，K2矿区3处。K1矿区的现状监测点位分别为1#矿石转运场地、2#场地下风向、3#废石场下游；K2矿区的现状监测点位分别为4#矿石转运场地、5#场地下风向、6#硐口废水沉淀池。</w:t>
      </w:r>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textAlignment w:val="auto"/>
        <w:outlineLvl w:val="3"/>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eastAsia="zh-CN"/>
        </w:rPr>
        <w:t>）监测因子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color w:val="000000" w:themeColor="text1"/>
          <w:sz w:val="24"/>
          <w:szCs w:val="24"/>
          <w:lang w:eastAsia="zh-CN"/>
        </w:rPr>
        <w:t>本项目的基本监测因子为</w:t>
      </w:r>
      <w:r>
        <w:rPr>
          <w:rFonts w:ascii="TimesNewRomanPSMT" w:hAnsi="TimesNewRomanPSMT" w:eastAsia="TimesNewRomanPSMT" w:cs="TimesNewRomanPSMT"/>
          <w:color w:val="000000" w:themeColor="text1"/>
          <w:sz w:val="24"/>
          <w:szCs w:val="24"/>
        </w:rPr>
        <w:t>45</w:t>
      </w:r>
      <w:r>
        <w:rPr>
          <w:rFonts w:hint="eastAsia" w:ascii="宋体" w:hAnsi="宋体" w:cs="宋体"/>
          <w:color w:val="000000" w:themeColor="text1"/>
          <w:sz w:val="24"/>
          <w:szCs w:val="24"/>
        </w:rPr>
        <w:t>项，</w:t>
      </w:r>
      <w:r>
        <w:rPr>
          <w:rFonts w:hint="eastAsia" w:ascii="宋体" w:hAnsi="宋体" w:cs="宋体"/>
          <w:color w:val="000000" w:themeColor="text1"/>
          <w:sz w:val="24"/>
          <w:szCs w:val="24"/>
          <w:lang w:eastAsia="zh-CN"/>
        </w:rPr>
        <w:t>分别为</w:t>
      </w:r>
      <w:r>
        <w:rPr>
          <w:rFonts w:hint="eastAsia" w:ascii="宋体" w:hAnsi="宋体" w:cs="宋体"/>
          <w:color w:val="000000" w:themeColor="text1"/>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ascii="宋体" w:hAnsi="宋体" w:cs="宋体"/>
          <w:color w:val="000000" w:themeColor="text1"/>
          <w:sz w:val="24"/>
          <w:szCs w:val="24"/>
        </w:rPr>
        <w:t xml:space="preserve">重金属和无机物：砷、镉、铬（六价）、铜、铅、汞、镍；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ascii="宋体" w:hAnsi="宋体" w:cs="宋体"/>
          <w:color w:val="000000" w:themeColor="text1"/>
          <w:sz w:val="24"/>
          <w:szCs w:val="24"/>
        </w:rPr>
        <w:t>挥发性有机物：四氯化碳、氯仿、氯甲烷、</w:t>
      </w:r>
      <w:r>
        <w:rPr>
          <w:rFonts w:ascii="TimesNewRomanPSMT" w:hAnsi="TimesNewRomanPSMT" w:eastAsia="TimesNewRomanPSMT" w:cs="TimesNewRomanPSMT"/>
          <w:color w:val="000000" w:themeColor="text1"/>
          <w:sz w:val="24"/>
          <w:szCs w:val="24"/>
        </w:rPr>
        <w:t>1,1-</w:t>
      </w:r>
      <w:r>
        <w:rPr>
          <w:rFonts w:hint="eastAsia" w:ascii="宋体" w:hAnsi="宋体" w:cs="宋体"/>
          <w:color w:val="000000" w:themeColor="text1"/>
          <w:sz w:val="24"/>
          <w:szCs w:val="24"/>
        </w:rPr>
        <w:t>二氯乙烷、</w:t>
      </w:r>
      <w:r>
        <w:rPr>
          <w:rFonts w:ascii="TimesNewRomanPSMT" w:hAnsi="TimesNewRomanPSMT" w:eastAsia="TimesNewRomanPSMT" w:cs="TimesNewRomanPSMT"/>
          <w:color w:val="000000" w:themeColor="text1"/>
          <w:sz w:val="24"/>
          <w:szCs w:val="24"/>
        </w:rPr>
        <w:t>1,2-</w:t>
      </w:r>
      <w:r>
        <w:rPr>
          <w:rFonts w:hint="eastAsia" w:ascii="宋体" w:hAnsi="宋体" w:cs="宋体"/>
          <w:color w:val="000000" w:themeColor="text1"/>
          <w:sz w:val="24"/>
          <w:szCs w:val="24"/>
        </w:rPr>
        <w:t>二氯乙烷、</w:t>
      </w:r>
      <w:r>
        <w:rPr>
          <w:rFonts w:ascii="TimesNewRomanPSMT" w:hAnsi="TimesNewRomanPSMT" w:eastAsia="TimesNewRomanPSMT" w:cs="TimesNewRomanPSMT"/>
          <w:color w:val="000000" w:themeColor="text1"/>
          <w:sz w:val="24"/>
          <w:szCs w:val="24"/>
        </w:rPr>
        <w:t>1,1-</w:t>
      </w:r>
      <w:r>
        <w:rPr>
          <w:rFonts w:hint="eastAsia" w:ascii="宋体" w:hAnsi="宋体" w:cs="宋体"/>
          <w:color w:val="000000" w:themeColor="text1"/>
          <w:sz w:val="24"/>
          <w:szCs w:val="24"/>
        </w:rPr>
        <w:t>二氯乙烯、顺</w:t>
      </w:r>
      <w:r>
        <w:rPr>
          <w:rFonts w:ascii="TimesNewRomanPSMT" w:hAnsi="TimesNewRomanPSMT" w:eastAsia="TimesNewRomanPSMT" w:cs="TimesNewRomanPSMT"/>
          <w:color w:val="000000" w:themeColor="text1"/>
          <w:sz w:val="24"/>
          <w:szCs w:val="24"/>
        </w:rPr>
        <w:t>-1,2-</w:t>
      </w:r>
      <w:r>
        <w:rPr>
          <w:rFonts w:hint="eastAsia" w:ascii="宋体" w:hAnsi="宋体" w:cs="宋体"/>
          <w:color w:val="000000" w:themeColor="text1"/>
          <w:sz w:val="24"/>
          <w:szCs w:val="24"/>
        </w:rPr>
        <w:t>二氯乙烯、反</w:t>
      </w:r>
      <w:r>
        <w:rPr>
          <w:rFonts w:ascii="TimesNewRomanPSMT" w:hAnsi="TimesNewRomanPSMT" w:eastAsia="TimesNewRomanPSMT" w:cs="TimesNewRomanPSMT"/>
          <w:color w:val="000000" w:themeColor="text1"/>
          <w:sz w:val="24"/>
          <w:szCs w:val="24"/>
        </w:rPr>
        <w:t>-1,2-</w:t>
      </w:r>
      <w:r>
        <w:rPr>
          <w:rFonts w:hint="eastAsia" w:ascii="宋体" w:hAnsi="宋体" w:cs="宋体"/>
          <w:color w:val="000000" w:themeColor="text1"/>
          <w:sz w:val="24"/>
          <w:szCs w:val="24"/>
        </w:rPr>
        <w:t>二氯乙烯、二氯甲烷、</w:t>
      </w:r>
      <w:r>
        <w:rPr>
          <w:rFonts w:ascii="TimesNewRomanPSMT" w:hAnsi="TimesNewRomanPSMT" w:eastAsia="TimesNewRomanPSMT" w:cs="TimesNewRomanPSMT"/>
          <w:color w:val="000000" w:themeColor="text1"/>
          <w:sz w:val="24"/>
          <w:szCs w:val="24"/>
        </w:rPr>
        <w:t>1,2-</w:t>
      </w:r>
      <w:r>
        <w:rPr>
          <w:rFonts w:hint="eastAsia" w:ascii="宋体" w:hAnsi="宋体" w:cs="宋体"/>
          <w:color w:val="000000" w:themeColor="text1"/>
          <w:sz w:val="24"/>
          <w:szCs w:val="24"/>
        </w:rPr>
        <w:t>二氯丙烷、</w:t>
      </w:r>
      <w:r>
        <w:rPr>
          <w:rFonts w:ascii="TimesNewRomanPSMT" w:hAnsi="TimesNewRomanPSMT" w:eastAsia="TimesNewRomanPSMT" w:cs="TimesNewRomanPSMT"/>
          <w:color w:val="000000" w:themeColor="text1"/>
          <w:sz w:val="24"/>
          <w:szCs w:val="24"/>
        </w:rPr>
        <w:t>1,1,1,2-</w:t>
      </w:r>
      <w:r>
        <w:rPr>
          <w:rFonts w:hint="eastAsia" w:ascii="宋体" w:hAnsi="宋体" w:cs="宋体"/>
          <w:color w:val="000000" w:themeColor="text1"/>
          <w:sz w:val="24"/>
          <w:szCs w:val="24"/>
        </w:rPr>
        <w:t xml:space="preserve">四氯乙烷、 </w:t>
      </w:r>
      <w:r>
        <w:rPr>
          <w:rFonts w:ascii="TimesNewRomanPSMT" w:hAnsi="TimesNewRomanPSMT" w:eastAsia="TimesNewRomanPSMT" w:cs="TimesNewRomanPSMT"/>
          <w:color w:val="000000" w:themeColor="text1"/>
          <w:sz w:val="24"/>
          <w:szCs w:val="24"/>
        </w:rPr>
        <w:t>1,1,2,2-</w:t>
      </w:r>
      <w:r>
        <w:rPr>
          <w:rFonts w:hint="eastAsia" w:ascii="宋体" w:hAnsi="宋体" w:cs="宋体"/>
          <w:color w:val="000000" w:themeColor="text1"/>
          <w:sz w:val="24"/>
          <w:szCs w:val="24"/>
        </w:rPr>
        <w:t>四氯乙烷、四氯乙烯、</w:t>
      </w:r>
      <w:r>
        <w:rPr>
          <w:rFonts w:ascii="TimesNewRomanPSMT" w:hAnsi="TimesNewRomanPSMT" w:eastAsia="TimesNewRomanPSMT" w:cs="TimesNewRomanPSMT"/>
          <w:color w:val="000000" w:themeColor="text1"/>
          <w:sz w:val="24"/>
          <w:szCs w:val="24"/>
        </w:rPr>
        <w:t>1,1,1-</w:t>
      </w:r>
      <w:r>
        <w:rPr>
          <w:rFonts w:hint="eastAsia" w:ascii="宋体" w:hAnsi="宋体" w:cs="宋体"/>
          <w:color w:val="000000" w:themeColor="text1"/>
          <w:sz w:val="24"/>
          <w:szCs w:val="24"/>
        </w:rPr>
        <w:t>三氯乙烷、</w:t>
      </w:r>
      <w:r>
        <w:rPr>
          <w:rFonts w:ascii="TimesNewRomanPSMT" w:hAnsi="TimesNewRomanPSMT" w:eastAsia="TimesNewRomanPSMT" w:cs="TimesNewRomanPSMT"/>
          <w:color w:val="000000" w:themeColor="text1"/>
          <w:sz w:val="24"/>
          <w:szCs w:val="24"/>
        </w:rPr>
        <w:t>1,1,2-</w:t>
      </w:r>
      <w:r>
        <w:rPr>
          <w:rFonts w:hint="eastAsia" w:ascii="宋体" w:hAnsi="宋体" w:cs="宋体"/>
          <w:color w:val="000000" w:themeColor="text1"/>
          <w:sz w:val="24"/>
          <w:szCs w:val="24"/>
        </w:rPr>
        <w:t>三氯乙烷、三氯乙烯、</w:t>
      </w:r>
      <w:r>
        <w:rPr>
          <w:rFonts w:ascii="TimesNewRomanPSMT" w:hAnsi="TimesNewRomanPSMT" w:eastAsia="TimesNewRomanPSMT" w:cs="TimesNewRomanPSMT"/>
          <w:color w:val="000000" w:themeColor="text1"/>
          <w:sz w:val="24"/>
          <w:szCs w:val="24"/>
        </w:rPr>
        <w:t>1,2,3-</w:t>
      </w:r>
      <w:r>
        <w:rPr>
          <w:rFonts w:hint="eastAsia" w:ascii="宋体" w:hAnsi="宋体" w:cs="宋体"/>
          <w:color w:val="000000" w:themeColor="text1"/>
          <w:sz w:val="24"/>
          <w:szCs w:val="24"/>
        </w:rPr>
        <w:t>三氯丙 烷、氯乙烯、苯、氯苯、</w:t>
      </w:r>
      <w:r>
        <w:rPr>
          <w:rFonts w:ascii="TimesNewRomanPSMT" w:hAnsi="TimesNewRomanPSMT" w:eastAsia="TimesNewRomanPSMT" w:cs="TimesNewRomanPSMT"/>
          <w:color w:val="000000" w:themeColor="text1"/>
          <w:sz w:val="24"/>
          <w:szCs w:val="24"/>
        </w:rPr>
        <w:t>1,2-</w:t>
      </w:r>
      <w:r>
        <w:rPr>
          <w:rFonts w:hint="eastAsia" w:ascii="宋体" w:hAnsi="宋体" w:cs="宋体"/>
          <w:color w:val="000000" w:themeColor="text1"/>
          <w:sz w:val="24"/>
          <w:szCs w:val="24"/>
        </w:rPr>
        <w:t>二氯苯、</w:t>
      </w:r>
      <w:r>
        <w:rPr>
          <w:rFonts w:ascii="TimesNewRomanPSMT" w:hAnsi="TimesNewRomanPSMT" w:eastAsia="TimesNewRomanPSMT" w:cs="TimesNewRomanPSMT"/>
          <w:color w:val="000000" w:themeColor="text1"/>
          <w:sz w:val="24"/>
          <w:szCs w:val="24"/>
        </w:rPr>
        <w:t>1,4-</w:t>
      </w:r>
      <w:r>
        <w:rPr>
          <w:rFonts w:hint="eastAsia" w:ascii="宋体" w:hAnsi="宋体" w:cs="宋体"/>
          <w:color w:val="000000" w:themeColor="text1"/>
          <w:sz w:val="24"/>
          <w:szCs w:val="24"/>
        </w:rPr>
        <w:t>二氯苯、乙苯、苯乙烯、甲苯、间二甲苯</w:t>
      </w:r>
      <w:r>
        <w:rPr>
          <w:rFonts w:ascii="TimesNewRomanPSMT" w:hAnsi="TimesNewRomanPSMT" w:eastAsia="TimesNewRomanPSMT" w:cs="TimesNewRomanPSMT"/>
          <w:color w:val="000000" w:themeColor="text1"/>
          <w:sz w:val="24"/>
          <w:szCs w:val="24"/>
        </w:rPr>
        <w:t>+</w:t>
      </w:r>
      <w:r>
        <w:rPr>
          <w:rFonts w:hint="eastAsia" w:ascii="宋体" w:hAnsi="宋体" w:cs="宋体"/>
          <w:color w:val="000000" w:themeColor="text1"/>
          <w:sz w:val="24"/>
          <w:szCs w:val="24"/>
        </w:rPr>
        <w:t xml:space="preserve">对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ascii="宋体" w:hAnsi="宋体" w:cs="宋体"/>
          <w:color w:val="000000" w:themeColor="text1"/>
          <w:sz w:val="24"/>
          <w:szCs w:val="24"/>
        </w:rPr>
        <w:t xml:space="preserve">二甲苯、邻二甲苯；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ascii="宋体" w:hAnsi="宋体" w:cs="宋体"/>
          <w:color w:val="000000" w:themeColor="text1"/>
          <w:sz w:val="24"/>
          <w:szCs w:val="24"/>
        </w:rPr>
        <w:t>半挥发性有机物：硝基苯、苯胺、</w:t>
      </w:r>
      <w:r>
        <w:rPr>
          <w:rFonts w:ascii="TimesNewRomanPSMT" w:hAnsi="TimesNewRomanPSMT" w:eastAsia="TimesNewRomanPSMT" w:cs="TimesNewRomanPSMT"/>
          <w:color w:val="000000" w:themeColor="text1"/>
          <w:sz w:val="24"/>
          <w:szCs w:val="24"/>
        </w:rPr>
        <w:t>2-</w:t>
      </w:r>
      <w:r>
        <w:rPr>
          <w:rFonts w:hint="eastAsia" w:ascii="宋体" w:hAnsi="宋体" w:cs="宋体"/>
          <w:color w:val="000000" w:themeColor="text1"/>
          <w:sz w:val="24"/>
          <w:szCs w:val="24"/>
        </w:rPr>
        <w:t>氯酚、苯并</w:t>
      </w:r>
      <w:r>
        <w:rPr>
          <w:rFonts w:ascii="TimesNewRomanPSMT" w:hAnsi="TimesNewRomanPSMT" w:eastAsia="TimesNewRomanPSMT" w:cs="TimesNewRomanPSMT"/>
          <w:color w:val="000000" w:themeColor="text1"/>
          <w:sz w:val="24"/>
          <w:szCs w:val="24"/>
        </w:rPr>
        <w:t>[a]</w:t>
      </w:r>
      <w:r>
        <w:rPr>
          <w:rFonts w:hint="eastAsia" w:ascii="宋体" w:hAnsi="宋体" w:cs="宋体"/>
          <w:color w:val="000000" w:themeColor="text1"/>
          <w:sz w:val="24"/>
          <w:szCs w:val="24"/>
        </w:rPr>
        <w:t>蒽、苯并</w:t>
      </w:r>
      <w:r>
        <w:rPr>
          <w:rFonts w:ascii="TimesNewRomanPSMT" w:hAnsi="TimesNewRomanPSMT" w:eastAsia="TimesNewRomanPSMT" w:cs="TimesNewRomanPSMT"/>
          <w:color w:val="000000" w:themeColor="text1"/>
          <w:sz w:val="24"/>
          <w:szCs w:val="24"/>
        </w:rPr>
        <w:t>[a]</w:t>
      </w:r>
      <w:r>
        <w:rPr>
          <w:rFonts w:hint="eastAsia" w:ascii="宋体" w:hAnsi="宋体" w:cs="宋体"/>
          <w:color w:val="000000" w:themeColor="text1"/>
          <w:sz w:val="24"/>
          <w:szCs w:val="24"/>
        </w:rPr>
        <w:t>芘、苯并</w:t>
      </w:r>
      <w:r>
        <w:rPr>
          <w:rFonts w:ascii="TimesNewRomanPSMT" w:hAnsi="TimesNewRomanPSMT" w:eastAsia="TimesNewRomanPSMT" w:cs="TimesNewRomanPSMT"/>
          <w:color w:val="000000" w:themeColor="text1"/>
          <w:sz w:val="24"/>
          <w:szCs w:val="24"/>
        </w:rPr>
        <w:t>[b]</w:t>
      </w:r>
      <w:r>
        <w:rPr>
          <w:rFonts w:hint="eastAsia" w:ascii="宋体" w:hAnsi="宋体" w:cs="宋体"/>
          <w:color w:val="000000" w:themeColor="text1"/>
          <w:sz w:val="24"/>
          <w:szCs w:val="24"/>
        </w:rPr>
        <w:t xml:space="preserve">荧蒽、苯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ascii="宋体" w:hAnsi="宋体" w:cs="宋体"/>
          <w:color w:val="000000" w:themeColor="text1"/>
          <w:sz w:val="24"/>
          <w:szCs w:val="24"/>
        </w:rPr>
      </w:pPr>
      <w:r>
        <w:rPr>
          <w:rFonts w:hint="eastAsia" w:ascii="宋体" w:hAnsi="宋体" w:cs="宋体"/>
          <w:color w:val="000000" w:themeColor="text1"/>
          <w:sz w:val="24"/>
          <w:szCs w:val="24"/>
        </w:rPr>
        <w:t>并</w:t>
      </w:r>
      <w:r>
        <w:rPr>
          <w:rFonts w:ascii="TimesNewRomanPSMT" w:hAnsi="TimesNewRomanPSMT" w:eastAsia="TimesNewRomanPSMT" w:cs="TimesNewRomanPSMT"/>
          <w:color w:val="000000" w:themeColor="text1"/>
          <w:sz w:val="24"/>
          <w:szCs w:val="24"/>
        </w:rPr>
        <w:t>[k]</w:t>
      </w:r>
      <w:r>
        <w:rPr>
          <w:rFonts w:hint="eastAsia" w:ascii="宋体" w:hAnsi="宋体" w:cs="宋体"/>
          <w:color w:val="000000" w:themeColor="text1"/>
          <w:sz w:val="24"/>
          <w:szCs w:val="24"/>
        </w:rPr>
        <w:t>荧蒽、䓛、二苯并</w:t>
      </w:r>
      <w:r>
        <w:rPr>
          <w:rFonts w:ascii="TimesNewRomanPSMT" w:hAnsi="TimesNewRomanPSMT" w:eastAsia="TimesNewRomanPSMT" w:cs="TimesNewRomanPSMT"/>
          <w:color w:val="000000" w:themeColor="text1"/>
          <w:sz w:val="24"/>
          <w:szCs w:val="24"/>
        </w:rPr>
        <w:t>[a,h]</w:t>
      </w:r>
      <w:r>
        <w:rPr>
          <w:rFonts w:hint="eastAsia" w:ascii="宋体" w:hAnsi="宋体" w:cs="宋体"/>
          <w:color w:val="000000" w:themeColor="text1"/>
          <w:sz w:val="24"/>
          <w:szCs w:val="24"/>
        </w:rPr>
        <w:t>蒽、茚并</w:t>
      </w:r>
      <w:r>
        <w:rPr>
          <w:rFonts w:ascii="TimesNewRomanPSMT" w:hAnsi="TimesNewRomanPSMT" w:eastAsia="TimesNewRomanPSMT" w:cs="TimesNewRomanPSMT"/>
          <w:color w:val="000000" w:themeColor="text1"/>
          <w:sz w:val="24"/>
          <w:szCs w:val="24"/>
        </w:rPr>
        <w:t>[1,2,3-cd]</w:t>
      </w:r>
      <w:r>
        <w:rPr>
          <w:rFonts w:hint="eastAsia" w:ascii="宋体" w:hAnsi="宋体" w:cs="宋体"/>
          <w:color w:val="000000" w:themeColor="text1"/>
          <w:sz w:val="24"/>
          <w:szCs w:val="24"/>
        </w:rPr>
        <w:t>芘、萘。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themeColor="text1"/>
          <w:sz w:val="24"/>
          <w:szCs w:val="24"/>
        </w:rPr>
      </w:pPr>
      <w:r>
        <w:rPr>
          <w:rFonts w:hint="eastAsia" w:ascii="宋体" w:hAnsi="宋体" w:cs="宋体"/>
          <w:color w:val="000000" w:themeColor="text1"/>
          <w:sz w:val="24"/>
          <w:szCs w:val="24"/>
          <w:lang w:eastAsia="zh-CN"/>
        </w:rPr>
        <w:t>本项目的</w:t>
      </w:r>
      <w:r>
        <w:rPr>
          <w:rFonts w:hint="eastAsia" w:ascii="宋体" w:hAnsi="宋体" w:cs="宋体"/>
          <w:color w:val="000000" w:themeColor="text1"/>
          <w:sz w:val="24"/>
          <w:szCs w:val="24"/>
        </w:rPr>
        <w:t>特征因子</w:t>
      </w:r>
      <w:r>
        <w:rPr>
          <w:rFonts w:hint="eastAsia" w:ascii="宋体" w:hAnsi="宋体" w:cs="宋体"/>
          <w:color w:val="000000" w:themeColor="text1"/>
          <w:sz w:val="24"/>
          <w:szCs w:val="24"/>
          <w:lang w:eastAsia="zh-CN"/>
        </w:rPr>
        <w:t>共三项，分别为</w:t>
      </w:r>
      <w:r>
        <w:rPr>
          <w:rFonts w:hint="eastAsia" w:ascii="宋体" w:hAnsi="宋体" w:cs="宋体"/>
          <w:color w:val="000000" w:themeColor="text1"/>
          <w:sz w:val="24"/>
          <w:szCs w:val="24"/>
        </w:rPr>
        <w:t>：</w:t>
      </w:r>
      <w:r>
        <w:rPr>
          <w:rFonts w:hint="default" w:ascii="Times New Roman" w:hAnsi="Times New Roman" w:cs="Times New Roman"/>
          <w:color w:val="000000" w:themeColor="text1"/>
          <w:sz w:val="24"/>
          <w:szCs w:val="24"/>
          <w:lang w:val="en-US" w:eastAsia="zh-CN"/>
        </w:rPr>
        <w:t>pH</w:t>
      </w:r>
      <w:r>
        <w:rPr>
          <w:rFonts w:hint="eastAsia" w:ascii="宋体" w:hAnsi="宋体" w:cs="宋体"/>
          <w:color w:val="000000" w:themeColor="text1"/>
          <w:sz w:val="24"/>
          <w:szCs w:val="24"/>
          <w:lang w:val="en-US" w:eastAsia="zh-CN"/>
        </w:rPr>
        <w:t>、</w:t>
      </w:r>
      <w:r>
        <w:rPr>
          <w:rFonts w:hint="eastAsia" w:ascii="宋体" w:hAnsi="宋体" w:cs="宋体"/>
          <w:color w:val="000000" w:themeColor="text1"/>
          <w:sz w:val="24"/>
          <w:szCs w:val="24"/>
          <w:lang w:eastAsia="zh-CN"/>
        </w:rPr>
        <w:t>石油烃（</w:t>
      </w:r>
      <w:r>
        <w:rPr>
          <w:rFonts w:hint="default" w:ascii="Times New Roman" w:hAnsi="Times New Roman" w:cs="Times New Roman"/>
          <w:color w:val="000000" w:themeColor="text1"/>
          <w:sz w:val="24"/>
          <w:szCs w:val="24"/>
          <w:lang w:val="en-US" w:eastAsia="zh-CN"/>
        </w:rPr>
        <w:t>C</w:t>
      </w:r>
      <w:r>
        <w:rPr>
          <w:rFonts w:hint="default" w:ascii="Times New Roman" w:hAnsi="Times New Roman" w:cs="Times New Roman"/>
          <w:color w:val="000000" w:themeColor="text1"/>
          <w:sz w:val="24"/>
          <w:szCs w:val="24"/>
          <w:vertAlign w:val="subscript"/>
          <w:lang w:val="en-US" w:eastAsia="zh-CN"/>
        </w:rPr>
        <w:t>10</w:t>
      </w:r>
      <w:r>
        <w:rPr>
          <w:rFonts w:hint="default" w:ascii="Times New Roman" w:hAnsi="Times New Roman" w:cs="Times New Roman"/>
          <w:color w:val="000000" w:themeColor="text1"/>
          <w:sz w:val="24"/>
          <w:szCs w:val="24"/>
          <w:lang w:val="en-US" w:eastAsia="zh-CN"/>
        </w:rPr>
        <w:t>-C</w:t>
      </w:r>
      <w:r>
        <w:rPr>
          <w:rFonts w:hint="default" w:ascii="Times New Roman" w:hAnsi="Times New Roman" w:cs="Times New Roman"/>
          <w:color w:val="000000" w:themeColor="text1"/>
          <w:sz w:val="24"/>
          <w:szCs w:val="24"/>
          <w:vertAlign w:val="subscript"/>
          <w:lang w:val="en-US" w:eastAsia="zh-CN"/>
        </w:rPr>
        <w:t>40</w:t>
      </w:r>
      <w:r>
        <w:rPr>
          <w:rFonts w:hint="eastAsia" w:ascii="宋体" w:hAnsi="宋体" w:cs="宋体"/>
          <w:color w:val="000000" w:themeColor="text1"/>
          <w:sz w:val="24"/>
          <w:szCs w:val="24"/>
          <w:lang w:eastAsia="zh-CN"/>
        </w:rPr>
        <w:t>）、</w:t>
      </w:r>
      <w:r>
        <w:rPr>
          <w:rFonts w:hint="eastAsia" w:ascii="宋体" w:hAnsi="宋体" w:cs="宋体"/>
          <w:color w:val="000000" w:themeColor="text1"/>
          <w:sz w:val="24"/>
          <w:szCs w:val="24"/>
        </w:rPr>
        <w:t>钡。</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0"/>
        <w:rPr>
          <w:rFonts w:hint="default" w:ascii="Times New Roman" w:hAnsi="Times New Roman" w:eastAsia="宋体" w:cs="Times New Roman"/>
          <w:b/>
          <w:bCs w:val="0"/>
          <w:color w:val="000000" w:themeColor="text1"/>
          <w:sz w:val="24"/>
          <w:szCs w:val="24"/>
        </w:rPr>
      </w:pPr>
      <w:bookmarkStart w:id="752" w:name="_Toc28982"/>
      <w:r>
        <w:rPr>
          <w:rFonts w:hint="default" w:ascii="Times New Roman" w:hAnsi="Times New Roman" w:eastAsia="宋体" w:cs="Times New Roman"/>
          <w:b/>
          <w:bCs w:val="0"/>
          <w:color w:val="000000" w:themeColor="text1"/>
          <w:sz w:val="24"/>
          <w:szCs w:val="24"/>
          <w:lang w:eastAsia="zh-CN"/>
        </w:rPr>
        <w:t>（</w:t>
      </w:r>
      <w:r>
        <w:rPr>
          <w:rFonts w:hint="default" w:ascii="Times New Roman" w:hAnsi="Times New Roman" w:eastAsia="宋体" w:cs="Times New Roman"/>
          <w:b/>
          <w:bCs w:val="0"/>
          <w:color w:val="000000" w:themeColor="text1"/>
          <w:sz w:val="24"/>
          <w:szCs w:val="24"/>
          <w:lang w:val="en-US" w:eastAsia="zh-CN"/>
        </w:rPr>
        <w:t>3</w:t>
      </w:r>
      <w:r>
        <w:rPr>
          <w:rFonts w:hint="default" w:ascii="Times New Roman" w:hAnsi="Times New Roman" w:eastAsia="宋体" w:cs="Times New Roman"/>
          <w:b/>
          <w:bCs w:val="0"/>
          <w:color w:val="000000" w:themeColor="text1"/>
          <w:sz w:val="24"/>
          <w:szCs w:val="24"/>
          <w:lang w:eastAsia="zh-CN"/>
        </w:rPr>
        <w:t>）</w:t>
      </w:r>
      <w:r>
        <w:rPr>
          <w:rFonts w:hint="default" w:ascii="Times New Roman" w:hAnsi="Times New Roman" w:eastAsia="宋体" w:cs="Times New Roman"/>
          <w:b/>
          <w:bCs w:val="0"/>
          <w:color w:val="000000" w:themeColor="text1"/>
          <w:sz w:val="24"/>
          <w:szCs w:val="24"/>
        </w:rPr>
        <w:t>采样及分析方法</w:t>
      </w:r>
      <w:bookmarkEnd w:id="752"/>
    </w:p>
    <w:p>
      <w:pPr>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lang w:eastAsia="zh-CN"/>
        </w:rPr>
        <w:t>表</w:t>
      </w:r>
      <w:r>
        <w:rPr>
          <w:rFonts w:hint="default" w:ascii="Times New Roman" w:hAnsi="Times New Roman" w:eastAsia="宋体" w:cs="Times New Roman"/>
          <w:b/>
          <w:bCs/>
          <w:color w:val="000000" w:themeColor="text1"/>
          <w:sz w:val="21"/>
          <w:szCs w:val="21"/>
          <w:lang w:val="en-US" w:eastAsia="zh-CN"/>
        </w:rPr>
        <w:t>4.2-1</w:t>
      </w:r>
      <w:r>
        <w:rPr>
          <w:rFonts w:hint="eastAsia" w:ascii="Times New Roman" w:hAnsi="Times New Roman" w:eastAsia="宋体" w:cs="Times New Roman"/>
          <w:b/>
          <w:bCs/>
          <w:color w:val="000000" w:themeColor="text1"/>
          <w:sz w:val="21"/>
          <w:szCs w:val="21"/>
          <w:lang w:val="en-US" w:eastAsia="zh-CN"/>
        </w:rPr>
        <w:t>5</w:t>
      </w:r>
      <w:r>
        <w:rPr>
          <w:rFonts w:hint="default" w:ascii="Times New Roman" w:hAnsi="Times New Roman" w:eastAsia="宋体" w:cs="Times New Roman"/>
          <w:b/>
          <w:bCs/>
          <w:color w:val="000000" w:themeColor="text1"/>
          <w:sz w:val="21"/>
          <w:szCs w:val="21"/>
          <w:lang w:val="en-US" w:eastAsia="zh-CN"/>
        </w:rPr>
        <w:t xml:space="preserve">  土壤</w:t>
      </w:r>
      <w:r>
        <w:rPr>
          <w:rFonts w:hint="default" w:ascii="Times New Roman" w:hAnsi="Times New Roman" w:eastAsia="宋体" w:cs="Times New Roman"/>
          <w:b/>
          <w:bCs/>
          <w:color w:val="000000" w:themeColor="text1"/>
          <w:sz w:val="21"/>
          <w:szCs w:val="21"/>
        </w:rPr>
        <w:t>检测项目分析方法</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41"/>
        <w:gridCol w:w="7"/>
        <w:gridCol w:w="3662"/>
        <w:gridCol w:w="1572"/>
        <w:gridCol w:w="1892"/>
        <w:gridCol w:w="4"/>
        <w:gridCol w:w="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635" w:hRule="atLeast"/>
          <w:jc w:val="center"/>
        </w:trPr>
        <w:tc>
          <w:tcPr>
            <w:tcW w:w="1810"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cs="Times New Roman"/>
                <w:b/>
                <w:bCs/>
                <w:color w:val="000000" w:themeColor="text1"/>
                <w:sz w:val="21"/>
                <w:szCs w:val="21"/>
              </w:rPr>
              <w:t>分析项目</w:t>
            </w:r>
          </w:p>
        </w:tc>
        <w:tc>
          <w:tcPr>
            <w:tcW w:w="3669"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cs="Times New Roman"/>
                <w:b/>
                <w:bCs/>
                <w:color w:val="000000" w:themeColor="text1"/>
                <w:sz w:val="21"/>
                <w:szCs w:val="21"/>
              </w:rPr>
              <w:t>分析依据及方法</w:t>
            </w:r>
          </w:p>
        </w:tc>
        <w:tc>
          <w:tcPr>
            <w:tcW w:w="157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cs="Times New Roman"/>
                <w:b/>
                <w:bCs/>
                <w:color w:val="000000" w:themeColor="text1"/>
                <w:sz w:val="21"/>
                <w:szCs w:val="21"/>
                <w:lang w:val="en-US" w:eastAsia="zh-CN"/>
              </w:rPr>
              <w:t>检</w:t>
            </w:r>
            <w:r>
              <w:rPr>
                <w:rFonts w:hint="default" w:ascii="Times New Roman" w:hAnsi="Times New Roman" w:cs="Times New Roman"/>
                <w:b/>
                <w:bCs/>
                <w:color w:val="000000" w:themeColor="text1"/>
                <w:sz w:val="21"/>
                <w:szCs w:val="21"/>
              </w:rPr>
              <w:t>出限</w:t>
            </w:r>
          </w:p>
        </w:tc>
        <w:tc>
          <w:tcPr>
            <w:tcW w:w="1896"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cs="Times New Roman"/>
                <w:b/>
                <w:bCs/>
                <w:color w:val="000000" w:themeColor="text1"/>
                <w:sz w:val="21"/>
                <w:szCs w:val="21"/>
              </w:rPr>
              <w:t>仪器设备及编号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669" w:hRule="atLeast"/>
          <w:jc w:val="center"/>
        </w:trPr>
        <w:tc>
          <w:tcPr>
            <w:tcW w:w="6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000000" w:themeColor="text1"/>
                <w:sz w:val="21"/>
                <w:szCs w:val="21"/>
                <w:lang w:val="en-US" w:eastAsia="zh-CN"/>
              </w:rPr>
            </w:pPr>
            <w:r>
              <w:rPr>
                <w:rFonts w:hint="eastAsia" w:ascii="Times New Roman" w:hAnsi="Times New Roman" w:cs="Times New Roman"/>
                <w:b w:val="0"/>
                <w:bCs w:val="0"/>
                <w:color w:val="000000" w:themeColor="text1"/>
                <w:sz w:val="21"/>
                <w:szCs w:val="21"/>
                <w:lang w:val="en-US" w:eastAsia="zh-CN"/>
              </w:rPr>
              <w:t>理化性质</w:t>
            </w:r>
          </w:p>
        </w:tc>
        <w:tc>
          <w:tcPr>
            <w:tcW w:w="1141"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pH值</w:t>
            </w:r>
          </w:p>
        </w:tc>
        <w:tc>
          <w:tcPr>
            <w:tcW w:w="3669"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土壤 pH值的测定</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电位法 HJ 962-2018</w:t>
            </w:r>
          </w:p>
        </w:tc>
        <w:tc>
          <w:tcPr>
            <w:tcW w:w="1572"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w:t>
            </w:r>
          </w:p>
        </w:tc>
        <w:tc>
          <w:tcPr>
            <w:tcW w:w="1896"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FE28-Standard型</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pH计/SPS-031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869" w:hRule="atLeast"/>
          <w:jc w:val="center"/>
        </w:trPr>
        <w:tc>
          <w:tcPr>
            <w:tcW w:w="669" w:type="dxa"/>
            <w:vMerge w:val="continue"/>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p>
        </w:tc>
        <w:tc>
          <w:tcPr>
            <w:tcW w:w="1141"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阳离子</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交换量</w:t>
            </w:r>
          </w:p>
        </w:tc>
        <w:tc>
          <w:tcPr>
            <w:tcW w:w="3669"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土壤 阳离子交换量的测定 </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三氯化六氨合钴浸提-分光光度法</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 HJ 889-2017</w:t>
            </w:r>
          </w:p>
        </w:tc>
        <w:tc>
          <w:tcPr>
            <w:tcW w:w="1572"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0.8cmol</w:t>
            </w:r>
            <w:r>
              <w:rPr>
                <w:rFonts w:hint="default" w:ascii="Times New Roman" w:hAnsi="Times New Roman" w:cs="Times New Roman" w:eastAsiaTheme="minorEastAsia"/>
                <w:b w:val="0"/>
                <w:bCs w:val="0"/>
                <w:color w:val="000000" w:themeColor="text1"/>
                <w:kern w:val="0"/>
                <w:sz w:val="21"/>
                <w:szCs w:val="21"/>
                <w:highlight w:val="none"/>
                <w:vertAlign w:val="superscript"/>
                <w:lang w:val="en-US" w:eastAsia="zh-CN" w:bidi="ar-SA"/>
              </w:rPr>
              <w:t>+</w:t>
            </w: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/kg</w:t>
            </w:r>
          </w:p>
        </w:tc>
        <w:tc>
          <w:tcPr>
            <w:tcW w:w="1896"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SP-723可见分光光度计/SPS-005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43"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000000" w:themeColor="text1"/>
                <w:sz w:val="21"/>
                <w:szCs w:val="21"/>
                <w:lang w:val="en-US" w:eastAsia="zh-CN"/>
              </w:rPr>
            </w:pPr>
          </w:p>
        </w:tc>
        <w:tc>
          <w:tcPr>
            <w:tcW w:w="1141"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氧化还原</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电位</w:t>
            </w:r>
          </w:p>
        </w:tc>
        <w:tc>
          <w:tcPr>
            <w:tcW w:w="3669"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土壤 氧化还原电位的测定</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电位法 </w:t>
            </w: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 </w:t>
            </w: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HJ 746-2015</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w:t>
            </w:r>
          </w:p>
        </w:tc>
        <w:tc>
          <w:tcPr>
            <w:tcW w:w="1896"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TR-901型土壤ORP计/SPC-036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692"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val="0"/>
                <w:color w:val="000000" w:themeColor="text1"/>
                <w:sz w:val="21"/>
                <w:szCs w:val="21"/>
                <w:lang w:val="en-US" w:eastAsia="zh-CN"/>
              </w:rPr>
            </w:pPr>
          </w:p>
        </w:tc>
        <w:tc>
          <w:tcPr>
            <w:tcW w:w="1141"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水溶性</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yellow"/>
                <w:vertAlign w:val="baseline"/>
                <w:lang w:val="en-US" w:eastAsia="zh-CN" w:bidi="ar-SA"/>
              </w:rPr>
            </w:pP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盐总量</w:t>
            </w:r>
          </w:p>
        </w:tc>
        <w:tc>
          <w:tcPr>
            <w:tcW w:w="3669"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土壤监测 第16部分：土壤水溶性盐总量的测定NY/T 1121.16-2006</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w:t>
            </w:r>
          </w:p>
        </w:tc>
        <w:tc>
          <w:tcPr>
            <w:tcW w:w="1896"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万分位电子电平</w:t>
            </w:r>
            <w:r>
              <w:rPr>
                <w:rFonts w:hint="eastAsia" w:ascii="Times New Roman" w:hAnsi="Times New Roman" w:cs="Times New Roman"/>
                <w:color w:val="000000" w:themeColor="text1"/>
                <w:sz w:val="21"/>
                <w:szCs w:val="21"/>
                <w:highlight w:val="none"/>
                <w:lang w:val="en-US" w:eastAsia="zh-CN"/>
              </w:rPr>
              <w:t>ITCR07008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34"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val="0"/>
                <w:color w:val="000000" w:themeColor="text1"/>
                <w:sz w:val="21"/>
                <w:szCs w:val="21"/>
                <w:lang w:val="en-US" w:eastAsia="zh-CN"/>
              </w:rPr>
            </w:pPr>
          </w:p>
        </w:tc>
        <w:tc>
          <w:tcPr>
            <w:tcW w:w="1141"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土壤</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容重</w:t>
            </w:r>
          </w:p>
        </w:tc>
        <w:tc>
          <w:tcPr>
            <w:tcW w:w="3669"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土壤</w:t>
            </w: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监测</w:t>
            </w: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 第4部分:</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土壤容重的测定 NY/T 1121.4-2006</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w:t>
            </w:r>
          </w:p>
        </w:tc>
        <w:tc>
          <w:tcPr>
            <w:tcW w:w="1896" w:type="dxa"/>
            <w:gridSpan w:val="2"/>
            <w:vMerge w:val="restart"/>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XY500-2C</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电子天平（百分之一）/SPS-048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822"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val="0"/>
                <w:color w:val="000000" w:themeColor="text1"/>
                <w:sz w:val="21"/>
                <w:szCs w:val="21"/>
                <w:lang w:val="en-US" w:eastAsia="zh-CN"/>
              </w:rPr>
            </w:pPr>
          </w:p>
        </w:tc>
        <w:tc>
          <w:tcPr>
            <w:tcW w:w="1141" w:type="dxa"/>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总孔</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隙度</w:t>
            </w:r>
          </w:p>
        </w:tc>
        <w:tc>
          <w:tcPr>
            <w:tcW w:w="3669" w:type="dxa"/>
            <w:gridSpan w:val="2"/>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森林土壤</w:t>
            </w:r>
            <w:r>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 </w:t>
            </w: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 xml:space="preserve">水分-物理性质的测定 </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LY/T 1215-1999</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t>/</w:t>
            </w:r>
          </w:p>
        </w:tc>
        <w:tc>
          <w:tcPr>
            <w:tcW w:w="189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591" w:hRule="atLeast"/>
          <w:jc w:val="center"/>
        </w:trPr>
        <w:tc>
          <w:tcPr>
            <w:tcW w:w="6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w:t>
            </w:r>
            <w:r>
              <w:rPr>
                <w:rFonts w:hint="default" w:ascii="Times New Roman" w:hAnsi="Times New Roman" w:cs="Times New Roman"/>
                <w:color w:val="000000" w:themeColor="text1"/>
                <w:sz w:val="21"/>
                <w:szCs w:val="21"/>
              </w:rPr>
              <w:t>重金属和无机物</w:t>
            </w: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铅</w:t>
            </w:r>
          </w:p>
        </w:tc>
        <w:tc>
          <w:tcPr>
            <w:tcW w:w="36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土壤质量 铅、镉的测定</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石墨炉原子吸收分光光度法</w:t>
            </w:r>
          </w:p>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r>
              <w:rPr>
                <w:rFonts w:hint="default" w:ascii="Times New Roman" w:hAnsi="Times New Roman" w:cs="Times New Roman"/>
                <w:color w:val="000000" w:themeColor="text1"/>
                <w:sz w:val="21"/>
                <w:szCs w:val="21"/>
              </w:rPr>
              <w:t>GB/T 17141-1997</w:t>
            </w: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0.1mg/kg</w:t>
            </w:r>
          </w:p>
        </w:tc>
        <w:tc>
          <w:tcPr>
            <w:tcW w:w="1896"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eastAsia"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火焰/石墨炉原子吸收分光光度计</w:t>
            </w:r>
          </w:p>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（AA）ITCR180513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628"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val="0"/>
                <w:color w:val="000000" w:themeColor="text1"/>
                <w:sz w:val="21"/>
                <w:szCs w:val="21"/>
                <w:lang w:val="en-US" w:eastAsia="zh-CN"/>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镉</w:t>
            </w:r>
          </w:p>
        </w:tc>
        <w:tc>
          <w:tcPr>
            <w:tcW w:w="3662" w:type="dxa"/>
            <w:vMerge w:val="continue"/>
            <w:tcBorders>
              <w:tl2br w:val="nil"/>
              <w:tr2bl w:val="nil"/>
            </w:tcBorders>
            <w:noWrap w:val="0"/>
            <w:vAlign w:val="center"/>
          </w:tcPr>
          <w:p>
            <w:pPr>
              <w:pStyle w:val="2"/>
              <w:keepNext w:val="0"/>
              <w:keepLines w:val="0"/>
              <w:pageBreakBefore w:val="0"/>
              <w:widowControl w:val="0"/>
              <w:tabs>
                <w:tab w:val="left" w:pos="738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vertAlign w:val="baseline"/>
                <w:lang w:val="en-US" w:eastAsia="zh-CN" w:bidi="ar-SA"/>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lang w:val="en-US" w:eastAsia="zh-CN"/>
              </w:rPr>
              <w:t>0.01</w:t>
            </w:r>
            <w:r>
              <w:rPr>
                <w:rFonts w:hint="default" w:ascii="Times New Roman" w:hAnsi="Times New Roman" w:cs="Times New Roman"/>
                <w:b w:val="0"/>
                <w:bCs w:val="0"/>
                <w:color w:val="000000" w:themeColor="text1"/>
                <w:sz w:val="21"/>
                <w:szCs w:val="21"/>
                <w:highlight w:val="none"/>
                <w:lang w:val="en-US" w:eastAsia="zh-CN"/>
              </w:rPr>
              <w:t>mg/kg</w:t>
            </w:r>
          </w:p>
        </w:tc>
        <w:tc>
          <w:tcPr>
            <w:tcW w:w="189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583"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镍</w:t>
            </w:r>
          </w:p>
        </w:tc>
        <w:tc>
          <w:tcPr>
            <w:tcW w:w="36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720" w:hanging="630" w:hangingChars="30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土壤和沉积物</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铜、锌</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铅、镍、铬的测定</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火焰原子吸收分光光度法</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HJ 491-2019</w:t>
            </w: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rPr>
              <w:t>mg/kg</w:t>
            </w:r>
          </w:p>
        </w:tc>
        <w:tc>
          <w:tcPr>
            <w:tcW w:w="18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573"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铜</w:t>
            </w:r>
          </w:p>
        </w:tc>
        <w:tc>
          <w:tcPr>
            <w:tcW w:w="36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lang w:val="en-US" w:eastAsia="zh-CN"/>
              </w:rPr>
            </w:pP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1mg/kg</w:t>
            </w:r>
          </w:p>
        </w:tc>
        <w:tc>
          <w:tcPr>
            <w:tcW w:w="18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614"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lang w:val="en-US" w:eastAsia="zh-CN"/>
              </w:rPr>
            </w:pPr>
            <w:r>
              <w:rPr>
                <w:rFonts w:hint="eastAsia" w:ascii="Times New Roman" w:hAnsi="Times New Roman" w:cs="Times New Roman"/>
                <w:b w:val="0"/>
                <w:bCs w:val="0"/>
                <w:color w:val="000000" w:themeColor="text1"/>
                <w:sz w:val="21"/>
                <w:szCs w:val="21"/>
                <w:lang w:val="en-US" w:eastAsia="zh-CN"/>
              </w:rPr>
              <w:t>锌</w:t>
            </w:r>
          </w:p>
        </w:tc>
        <w:tc>
          <w:tcPr>
            <w:tcW w:w="36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lang w:val="en-US" w:eastAsia="zh-CN"/>
              </w:rPr>
            </w:pP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mg/kg</w:t>
            </w:r>
          </w:p>
        </w:tc>
        <w:tc>
          <w:tcPr>
            <w:tcW w:w="18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396"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lang w:val="en-US" w:eastAsia="zh-CN"/>
              </w:rPr>
            </w:pPr>
            <w:r>
              <w:rPr>
                <w:rFonts w:hint="eastAsia" w:ascii="Times New Roman" w:hAnsi="Times New Roman" w:cs="Times New Roman"/>
                <w:b w:val="0"/>
                <w:bCs w:val="0"/>
                <w:color w:val="000000" w:themeColor="text1"/>
                <w:sz w:val="21"/>
                <w:szCs w:val="21"/>
                <w:lang w:val="en-US" w:eastAsia="zh-CN"/>
              </w:rPr>
              <w:t>铬</w:t>
            </w:r>
          </w:p>
        </w:tc>
        <w:tc>
          <w:tcPr>
            <w:tcW w:w="36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lang w:val="en-US" w:eastAsia="zh-CN"/>
              </w:rPr>
            </w:pP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4</w:t>
            </w:r>
            <w:r>
              <w:rPr>
                <w:rFonts w:hint="default" w:ascii="Times New Roman" w:hAnsi="Times New Roman" w:cs="Times New Roman"/>
                <w:color w:val="000000" w:themeColor="text1"/>
                <w:sz w:val="21"/>
                <w:szCs w:val="21"/>
              </w:rPr>
              <w:t>mg/kg</w:t>
            </w:r>
          </w:p>
        </w:tc>
        <w:tc>
          <w:tcPr>
            <w:tcW w:w="18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1341"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highlight w:val="none"/>
              </w:rPr>
              <w:t>六价铬</w:t>
            </w:r>
          </w:p>
        </w:tc>
        <w:tc>
          <w:tcPr>
            <w:tcW w:w="36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 xml:space="preserve">土壤和沉积物 </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 xml:space="preserve">六价铬的测定 </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rPr>
              <w:t>碱溶液提取-火焰原子吸收分光光度法 HJ 1082-2019</w:t>
            </w: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bCs/>
                <w:color w:val="000000" w:themeColor="text1"/>
                <w:sz w:val="21"/>
                <w:szCs w:val="21"/>
                <w:highlight w:val="none"/>
              </w:rPr>
              <w:t>0.5</w:t>
            </w:r>
            <w:r>
              <w:rPr>
                <w:rFonts w:hint="default" w:ascii="Times New Roman" w:hAnsi="Times New Roman" w:cs="Times New Roman"/>
                <w:color w:val="000000" w:themeColor="text1"/>
                <w:sz w:val="21"/>
                <w:szCs w:val="21"/>
                <w:highlight w:val="none"/>
              </w:rPr>
              <w:t>mg/kg</w:t>
            </w:r>
          </w:p>
        </w:tc>
        <w:tc>
          <w:tcPr>
            <w:tcW w:w="18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567"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砷</w:t>
            </w:r>
          </w:p>
        </w:tc>
        <w:tc>
          <w:tcPr>
            <w:tcW w:w="36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rPr>
              <w:t xml:space="preserve">土壤和沉积物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rPr>
              <w:t>汞、砷、硒、铋、锑的测定</w:t>
            </w:r>
            <w:r>
              <w:rPr>
                <w:rFonts w:hint="eastAsia" w:ascii="Times New Roman" w:hAnsi="Times New Roman" w:cs="Times New Roman"/>
                <w:color w:val="000000" w:themeColor="text1"/>
                <w:kern w:val="2"/>
                <w:sz w:val="21"/>
                <w:szCs w:val="21"/>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rPr>
              <w:t>微波消解/原子荧光法</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kern w:val="2"/>
                <w:sz w:val="21"/>
                <w:szCs w:val="21"/>
                <w:highlight w:val="none"/>
                <w:lang w:val="en-US" w:eastAsia="zh-CN" w:bidi="ar-SA"/>
              </w:rPr>
              <w:t>HJ 680-2013</w:t>
            </w: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lang w:val="en-US" w:eastAsia="zh-CN"/>
              </w:rPr>
              <w:t>0.01</w:t>
            </w:r>
            <w:r>
              <w:rPr>
                <w:rFonts w:hint="default" w:ascii="Times New Roman" w:hAnsi="Times New Roman" w:cs="Times New Roman"/>
                <w:b w:val="0"/>
                <w:bCs w:val="0"/>
                <w:color w:val="000000" w:themeColor="text1"/>
                <w:sz w:val="21"/>
                <w:szCs w:val="21"/>
                <w:highlight w:val="none"/>
                <w:lang w:val="en-US" w:eastAsia="zh-CN"/>
              </w:rPr>
              <w:t>mg/kg</w:t>
            </w:r>
          </w:p>
        </w:tc>
        <w:tc>
          <w:tcPr>
            <w:tcW w:w="189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eastAsia="zh-CN"/>
              </w:rPr>
              <w:t>原子荧光分光光度计（</w:t>
            </w:r>
            <w:r>
              <w:rPr>
                <w:rFonts w:hint="eastAsia" w:ascii="Times New Roman" w:hAnsi="Times New Roman" w:cs="Times New Roman"/>
                <w:color w:val="000000" w:themeColor="text1"/>
                <w:sz w:val="21"/>
                <w:szCs w:val="21"/>
                <w:highlight w:val="none"/>
                <w:lang w:val="en-US" w:eastAsia="zh-CN"/>
              </w:rPr>
              <w:t>AFS</w:t>
            </w:r>
            <w:r>
              <w:rPr>
                <w:rFonts w:hint="eastAsia" w:ascii="Times New Roman" w:hAnsi="Times New Roman" w:cs="Times New Roman"/>
                <w:color w:val="000000" w:themeColor="text1"/>
                <w:sz w:val="21"/>
                <w:szCs w:val="21"/>
                <w:highlight w:val="none"/>
                <w:lang w:eastAsia="zh-CN"/>
              </w:rPr>
              <w:t>）</w:t>
            </w:r>
            <w:r>
              <w:rPr>
                <w:rFonts w:hint="eastAsia" w:ascii="Times New Roman" w:hAnsi="Times New Roman" w:cs="Times New Roman"/>
                <w:color w:val="000000" w:themeColor="text1"/>
                <w:sz w:val="21"/>
                <w:szCs w:val="21"/>
                <w:highlight w:val="none"/>
                <w:lang w:val="en-US" w:eastAsia="zh-CN"/>
              </w:rPr>
              <w:t>ICTR180444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670"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1"/>
                <w:szCs w:val="21"/>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汞</w:t>
            </w:r>
          </w:p>
        </w:tc>
        <w:tc>
          <w:tcPr>
            <w:tcW w:w="36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highlight w:val="none"/>
              </w:rPr>
            </w:pP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highlight w:val="none"/>
                <w:lang w:val="en-US" w:eastAsia="zh-CN"/>
              </w:rPr>
              <w:t>0.002</w:t>
            </w:r>
            <w:r>
              <w:rPr>
                <w:rFonts w:hint="default" w:ascii="Times New Roman" w:hAnsi="Times New Roman" w:cs="Times New Roman"/>
                <w:b w:val="0"/>
                <w:bCs w:val="0"/>
                <w:color w:val="000000" w:themeColor="text1"/>
                <w:sz w:val="21"/>
                <w:szCs w:val="21"/>
                <w:highlight w:val="none"/>
                <w:lang w:val="en-US" w:eastAsia="zh-CN"/>
              </w:rPr>
              <w:t>mg/kg</w:t>
            </w:r>
          </w:p>
        </w:tc>
        <w:tc>
          <w:tcPr>
            <w:tcW w:w="18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jc w:val="center"/>
              <w:textAlignment w:val="auto"/>
              <w:rPr>
                <w:rFonts w:hint="default" w:ascii="Times New Roman" w:hAnsi="Times New Roman" w:cs="Times New Roman"/>
                <w:color w:val="000000" w:themeColor="text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1293"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lang w:val="en-US" w:eastAsia="zh-CN"/>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sz w:val="21"/>
                <w:szCs w:val="21"/>
                <w:highlight w:val="none"/>
                <w:vertAlign w:val="baseline"/>
                <w:lang w:val="en-US" w:eastAsia="zh-CN"/>
              </w:rPr>
              <w:t>钡</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 xml:space="preserve">底质、淤泥和土壤的酸消解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电感耦合等离子体质谱法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 xml:space="preserve"> USEPA 3050B-1996 USEPA200.8:1994</w:t>
            </w: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rPr>
            </w:pPr>
            <w:r>
              <w:rPr>
                <w:rFonts w:hint="eastAsia" w:ascii="Times New Roman" w:hAnsi="Times New Roman" w:cs="Times New Roman"/>
                <w:b w:val="0"/>
                <w:bCs w:val="0"/>
                <w:color w:val="000000" w:themeColor="text1"/>
                <w:sz w:val="21"/>
                <w:szCs w:val="21"/>
                <w:highlight w:val="none"/>
                <w:lang w:val="en-US" w:eastAsia="zh-CN"/>
              </w:rPr>
              <w:t>0.2</w:t>
            </w:r>
            <w:r>
              <w:rPr>
                <w:rFonts w:hint="default" w:ascii="Times New Roman" w:hAnsi="Times New Roman" w:cs="Times New Roman"/>
                <w:b w:val="0"/>
                <w:bCs w:val="0"/>
                <w:color w:val="000000" w:themeColor="text1"/>
                <w:sz w:val="21"/>
                <w:szCs w:val="21"/>
                <w:highlight w:val="none"/>
                <w:lang w:val="en-US" w:eastAsia="zh-CN"/>
              </w:rPr>
              <w:t>mg/kg</w:t>
            </w:r>
          </w:p>
        </w:tc>
        <w:tc>
          <w:tcPr>
            <w:tcW w:w="18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rPr>
              <w:t>电感耦合等离子体质谱</w:t>
            </w:r>
            <w:r>
              <w:rPr>
                <w:rFonts w:hint="eastAsia" w:ascii="Times New Roman" w:hAnsi="Times New Roman" w:cs="Times New Roman"/>
                <w:color w:val="000000" w:themeColor="text1"/>
                <w:sz w:val="21"/>
                <w:szCs w:val="21"/>
                <w:vertAlign w:val="baseline"/>
                <w:lang w:val="en-US" w:eastAsia="zh-CN"/>
              </w:rPr>
              <w:t>仪（</w:t>
            </w:r>
            <w:r>
              <w:rPr>
                <w:rFonts w:hint="default" w:ascii="Times New Roman" w:hAnsi="Times New Roman" w:cs="Times New Roman"/>
                <w:color w:val="000000" w:themeColor="text1"/>
                <w:sz w:val="21"/>
                <w:szCs w:val="21"/>
                <w:vertAlign w:val="baseline"/>
                <w:lang w:val="en-US" w:eastAsia="zh-CN"/>
              </w:rPr>
              <w:t>ICPMS</w:t>
            </w:r>
            <w:r>
              <w:rPr>
                <w:rFonts w:hint="eastAsia" w:ascii="Times New Roman" w:hAnsi="Times New Roman" w:cs="Times New Roman"/>
                <w:color w:val="000000" w:themeColor="text1"/>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 w:type="dxa"/>
          <w:trHeight w:val="1192"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b w:val="0"/>
                <w:bCs w:val="0"/>
                <w:color w:val="000000" w:themeColor="text1"/>
                <w:sz w:val="21"/>
                <w:szCs w:val="21"/>
                <w:lang w:val="en-US" w:eastAsia="zh-CN"/>
              </w:rPr>
              <w:t>*</w:t>
            </w:r>
            <w:r>
              <w:rPr>
                <w:rFonts w:hint="default" w:ascii="Times New Roman" w:hAnsi="Times New Roman" w:cs="Times New Roman"/>
                <w:b w:val="0"/>
                <w:bCs w:val="0"/>
                <w:color w:val="000000" w:themeColor="text1"/>
                <w:sz w:val="21"/>
                <w:szCs w:val="21"/>
                <w:highlight w:val="none"/>
              </w:rPr>
              <w:t>石油烃（C</w:t>
            </w:r>
            <w:r>
              <w:rPr>
                <w:rFonts w:hint="default" w:ascii="Times New Roman" w:hAnsi="Times New Roman" w:cs="Times New Roman"/>
                <w:b w:val="0"/>
                <w:bCs w:val="0"/>
                <w:color w:val="000000" w:themeColor="text1"/>
                <w:sz w:val="21"/>
                <w:szCs w:val="21"/>
                <w:highlight w:val="none"/>
                <w:vertAlign w:val="subscript"/>
              </w:rPr>
              <w:t>10</w:t>
            </w:r>
            <w:r>
              <w:rPr>
                <w:rFonts w:hint="default" w:ascii="Times New Roman" w:hAnsi="Times New Roman" w:cs="Times New Roman"/>
                <w:b w:val="0"/>
                <w:bCs w:val="0"/>
                <w:color w:val="000000" w:themeColor="text1"/>
                <w:sz w:val="21"/>
                <w:szCs w:val="21"/>
                <w:highlight w:val="none"/>
              </w:rPr>
              <w:t>-C</w:t>
            </w:r>
            <w:r>
              <w:rPr>
                <w:rFonts w:hint="default" w:ascii="Times New Roman" w:hAnsi="Times New Roman" w:cs="Times New Roman"/>
                <w:b w:val="0"/>
                <w:bCs w:val="0"/>
                <w:color w:val="000000" w:themeColor="text1"/>
                <w:sz w:val="21"/>
                <w:szCs w:val="21"/>
                <w:highlight w:val="none"/>
                <w:vertAlign w:val="subscript"/>
              </w:rPr>
              <w:t>40</w:t>
            </w:r>
            <w:r>
              <w:rPr>
                <w:rFonts w:hint="default" w:ascii="Times New Roman" w:hAnsi="Times New Roman" w:cs="Times New Roman"/>
                <w:b w:val="0"/>
                <w:bCs w:val="0"/>
                <w:color w:val="000000" w:themeColor="text1"/>
                <w:sz w:val="21"/>
                <w:szCs w:val="21"/>
                <w:highlight w:val="none"/>
              </w:rPr>
              <w:t>）</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土壤和沉积物 石油烃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（C</w:t>
            </w:r>
            <w:r>
              <w:rPr>
                <w:rFonts w:hint="default" w:ascii="Times New Roman" w:hAnsi="Times New Roman" w:cs="Times New Roman"/>
                <w:color w:val="000000" w:themeColor="text1"/>
                <w:sz w:val="21"/>
                <w:szCs w:val="21"/>
                <w:highlight w:val="none"/>
                <w:vertAlign w:val="subscript"/>
                <w:lang w:val="en-US" w:eastAsia="zh-CN"/>
              </w:rPr>
              <w:t>10</w:t>
            </w:r>
            <w:r>
              <w:rPr>
                <w:rFonts w:hint="default" w:ascii="Times New Roman" w:hAnsi="Times New Roman" w:cs="Times New Roman"/>
                <w:color w:val="000000" w:themeColor="text1"/>
                <w:sz w:val="21"/>
                <w:szCs w:val="21"/>
                <w:highlight w:val="none"/>
                <w:lang w:val="en-US" w:eastAsia="zh-CN"/>
              </w:rPr>
              <w:t>-C</w:t>
            </w:r>
            <w:r>
              <w:rPr>
                <w:rFonts w:hint="default" w:ascii="Times New Roman" w:hAnsi="Times New Roman" w:cs="Times New Roman"/>
                <w:color w:val="000000" w:themeColor="text1"/>
                <w:sz w:val="21"/>
                <w:szCs w:val="21"/>
                <w:highlight w:val="none"/>
                <w:vertAlign w:val="subscript"/>
                <w:lang w:val="en-US" w:eastAsia="zh-CN"/>
              </w:rPr>
              <w:t>40</w:t>
            </w:r>
            <w:r>
              <w:rPr>
                <w:rFonts w:hint="default" w:ascii="Times New Roman" w:hAnsi="Times New Roman" w:cs="Times New Roman"/>
                <w:color w:val="000000" w:themeColor="text1"/>
                <w:sz w:val="21"/>
                <w:szCs w:val="21"/>
                <w:highlight w:val="none"/>
                <w:lang w:val="en-US" w:eastAsia="zh-CN"/>
              </w:rPr>
              <w:t xml:space="preserve">）的测定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rPr>
              <w:t>气相色谱法 HJ 1021-2019</w:t>
            </w:r>
          </w:p>
        </w:tc>
        <w:tc>
          <w:tcPr>
            <w:tcW w:w="1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highlight w:val="none"/>
                <w:lang w:val="en-US" w:eastAsia="zh-CN"/>
              </w:rPr>
              <w:t>6</w:t>
            </w:r>
            <w:r>
              <w:rPr>
                <w:rFonts w:hint="default" w:ascii="Times New Roman" w:hAnsi="Times New Roman" w:eastAsia="宋体" w:cs="Times New Roman"/>
                <w:color w:val="000000" w:themeColor="text1"/>
                <w:sz w:val="21"/>
                <w:szCs w:val="21"/>
                <w:highlight w:val="none"/>
                <w:lang w:val="en-US" w:eastAsia="zh-CN"/>
              </w:rPr>
              <w:t>mg/kg</w:t>
            </w:r>
          </w:p>
        </w:tc>
        <w:tc>
          <w:tcPr>
            <w:tcW w:w="18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kern w:val="2"/>
                <w:sz w:val="21"/>
                <w:szCs w:val="21"/>
                <w:highlight w:val="none"/>
                <w:lang w:val="en-US" w:eastAsia="zh-CN" w:bidi="ar-SA"/>
              </w:rPr>
              <w:t>气相色谱仪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kern w:val="2"/>
                <w:sz w:val="21"/>
                <w:szCs w:val="21"/>
                <w:highlight w:val="none"/>
                <w:lang w:val="en-US" w:eastAsia="zh-CN" w:bidi="ar-SA"/>
              </w:rPr>
              <w:t>（GC）ITCR180505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96" w:lineRule="exact"/>
              <w:ind w:left="0" w:leftChars="0" w:firstLine="0" w:firstLineChars="0"/>
              <w:jc w:val="center"/>
              <w:textAlignment w:val="auto"/>
              <w:rPr>
                <w:rFonts w:hint="eastAsia" w:ascii="Times New Roman" w:hAnsi="Times New Roman" w:cs="Times New Roman"/>
                <w:b w:val="0"/>
                <w:bCs w:val="0"/>
                <w:color w:val="000000" w:themeColor="text1"/>
                <w:sz w:val="21"/>
                <w:szCs w:val="21"/>
                <w:lang w:val="en-US" w:eastAsia="zh-CN"/>
              </w:rPr>
            </w:pPr>
            <w:r>
              <w:rPr>
                <w:rFonts w:hint="eastAsia" w:ascii="Times New Roman" w:hAnsi="Times New Roman" w:cs="Times New Roman"/>
                <w:b w:val="0"/>
                <w:bCs w:val="0"/>
                <w:color w:val="000000" w:themeColor="text1"/>
                <w:sz w:val="21"/>
                <w:szCs w:val="21"/>
                <w:lang w:val="en-US" w:eastAsia="zh-CN"/>
              </w:rPr>
              <w:t>*</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r>
              <w:rPr>
                <w:rFonts w:hint="eastAsia" w:ascii="Times New Roman" w:hAnsi="Times New Roman" w:cs="Times New Roman"/>
                <w:color w:val="000000" w:themeColor="text1"/>
                <w:kern w:val="0"/>
                <w:sz w:val="21"/>
                <w:szCs w:val="21"/>
                <w:highlight w:val="none"/>
                <w:lang w:val="en-US" w:eastAsia="zh-CN" w:bidi="ar-SA"/>
              </w:rPr>
              <w:t>挥发性有机物</w:t>
            </w: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四氯化碳</w:t>
            </w:r>
          </w:p>
        </w:tc>
        <w:tc>
          <w:tcPr>
            <w:tcW w:w="36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土壤和沉积物</w:t>
            </w:r>
          </w:p>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 xml:space="preserve">挥发性有机物的测定 </w:t>
            </w:r>
          </w:p>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吹扫捕集气相色谱-质谱法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rPr>
              <w:t>HJ 605-2011</w:t>
            </w: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0.0013</w:t>
            </w:r>
            <w:r>
              <w:rPr>
                <w:rFonts w:hint="default" w:ascii="Times New Roman" w:hAnsi="Times New Roman" w:cs="Times New Roman"/>
                <w:color w:val="000000" w:themeColor="text1"/>
                <w:sz w:val="21"/>
                <w:szCs w:val="21"/>
              </w:rPr>
              <w:t>mg/kg</w:t>
            </w:r>
          </w:p>
        </w:tc>
        <w:tc>
          <w:tcPr>
            <w:tcW w:w="1906" w:type="dxa"/>
            <w:gridSpan w:val="3"/>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rPr>
              <w:t>吹扫捕集</w:t>
            </w:r>
            <w:r>
              <w:rPr>
                <w:rFonts w:hint="eastAsia" w:ascii="Times New Roman" w:hAnsi="Times New Roman" w:cs="Times New Roman"/>
                <w:color w:val="000000" w:themeColor="text1"/>
                <w:sz w:val="21"/>
                <w:szCs w:val="21"/>
                <w:lang w:val="en-US" w:eastAsia="zh-CN"/>
              </w:rPr>
              <w:t>-</w:t>
            </w:r>
            <w:r>
              <w:rPr>
                <w:rFonts w:hint="default" w:ascii="Times New Roman" w:hAnsi="Times New Roman" w:cs="Times New Roman"/>
                <w:color w:val="000000" w:themeColor="text1"/>
                <w:sz w:val="21"/>
                <w:szCs w:val="21"/>
              </w:rPr>
              <w:t>气相色谱</w:t>
            </w:r>
            <w:r>
              <w:rPr>
                <w:rFonts w:hint="eastAsia" w:ascii="Times New Roman" w:hAnsi="Times New Roman" w:cs="Times New Roman"/>
                <w:color w:val="000000" w:themeColor="text1"/>
                <w:sz w:val="21"/>
                <w:szCs w:val="21"/>
                <w:lang w:eastAsia="zh-CN"/>
              </w:rPr>
              <w:t>质谱联用仪（</w:t>
            </w:r>
            <w:r>
              <w:rPr>
                <w:rFonts w:hint="eastAsia" w:ascii="Times New Roman" w:hAnsi="Times New Roman" w:cs="Times New Roman"/>
                <w:color w:val="000000" w:themeColor="text1"/>
                <w:sz w:val="21"/>
                <w:szCs w:val="21"/>
                <w:lang w:val="en-US" w:eastAsia="zh-CN"/>
              </w:rPr>
              <w:t>PT-GCMS</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ITCT190803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氯仿</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氯甲烷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0.0010</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1,1-二氯乙烷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color w:val="000000" w:themeColor="text1"/>
                <w:sz w:val="21"/>
                <w:szCs w:val="21"/>
              </w:rPr>
              <w:t>1,2-二氯乙烷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0.0013</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color w:val="000000" w:themeColor="text1"/>
                <w:sz w:val="21"/>
                <w:szCs w:val="21"/>
              </w:rPr>
              <w:t>1,1-二氯乙烯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0.0010</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color w:val="000000" w:themeColor="text1"/>
                <w:sz w:val="21"/>
                <w:szCs w:val="21"/>
              </w:rPr>
              <w:t>顺-1,2-二氯乙烯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0.0013</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color w:val="000000" w:themeColor="text1"/>
                <w:sz w:val="21"/>
                <w:szCs w:val="21"/>
              </w:rPr>
              <w:t>反1,2-二氯乙烯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0.0014</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二氯甲烷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b w:val="0"/>
                <w:bCs w:val="0"/>
                <w:color w:val="000000" w:themeColor="text1"/>
                <w:sz w:val="21"/>
                <w:szCs w:val="21"/>
                <w:lang w:val="en-US" w:eastAsia="zh-CN"/>
              </w:rPr>
              <w:t>0.0015</w:t>
            </w:r>
            <w:r>
              <w:rPr>
                <w:rFonts w:hint="default" w:ascii="Times New Roman" w:hAnsi="Times New Roman" w:cs="Times New Roman"/>
                <w:b w:val="0"/>
                <w:bCs w:val="0"/>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b w:val="0"/>
                <w:bCs w:val="0"/>
                <w:color w:val="000000" w:themeColor="text1"/>
                <w:sz w:val="21"/>
                <w:szCs w:val="21"/>
                <w:lang w:val="en-US" w:eastAsia="zh-CN"/>
              </w:rPr>
              <w:t>1,2-二氯丙烷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b w:val="0"/>
                <w:bCs w:val="0"/>
                <w:color w:val="000000" w:themeColor="text1"/>
                <w:sz w:val="21"/>
                <w:szCs w:val="21"/>
                <w:lang w:val="en-US" w:eastAsia="zh-CN"/>
              </w:rPr>
              <w:t>0.0011</w:t>
            </w:r>
            <w:r>
              <w:rPr>
                <w:rFonts w:hint="default" w:ascii="Times New Roman" w:hAnsi="Times New Roman" w:cs="Times New Roman"/>
                <w:b w:val="0"/>
                <w:bCs w:val="0"/>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1,1,1,2-四氯乙烷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1,1,</w:t>
            </w:r>
            <w:r>
              <w:rPr>
                <w:rFonts w:hint="default" w:ascii="Times New Roman" w:hAnsi="Times New Roman" w:eastAsia="宋体" w:cs="Times New Roman"/>
                <w:b w:val="0"/>
                <w:bCs w:val="0"/>
                <w:color w:val="000000" w:themeColor="text1"/>
                <w:sz w:val="21"/>
                <w:szCs w:val="21"/>
                <w:lang w:val="en-US" w:eastAsia="zh-CN"/>
              </w:rPr>
              <w:t>2</w:t>
            </w:r>
            <w:r>
              <w:rPr>
                <w:rFonts w:hint="default" w:ascii="Times New Roman" w:hAnsi="Times New Roman" w:eastAsia="宋体" w:cs="Times New Roman"/>
                <w:b w:val="0"/>
                <w:bCs w:val="0"/>
                <w:color w:val="000000" w:themeColor="text1"/>
                <w:sz w:val="21"/>
                <w:szCs w:val="21"/>
              </w:rPr>
              <w:t>,2-四氯乙烷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四氯乙烯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bCs/>
                <w:color w:val="000000" w:themeColor="text1"/>
                <w:sz w:val="21"/>
                <w:szCs w:val="21"/>
                <w:highlight w:val="none"/>
                <w:lang w:val="en-US" w:eastAsia="zh-CN"/>
              </w:rPr>
              <w:t>0.0014</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1,1,1-三氯乙烷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0.0013</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1,1,2-三氯乙烷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三氯乙烯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1,2,3-三氯丙烷</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氯乙烯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0.0010</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0.0019</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氯苯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1,2-二氯苯</w:t>
            </w:r>
          </w:p>
        </w:tc>
        <w:tc>
          <w:tcPr>
            <w:tcW w:w="36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0.0015</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1,4-二氯苯</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0.0015</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乙苯</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苯乙烯</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0.0011</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rPr>
              <w:t>甲苯</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0.0013</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eastAsia" w:ascii="Times New Roman" w:hAnsi="Times New Roman" w:cs="Times New Roman"/>
                <w:b w:val="0"/>
                <w:bCs w:val="0"/>
                <w:color w:val="000000" w:themeColor="text1"/>
                <w:sz w:val="21"/>
                <w:szCs w:val="21"/>
                <w:lang w:eastAsia="zh-CN"/>
              </w:rPr>
              <w:t>间，对</w:t>
            </w:r>
            <w:r>
              <w:rPr>
                <w:rFonts w:hint="eastAsia" w:ascii="Times New Roman" w:hAnsi="Times New Roman" w:cs="Times New Roman"/>
                <w:b w:val="0"/>
                <w:bCs w:val="0"/>
                <w:color w:val="000000" w:themeColor="text1"/>
                <w:sz w:val="21"/>
                <w:szCs w:val="21"/>
                <w:lang w:val="en-US" w:eastAsia="zh-CN"/>
              </w:rPr>
              <w:t>-二甲苯</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rPr>
            </w:pPr>
            <w:r>
              <w:rPr>
                <w:rFonts w:hint="eastAsia" w:ascii="Times New Roman" w:hAnsi="Times New Roman" w:cs="Times New Roman"/>
                <w:b w:val="0"/>
                <w:bCs w:val="0"/>
                <w:color w:val="000000" w:themeColor="text1"/>
                <w:sz w:val="21"/>
                <w:szCs w:val="21"/>
                <w:lang w:eastAsia="zh-CN"/>
              </w:rPr>
              <w:t>邻二甲苯</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0.0012</w:t>
            </w:r>
            <w:r>
              <w:rPr>
                <w:rFonts w:hint="default" w:ascii="Times New Roman" w:hAnsi="Times New Roman" w:eastAsia="宋体" w:cs="Times New Roman"/>
                <w:color w:val="000000" w:themeColor="text1"/>
                <w:sz w:val="21"/>
                <w:szCs w:val="21"/>
                <w:lang w:val="en-US" w:eastAsia="zh-CN"/>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r>
              <w:rPr>
                <w:rFonts w:hint="eastAsia" w:ascii="Times New Roman" w:hAnsi="Times New Roman" w:cs="Times New Roman"/>
                <w:color w:val="000000" w:themeColor="text1"/>
                <w:kern w:val="0"/>
                <w:sz w:val="21"/>
                <w:szCs w:val="21"/>
                <w:highlight w:val="none"/>
                <w:lang w:val="en-US" w:eastAsia="zh-CN" w:bidi="ar-SA"/>
              </w:rPr>
              <w:t>*半挥发性有机物</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cs="Times New Roman"/>
                <w:color w:val="000000" w:themeColor="text1"/>
                <w:sz w:val="21"/>
                <w:szCs w:val="21"/>
              </w:rPr>
              <w:t>硝基苯</w:t>
            </w:r>
          </w:p>
        </w:tc>
        <w:tc>
          <w:tcPr>
            <w:tcW w:w="3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土壤和沉积物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半挥发性有机物的测定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气相色谱-质谱法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rPr>
              <w:t>HJ 834-2017</w:t>
            </w: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default" w:ascii="Times New Roman" w:hAnsi="Times New Roman" w:cs="Times New Roman"/>
                <w:bCs/>
                <w:color w:val="000000" w:themeColor="text1"/>
                <w:sz w:val="21"/>
                <w:szCs w:val="21"/>
              </w:rPr>
              <w:t>0.09</w:t>
            </w:r>
            <w:r>
              <w:rPr>
                <w:rFonts w:hint="default" w:ascii="Times New Roman" w:hAnsi="Times New Roman" w:cs="Times New Roman"/>
                <w:color w:val="000000" w:themeColor="text1"/>
                <w:sz w:val="21"/>
                <w:szCs w:val="21"/>
              </w:rPr>
              <w:t>mg/kg</w:t>
            </w:r>
          </w:p>
        </w:tc>
        <w:tc>
          <w:tcPr>
            <w:tcW w:w="1906" w:type="dxa"/>
            <w:gridSpan w:val="3"/>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rPr>
              <w:t>吹扫捕集</w:t>
            </w:r>
            <w:r>
              <w:rPr>
                <w:rFonts w:hint="eastAsia" w:ascii="Times New Roman" w:hAnsi="Times New Roman" w:cs="Times New Roman"/>
                <w:color w:val="000000" w:themeColor="text1"/>
                <w:sz w:val="21"/>
                <w:szCs w:val="21"/>
                <w:lang w:val="en-US" w:eastAsia="zh-CN"/>
              </w:rPr>
              <w:t>-</w:t>
            </w:r>
            <w:r>
              <w:rPr>
                <w:rFonts w:hint="default" w:ascii="Times New Roman" w:hAnsi="Times New Roman" w:cs="Times New Roman"/>
                <w:color w:val="000000" w:themeColor="text1"/>
                <w:sz w:val="21"/>
                <w:szCs w:val="21"/>
              </w:rPr>
              <w:t>气相色谱</w:t>
            </w:r>
            <w:r>
              <w:rPr>
                <w:rFonts w:hint="eastAsia" w:ascii="Times New Roman" w:hAnsi="Times New Roman" w:cs="Times New Roman"/>
                <w:color w:val="000000" w:themeColor="text1"/>
                <w:sz w:val="21"/>
                <w:szCs w:val="21"/>
                <w:lang w:eastAsia="zh-CN"/>
              </w:rPr>
              <w:t>质谱联用仪（</w:t>
            </w:r>
            <w:r>
              <w:rPr>
                <w:rFonts w:hint="eastAsia" w:ascii="Times New Roman" w:hAnsi="Times New Roman" w:cs="Times New Roman"/>
                <w:color w:val="000000" w:themeColor="text1"/>
                <w:sz w:val="21"/>
                <w:szCs w:val="21"/>
                <w:lang w:val="en-US" w:eastAsia="zh-CN"/>
              </w:rPr>
              <w:t>GCMS</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ITCT200810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苯胺</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default" w:ascii="Times New Roman" w:hAnsi="Times New Roman" w:cs="Times New Roman"/>
                <w:bCs/>
                <w:color w:val="000000" w:themeColor="text1"/>
                <w:sz w:val="21"/>
                <w:szCs w:val="21"/>
                <w:highlight w:val="none"/>
              </w:rPr>
              <w:t>0.</w:t>
            </w:r>
            <w:r>
              <w:rPr>
                <w:rFonts w:hint="default" w:ascii="Times New Roman" w:hAnsi="Times New Roman" w:cs="Times New Roman"/>
                <w:bCs/>
                <w:color w:val="000000" w:themeColor="text1"/>
                <w:sz w:val="21"/>
                <w:szCs w:val="21"/>
                <w:highlight w:val="none"/>
                <w:lang w:val="en-US"/>
              </w:rPr>
              <w:t>02</w:t>
            </w:r>
            <w:r>
              <w:rPr>
                <w:rFonts w:hint="default" w:ascii="Times New Roman" w:hAnsi="Times New Roman" w:cs="Times New Roman"/>
                <w:color w:val="000000" w:themeColor="text1"/>
                <w:sz w:val="21"/>
                <w:szCs w:val="21"/>
                <w:highlight w:val="none"/>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2-氯酚</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default" w:ascii="Times New Roman" w:hAnsi="Times New Roman" w:cs="Times New Roman"/>
                <w:bCs/>
                <w:color w:val="000000" w:themeColor="text1"/>
                <w:sz w:val="21"/>
                <w:szCs w:val="21"/>
              </w:rPr>
              <w:t>0.06</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rPr>
              <w:t>苯并[a]蒽</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rPr>
              <w:t>苯并[a]芘</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rPr>
              <w:t>苯并[b]荧蒽</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0.2</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rPr>
              <w:t>苯并[k]荧蒽</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䓛</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rPr>
              <w:t>二苯并[a,h]蒽</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669"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rPr>
            </w:pP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rPr>
            </w:pPr>
            <w:r>
              <w:rPr>
                <w:rFonts w:hint="default" w:ascii="Times New Roman" w:hAnsi="Times New Roman" w:cs="Times New Roman"/>
                <w:color w:val="000000" w:themeColor="text1"/>
                <w:sz w:val="21"/>
                <w:szCs w:val="21"/>
              </w:rPr>
              <w:t>茚并[1,2,3-cd]芘</w:t>
            </w:r>
          </w:p>
        </w:tc>
        <w:tc>
          <w:tcPr>
            <w:tcW w:w="3662"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rPr>
            </w:pP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rPr>
            </w:pPr>
            <w:r>
              <w:rPr>
                <w:rFonts w:hint="default" w:ascii="Times New Roman" w:hAnsi="Times New Roman" w:cs="Times New Roman"/>
                <w:bCs/>
                <w:color w:val="000000" w:themeColor="text1"/>
                <w:sz w:val="21"/>
                <w:szCs w:val="21"/>
              </w:rPr>
              <w:t>0.1</w:t>
            </w:r>
            <w:r>
              <w:rPr>
                <w:rFonts w:hint="default" w:ascii="Times New Roman" w:hAnsi="Times New Roman" w:cs="Times New Roman"/>
                <w:color w:val="000000" w:themeColor="text1"/>
                <w:sz w:val="21"/>
                <w:szCs w:val="21"/>
              </w:rPr>
              <w:t>mg/kg</w:t>
            </w:r>
          </w:p>
        </w:tc>
        <w:tc>
          <w:tcPr>
            <w:tcW w:w="1906" w:type="dxa"/>
            <w:gridSpan w:val="3"/>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cs="Times New Roman"/>
                <w:color w:val="000000" w:themeColor="text1"/>
                <w:kern w:val="2"/>
                <w:sz w:val="21"/>
                <w:szCs w:val="21"/>
                <w:highlight w:val="none"/>
                <w:lang w:val="en-US" w:eastAsia="zh-CN" w:bidi="ar-SA"/>
              </w:rPr>
            </w:pPr>
          </w:p>
        </w:tc>
      </w:tr>
    </w:tbl>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3"/>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评价方法</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rPr>
      </w:pPr>
      <w:r>
        <w:rPr>
          <w:rFonts w:hint="eastAsia"/>
          <w:color w:val="000000" w:themeColor="text1"/>
          <w:sz w:val="24"/>
          <w:szCs w:val="24"/>
        </w:rPr>
        <w:t>土壤环境质量现状评价应采用标准指数法。</w:t>
      </w:r>
    </w:p>
    <w:p>
      <w:pPr>
        <w:pStyle w:val="6"/>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2" w:firstLineChars="200"/>
        <w:jc w:val="left"/>
        <w:textAlignment w:val="auto"/>
        <w:outlineLvl w:val="3"/>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监测结果</w:t>
      </w:r>
      <w:r>
        <w:rPr>
          <w:rFonts w:hint="eastAsia" w:ascii="Times New Roman" w:hAnsi="Times New Roman" w:eastAsia="宋体" w:cs="Times New Roman"/>
          <w:color w:val="000000" w:themeColor="text1"/>
          <w:sz w:val="24"/>
          <w:szCs w:val="24"/>
          <w:lang w:eastAsia="zh-CN"/>
        </w:rPr>
        <w:t>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eastAsiaTheme="minorEastAsia"/>
          <w:color w:val="000000" w:themeColor="text1"/>
          <w:sz w:val="24"/>
          <w:szCs w:val="24"/>
          <w:lang w:eastAsia="zh-CN"/>
        </w:rPr>
      </w:pPr>
      <w:r>
        <w:rPr>
          <w:rFonts w:hint="eastAsia"/>
          <w:color w:val="000000" w:themeColor="text1"/>
          <w:sz w:val="24"/>
          <w:szCs w:val="24"/>
        </w:rPr>
        <w:t>本次土壤环境监测结果见</w:t>
      </w:r>
      <w:r>
        <w:rPr>
          <w:rFonts w:hint="eastAsia"/>
          <w:color w:val="000000" w:themeColor="text1"/>
          <w:sz w:val="24"/>
          <w:szCs w:val="24"/>
          <w:lang w:eastAsia="zh-CN"/>
        </w:rPr>
        <w:t>下</w:t>
      </w:r>
      <w:r>
        <w:rPr>
          <w:rFonts w:hint="eastAsia"/>
          <w:color w:val="000000" w:themeColor="text1"/>
          <w:sz w:val="24"/>
          <w:szCs w:val="24"/>
        </w:rPr>
        <w:t>表</w:t>
      </w:r>
      <w:r>
        <w:rPr>
          <w:rFonts w:hint="eastAsia"/>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eastAsia="zh-CN"/>
        </w:rPr>
        <w:t>表</w:t>
      </w:r>
      <w:r>
        <w:rPr>
          <w:rFonts w:hint="eastAsia" w:ascii="Times New Roman" w:hAnsi="Times New Roman" w:eastAsia="宋体" w:cs="Times New Roman"/>
          <w:b/>
          <w:bCs/>
          <w:color w:val="FF0000"/>
          <w:sz w:val="21"/>
          <w:szCs w:val="21"/>
          <w:lang w:val="en-US" w:eastAsia="zh-CN"/>
        </w:rPr>
        <w:t>4.2-16 土壤理化性质调查</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913"/>
        <w:gridCol w:w="1492"/>
        <w:gridCol w:w="1493"/>
        <w:gridCol w:w="2"/>
        <w:gridCol w:w="1492"/>
        <w:gridCol w:w="14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采样日期</w:t>
            </w:r>
          </w:p>
        </w:tc>
        <w:tc>
          <w:tcPr>
            <w:tcW w:w="489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监测点位</w:t>
            </w: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K1矿石转运场地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10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2022年03月11日</w:t>
            </w:r>
          </w:p>
        </w:tc>
        <w:tc>
          <w:tcPr>
            <w:tcW w:w="3405"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监测点位坐标</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E</w:t>
            </w: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109</w:t>
            </w:r>
            <w:r>
              <w:rPr>
                <w:rFonts w:hint="default" w:ascii="Times New Roman" w:hAnsi="Times New Roman" w:eastAsia="宋体" w:cs="Times New Roman"/>
                <w:b w:val="0"/>
                <w:bCs w:val="0"/>
                <w:color w:val="FF0000"/>
                <w:sz w:val="21"/>
                <w:szCs w:val="21"/>
                <w:vertAlign w:val="baseline"/>
                <w:lang w:val="en-US" w:eastAsia="zh-CN"/>
              </w:rPr>
              <w:t>°</w:t>
            </w:r>
            <w:r>
              <w:rPr>
                <w:rFonts w:hint="eastAsia" w:ascii="Times New Roman" w:hAnsi="Times New Roman" w:eastAsia="宋体" w:cs="Times New Roman"/>
                <w:b w:val="0"/>
                <w:bCs w:val="0"/>
                <w:color w:val="FF0000"/>
                <w:sz w:val="21"/>
                <w:szCs w:val="21"/>
                <w:vertAlign w:val="baseline"/>
                <w:lang w:val="en-US" w:eastAsia="zh-CN"/>
              </w:rPr>
              <w:t>33</w:t>
            </w:r>
            <w:r>
              <w:rPr>
                <w:rFonts w:hint="default" w:ascii="Times New Roman" w:hAnsi="Times New Roman" w:eastAsia="宋体" w:cs="Times New Roman"/>
                <w:b w:val="0"/>
                <w:bCs w:val="0"/>
                <w:color w:val="FF0000"/>
                <w:sz w:val="21"/>
                <w:szCs w:val="21"/>
                <w:vertAlign w:val="baseline"/>
                <w:lang w:val="en-US" w:eastAsia="zh-CN"/>
              </w:rPr>
              <w:t>'</w:t>
            </w:r>
            <w:r>
              <w:rPr>
                <w:rFonts w:hint="eastAsia" w:ascii="Times New Roman" w:hAnsi="Times New Roman" w:eastAsia="宋体" w:cs="Times New Roman"/>
                <w:b w:val="0"/>
                <w:bCs w:val="0"/>
                <w:color w:val="FF0000"/>
                <w:sz w:val="21"/>
                <w:szCs w:val="21"/>
                <w:vertAlign w:val="baseline"/>
                <w:lang w:val="en-US" w:eastAsia="zh-CN"/>
              </w:rPr>
              <w:t>20.429</w:t>
            </w:r>
            <w:r>
              <w:rPr>
                <w:rFonts w:hint="default"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3405"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N</w:t>
            </w: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val="en-US" w:eastAsia="zh-CN"/>
              </w:rPr>
              <w:t>32</w:t>
            </w:r>
            <w:r>
              <w:rPr>
                <w:rFonts w:hint="default" w:ascii="Times New Roman" w:hAnsi="Times New Roman" w:eastAsia="宋体" w:cs="Times New Roman"/>
                <w:b w:val="0"/>
                <w:bCs w:val="0"/>
                <w:color w:val="FF0000"/>
                <w:sz w:val="21"/>
                <w:szCs w:val="21"/>
                <w:vertAlign w:val="baseline"/>
                <w:lang w:val="en-US" w:eastAsia="zh-CN"/>
              </w:rPr>
              <w:t>°</w:t>
            </w:r>
            <w:r>
              <w:rPr>
                <w:rFonts w:hint="eastAsia" w:ascii="Times New Roman" w:hAnsi="Times New Roman" w:eastAsia="宋体" w:cs="Times New Roman"/>
                <w:b w:val="0"/>
                <w:bCs w:val="0"/>
                <w:color w:val="FF0000"/>
                <w:sz w:val="21"/>
                <w:szCs w:val="21"/>
                <w:vertAlign w:val="baseline"/>
                <w:lang w:val="en-US" w:eastAsia="zh-CN"/>
              </w:rPr>
              <w:t>37</w:t>
            </w:r>
            <w:r>
              <w:rPr>
                <w:rFonts w:hint="default" w:ascii="Times New Roman" w:hAnsi="Times New Roman" w:eastAsia="宋体" w:cs="Times New Roman"/>
                <w:b w:val="0"/>
                <w:bCs w:val="0"/>
                <w:color w:val="FF0000"/>
                <w:sz w:val="21"/>
                <w:szCs w:val="21"/>
                <w:vertAlign w:val="baseline"/>
                <w:lang w:val="en-US" w:eastAsia="zh-CN"/>
              </w:rPr>
              <w:t>'</w:t>
            </w:r>
            <w:r>
              <w:rPr>
                <w:rFonts w:hint="eastAsia" w:ascii="Times New Roman" w:hAnsi="Times New Roman" w:eastAsia="宋体" w:cs="Times New Roman"/>
                <w:b w:val="0"/>
                <w:bCs w:val="0"/>
                <w:color w:val="FF0000"/>
                <w:sz w:val="21"/>
                <w:szCs w:val="21"/>
                <w:vertAlign w:val="baseline"/>
                <w:lang w:val="en-US" w:eastAsia="zh-CN"/>
              </w:rPr>
              <w:t>3.8362</w:t>
            </w:r>
            <w:r>
              <w:rPr>
                <w:rFonts w:hint="default"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6392"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层次</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0~20cm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现场记录</w:t>
            </w:r>
          </w:p>
        </w:tc>
        <w:tc>
          <w:tcPr>
            <w:tcW w:w="447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颜色</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褐色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447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质地</w:t>
            </w:r>
          </w:p>
        </w:tc>
        <w:tc>
          <w:tcPr>
            <w:tcW w:w="1493" w:type="dxa"/>
            <w:tcBorders>
              <w:tl2br w:val="nil"/>
              <w:tr2bl w:val="nil"/>
            </w:tcBorders>
            <w:vAlign w:val="center"/>
          </w:tcPr>
          <w:p>
            <w:pPr>
              <w:keepNext w:val="0"/>
              <w:keepLines w:val="0"/>
              <w:pageBreakBefore w:val="0"/>
              <w:widowControl w:val="0"/>
              <w:tabs>
                <w:tab w:val="left" w:pos="585"/>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沙土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447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砂砾含量（</w:t>
            </w:r>
            <w:r>
              <w:rPr>
                <w:rFonts w:hint="eastAsia" w:ascii="Times New Roman" w:hAnsi="Times New Roman" w:eastAsia="宋体" w:cs="Times New Roman"/>
                <w:b w:val="0"/>
                <w:bCs w:val="0"/>
                <w:color w:val="FF0000"/>
                <w:sz w:val="21"/>
                <w:szCs w:val="21"/>
                <w:vertAlign w:val="baseline"/>
                <w:lang w:val="en-US" w:eastAsia="zh-CN"/>
              </w:rPr>
              <w:t>%</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447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其他异物</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理化性质</w:t>
            </w: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pH值</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（无量纲）</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阳离子交换量</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r>
              <w:rPr>
                <w:rFonts w:hint="eastAsia" w:ascii="Times New Roman" w:hAnsi="Times New Roman" w:eastAsia="宋体" w:cs="Times New Roman"/>
                <w:b w:val="0"/>
                <w:bCs w:val="0"/>
                <w:color w:val="FF0000"/>
                <w:sz w:val="21"/>
                <w:szCs w:val="21"/>
                <w:vertAlign w:val="baseline"/>
                <w:lang w:val="en-US" w:eastAsia="zh-CN"/>
              </w:rPr>
              <w:t>cmol</w:t>
            </w:r>
            <w:r>
              <w:rPr>
                <w:rFonts w:hint="eastAsia" w:ascii="Times New Roman" w:hAnsi="Times New Roman" w:eastAsia="宋体" w:cs="Times New Roman"/>
                <w:b w:val="0"/>
                <w:bCs w:val="0"/>
                <w:color w:val="FF0000"/>
                <w:sz w:val="21"/>
                <w:szCs w:val="21"/>
                <w:vertAlign w:val="superscript"/>
                <w:lang w:val="en-US" w:eastAsia="zh-CN"/>
              </w:rPr>
              <w:t>+</w:t>
            </w:r>
            <w:r>
              <w:rPr>
                <w:rFonts w:hint="eastAsia" w:ascii="Times New Roman" w:hAnsi="Times New Roman" w:eastAsia="宋体" w:cs="Times New Roman"/>
                <w:b w:val="0"/>
                <w:bCs w:val="0"/>
                <w:color w:val="FF0000"/>
                <w:sz w:val="21"/>
                <w:szCs w:val="21"/>
                <w:vertAlign w:val="baseline"/>
                <w:lang w:val="en-US" w:eastAsia="zh-CN"/>
              </w:rPr>
              <w:t>/kg</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氧化还原电位</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r>
              <w:rPr>
                <w:rFonts w:hint="eastAsia" w:ascii="Times New Roman" w:hAnsi="Times New Roman" w:eastAsia="宋体" w:cs="Times New Roman"/>
                <w:b w:val="0"/>
                <w:bCs w:val="0"/>
                <w:color w:val="FF0000"/>
                <w:sz w:val="21"/>
                <w:szCs w:val="21"/>
                <w:vertAlign w:val="baseline"/>
                <w:lang w:val="en-US" w:eastAsia="zh-CN"/>
              </w:rPr>
              <w:t>mV</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tabs>
                <w:tab w:val="left" w:pos="300"/>
              </w:tabs>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水溶性盐总量</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r>
              <w:rPr>
                <w:rFonts w:hint="eastAsia" w:ascii="Times New Roman" w:hAnsi="Times New Roman" w:eastAsia="宋体" w:cs="Times New Roman"/>
                <w:b w:val="0"/>
                <w:bCs w:val="0"/>
                <w:color w:val="FF0000"/>
                <w:sz w:val="21"/>
                <w:szCs w:val="21"/>
                <w:vertAlign w:val="baseline"/>
                <w:lang w:val="en-US" w:eastAsia="zh-CN"/>
              </w:rPr>
              <w:t>g/kg</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土壤容重</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r>
              <w:rPr>
                <w:rFonts w:hint="eastAsia" w:ascii="Times New Roman" w:hAnsi="Times New Roman" w:eastAsia="宋体" w:cs="Times New Roman"/>
                <w:b w:val="0"/>
                <w:bCs w:val="0"/>
                <w:color w:val="FF0000"/>
                <w:sz w:val="21"/>
                <w:szCs w:val="21"/>
                <w:vertAlign w:val="baseline"/>
                <w:lang w:val="en-US" w:eastAsia="zh-CN"/>
              </w:rPr>
              <w:t>g/cm</w:t>
            </w:r>
            <w:r>
              <w:rPr>
                <w:rFonts w:hint="eastAsia" w:ascii="Times New Roman" w:hAnsi="Times New Roman" w:eastAsia="宋体" w:cs="Times New Roman"/>
                <w:b w:val="0"/>
                <w:bCs w:val="0"/>
                <w:color w:val="FF0000"/>
                <w:sz w:val="21"/>
                <w:szCs w:val="21"/>
                <w:vertAlign w:val="superscript"/>
                <w:lang w:val="en-US" w:eastAsia="zh-CN"/>
              </w:rPr>
              <w:t>3</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29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总孔隙度</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r>
              <w:rPr>
                <w:rFonts w:hint="eastAsia" w:ascii="Times New Roman" w:hAnsi="Times New Roman" w:eastAsia="宋体" w:cs="Times New Roman"/>
                <w:b w:val="0"/>
                <w:bCs w:val="0"/>
                <w:color w:val="FF0000"/>
                <w:sz w:val="21"/>
                <w:szCs w:val="21"/>
                <w:vertAlign w:val="baseline"/>
                <w:lang w:val="en-US" w:eastAsia="zh-CN"/>
              </w:rPr>
              <w:t>%</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4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饱和导水率</w:t>
            </w:r>
          </w:p>
        </w:tc>
        <w:tc>
          <w:tcPr>
            <w:tcW w:w="149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K</w:t>
            </w:r>
            <w:r>
              <w:rPr>
                <w:rFonts w:hint="eastAsia" w:ascii="Times New Roman" w:hAnsi="Times New Roman" w:eastAsia="宋体" w:cs="Times New Roman"/>
                <w:b w:val="0"/>
                <w:bCs w:val="0"/>
                <w:color w:val="FF0000"/>
                <w:sz w:val="21"/>
                <w:szCs w:val="21"/>
                <w:vertAlign w:val="subscript"/>
                <w:lang w:val="en-US" w:eastAsia="zh-CN"/>
              </w:rPr>
              <w:t>18</w:t>
            </w:r>
          </w:p>
        </w:tc>
        <w:tc>
          <w:tcPr>
            <w:tcW w:w="14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r>
              <w:rPr>
                <w:rFonts w:hint="eastAsia" w:ascii="Times New Roman" w:hAnsi="Times New Roman" w:eastAsia="宋体" w:cs="Times New Roman"/>
                <w:b w:val="0"/>
                <w:bCs w:val="0"/>
                <w:color w:val="FF0000"/>
                <w:sz w:val="21"/>
                <w:szCs w:val="21"/>
                <w:vertAlign w:val="baseline"/>
                <w:lang w:val="en-US" w:eastAsia="zh-CN"/>
              </w:rPr>
              <w:t>mm/min</w:t>
            </w:r>
            <w:r>
              <w:rPr>
                <w:rFonts w:hint="eastAsia" w:ascii="Times New Roman" w:hAnsi="Times New Roman" w:eastAsia="宋体" w:cs="Times New Roman"/>
                <w:b w:val="0"/>
                <w:bCs w:val="0"/>
                <w:color w:val="FF0000"/>
                <w:sz w:val="21"/>
                <w:szCs w:val="21"/>
                <w:vertAlign w:val="baseline"/>
                <w:lang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0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9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4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49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K</w:t>
            </w:r>
            <w:r>
              <w:rPr>
                <w:rFonts w:hint="eastAsia" w:ascii="Times New Roman" w:hAnsi="Times New Roman" w:eastAsia="宋体" w:cs="Times New Roman"/>
                <w:b w:val="0"/>
                <w:bCs w:val="0"/>
                <w:color w:val="FF0000"/>
                <w:sz w:val="21"/>
                <w:szCs w:val="21"/>
                <w:vertAlign w:val="subscript"/>
                <w:lang w:val="en-US" w:eastAsia="zh-CN"/>
              </w:rPr>
              <w:t>10</w:t>
            </w:r>
          </w:p>
        </w:tc>
        <w:tc>
          <w:tcPr>
            <w:tcW w:w="14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0.79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b/>
          <w:bCs/>
          <w:color w:val="000000" w:themeColor="text1"/>
          <w:sz w:val="21"/>
          <w:szCs w:val="21"/>
        </w:rPr>
      </w:pPr>
      <w:r>
        <w:rPr>
          <w:rFonts w:hint="default" w:ascii="Times New Roman" w:hAnsi="Times New Roman" w:eastAsia="宋体" w:cs="Times New Roman"/>
          <w:b/>
          <w:bCs/>
          <w:color w:val="000000" w:themeColor="text1"/>
          <w:sz w:val="21"/>
          <w:szCs w:val="21"/>
        </w:rPr>
        <w:t>表4.2-1</w:t>
      </w:r>
      <w:r>
        <w:rPr>
          <w:rFonts w:hint="eastAsia" w:ascii="Times New Roman" w:hAnsi="Times New Roman" w:eastAsia="宋体" w:cs="Times New Roman"/>
          <w:b/>
          <w:bCs/>
          <w:color w:val="000000" w:themeColor="text1"/>
          <w:sz w:val="21"/>
          <w:szCs w:val="21"/>
          <w:lang w:val="en-US" w:eastAsia="zh-CN"/>
        </w:rPr>
        <w:t>7</w:t>
      </w:r>
      <w:r>
        <w:rPr>
          <w:rFonts w:hint="default" w:ascii="Times New Roman" w:hAnsi="Times New Roman" w:eastAsia="宋体" w:cs="Times New Roman"/>
          <w:b/>
          <w:bCs/>
          <w:color w:val="000000" w:themeColor="text1"/>
          <w:sz w:val="21"/>
          <w:szCs w:val="21"/>
        </w:rPr>
        <w:t xml:space="preserve"> 土壤现状</w:t>
      </w:r>
      <w:r>
        <w:rPr>
          <w:rFonts w:hint="eastAsia" w:ascii="Times New Roman" w:hAnsi="Times New Roman" w:eastAsia="宋体" w:cs="Times New Roman"/>
          <w:b/>
          <w:bCs/>
          <w:color w:val="000000" w:themeColor="text1"/>
          <w:sz w:val="21"/>
          <w:szCs w:val="21"/>
          <w:lang w:eastAsia="zh-CN"/>
        </w:rPr>
        <w:t>监测结果及</w:t>
      </w:r>
      <w:r>
        <w:rPr>
          <w:rFonts w:hint="default" w:ascii="Times New Roman" w:hAnsi="Times New Roman" w:eastAsia="宋体" w:cs="Times New Roman"/>
          <w:b/>
          <w:bCs/>
          <w:color w:val="000000" w:themeColor="text1"/>
          <w:sz w:val="21"/>
          <w:szCs w:val="21"/>
        </w:rPr>
        <w:t>评价</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1279"/>
        <w:gridCol w:w="1472"/>
        <w:gridCol w:w="1070"/>
        <w:gridCol w:w="1098"/>
        <w:gridCol w:w="1028"/>
        <w:gridCol w:w="8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监测项目</w:t>
            </w:r>
          </w:p>
        </w:tc>
        <w:tc>
          <w:tcPr>
            <w:tcW w:w="127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单位</w:t>
            </w:r>
          </w:p>
        </w:tc>
        <w:tc>
          <w:tcPr>
            <w:tcW w:w="5562"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监测结果</w:t>
            </w:r>
            <w:r>
              <w:rPr>
                <w:rFonts w:hint="eastAsia" w:ascii="Times New Roman" w:hAnsi="Times New Roman" w:eastAsia="宋体" w:cs="Times New Roman"/>
                <w:b/>
                <w:bCs/>
                <w:color w:val="000000" w:themeColor="text1"/>
                <w:sz w:val="21"/>
                <w:szCs w:val="21"/>
                <w:lang w:eastAsia="zh-CN"/>
              </w:rPr>
              <w:t>及评价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27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监测值</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1#K1场地矿石转运场地</w:t>
            </w:r>
            <w:r>
              <w:rPr>
                <w:rFonts w:hint="eastAsia" w:ascii="Times New Roman" w:hAnsi="Times New Roman" w:eastAsia="宋体" w:cs="Times New Roman"/>
                <w:b/>
                <w:bCs/>
                <w:color w:val="000000" w:themeColor="text1"/>
                <w:sz w:val="21"/>
                <w:szCs w:val="21"/>
                <w:lang w:eastAsia="zh-CN"/>
              </w:rPr>
              <w:t>）</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标准值</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标准指数</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超标率%</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检出率%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六价铬</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40.2</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0.670</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镉</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0.77</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铜</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84</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铅</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19.6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0.025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汞</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0.994</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0.026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镍</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vertAlign w:val="superscript"/>
              </w:rPr>
            </w:pPr>
            <w:r>
              <w:rPr>
                <w:rFonts w:hint="eastAsia" w:ascii="Times New Roman" w:hAnsi="Times New Roman" w:eastAsia="宋体" w:cs="Times New Roman"/>
                <w:color w:val="000000" w:themeColor="text1"/>
                <w:sz w:val="21"/>
                <w:szCs w:val="21"/>
                <w:vertAlign w:val="baseline"/>
                <w:lang w:val="en-US" w:eastAsia="zh-CN"/>
              </w:rPr>
              <w:t>151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0.168</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四氯化碳</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氯仿</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顺-1,2-二氯乙烯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596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反-1,2-二氯乙烯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616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1,2,3-三氯丙烷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间二甲苯+对二甲苯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邻二甲苯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硝基苯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苯胺</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2-氯酚</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0.06ND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2256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苯并[b]荧蒽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苯并[k]荧蒽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䓛</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二苯并[a,h]蒽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茚并[1,2,3-cd]芘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pH</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无量纲</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8.47</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石油烃（</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10</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40</w:t>
            </w:r>
            <w:r>
              <w:rPr>
                <w:rFonts w:hint="eastAsia" w:ascii="Times New Roman" w:hAnsi="Times New Roman" w:eastAsia="宋体" w:cs="Times New Roman"/>
                <w:color w:val="000000" w:themeColor="text1"/>
                <w:sz w:val="21"/>
                <w:szCs w:val="21"/>
                <w:lang w:eastAsia="zh-CN"/>
              </w:rPr>
              <w:t>）</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186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0.041</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4.40</w:t>
            </w:r>
            <w:r>
              <w:rPr>
                <w:rFonts w:hint="default" w:ascii="Arial" w:hAnsi="Arial" w:eastAsia="宋体" w:cs="Arial"/>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eastAsia" w:ascii="Times New Roman" w:hAnsi="Times New Roman" w:eastAsia="宋体" w:cs="Times New Roman"/>
                <w:color w:val="000000" w:themeColor="text1"/>
                <w:sz w:val="21"/>
                <w:szCs w:val="21"/>
                <w:vertAlign w:val="superscript"/>
                <w:lang w:val="en-US" w:eastAsia="zh-CN"/>
              </w:rPr>
              <w:t>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96000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0.046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监测项目</w:t>
            </w:r>
          </w:p>
        </w:tc>
        <w:tc>
          <w:tcPr>
            <w:tcW w:w="127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单位</w:t>
            </w:r>
          </w:p>
        </w:tc>
        <w:tc>
          <w:tcPr>
            <w:tcW w:w="5562"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监测结果</w:t>
            </w:r>
            <w:r>
              <w:rPr>
                <w:rFonts w:hint="eastAsia" w:ascii="Times New Roman" w:hAnsi="Times New Roman" w:eastAsia="宋体" w:cs="Times New Roman"/>
                <w:b/>
                <w:bCs/>
                <w:color w:val="000000" w:themeColor="text1"/>
                <w:sz w:val="21"/>
                <w:szCs w:val="21"/>
                <w:lang w:eastAsia="zh-CN"/>
              </w:rPr>
              <w:t>及评价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27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监测值</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2#K1场地下风向</w:t>
            </w:r>
            <w:r>
              <w:rPr>
                <w:rFonts w:hint="eastAsia" w:ascii="Times New Roman" w:hAnsi="Times New Roman" w:eastAsia="宋体" w:cs="Times New Roman"/>
                <w:b/>
                <w:bCs/>
                <w:color w:val="000000" w:themeColor="text1"/>
                <w:sz w:val="21"/>
                <w:szCs w:val="21"/>
                <w:lang w:eastAsia="zh-CN"/>
              </w:rPr>
              <w:t>）</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标准值</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标准指数</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超标率%</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检出率%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六价铬</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33.6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0.560</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镉</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0.81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铜</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91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铅</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14.8</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0.019</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汞</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1.42</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0.037</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镍</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vertAlign w:val="superscript"/>
                <w:lang w:val="en-US"/>
              </w:rPr>
            </w:pPr>
            <w:r>
              <w:rPr>
                <w:rFonts w:hint="eastAsia" w:ascii="Times New Roman" w:hAnsi="Times New Roman" w:eastAsia="宋体" w:cs="Times New Roman"/>
                <w:color w:val="000000" w:themeColor="text1"/>
                <w:sz w:val="21"/>
                <w:szCs w:val="21"/>
                <w:vertAlign w:val="baseline"/>
                <w:lang w:val="en-US" w:eastAsia="zh-CN"/>
              </w:rPr>
              <w:t>127</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0.141</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四氯化碳</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氯仿</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顺-1,2-二氯乙烯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596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反-1,2-二氯乙烯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616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1,2,3-三氯丙烷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间二甲苯+对二甲苯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邻二甲苯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硝基苯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苯胺</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2-氯酚</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0.06ND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2256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苯并[b]荧蒽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苯并[k]荧蒽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䓛</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二苯并[a,h]蒽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茚并[1,2,3-cd]芘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pH</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无量纲</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8.41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石油烃（</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10</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40</w:t>
            </w:r>
            <w:r>
              <w:rPr>
                <w:rFonts w:hint="eastAsia" w:ascii="Times New Roman" w:hAnsi="Times New Roman" w:eastAsia="宋体" w:cs="Times New Roman"/>
                <w:color w:val="000000" w:themeColor="text1"/>
                <w:sz w:val="21"/>
                <w:szCs w:val="21"/>
                <w:lang w:eastAsia="zh-CN"/>
              </w:rPr>
              <w:t>）</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20</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5.52</w:t>
            </w:r>
            <w:r>
              <w:rPr>
                <w:rFonts w:hint="default" w:ascii="Arial" w:hAnsi="Arial" w:eastAsia="宋体" w:cs="Arial"/>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eastAsia" w:ascii="Times New Roman" w:hAnsi="Times New Roman" w:eastAsia="宋体" w:cs="Times New Roman"/>
                <w:color w:val="000000" w:themeColor="text1"/>
                <w:sz w:val="21"/>
                <w:szCs w:val="21"/>
                <w:vertAlign w:val="superscript"/>
                <w:lang w:val="en-US" w:eastAsia="zh-CN"/>
              </w:rPr>
              <w:t>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96000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0.058</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监测项目</w:t>
            </w:r>
          </w:p>
        </w:tc>
        <w:tc>
          <w:tcPr>
            <w:tcW w:w="127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单位</w:t>
            </w:r>
          </w:p>
        </w:tc>
        <w:tc>
          <w:tcPr>
            <w:tcW w:w="5562"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监测结果</w:t>
            </w:r>
            <w:r>
              <w:rPr>
                <w:rFonts w:hint="eastAsia" w:ascii="Times New Roman" w:hAnsi="Times New Roman" w:eastAsia="宋体" w:cs="Times New Roman"/>
                <w:b/>
                <w:bCs/>
                <w:color w:val="000000" w:themeColor="text1"/>
                <w:sz w:val="21"/>
                <w:szCs w:val="21"/>
                <w:lang w:eastAsia="zh-CN"/>
              </w:rPr>
              <w:t>及评价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27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监测值</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3#K1废石场下游</w:t>
            </w:r>
            <w:r>
              <w:rPr>
                <w:rFonts w:hint="eastAsia" w:ascii="Times New Roman" w:hAnsi="Times New Roman" w:eastAsia="宋体" w:cs="Times New Roman"/>
                <w:b/>
                <w:bCs/>
                <w:color w:val="000000" w:themeColor="text1"/>
                <w:sz w:val="21"/>
                <w:szCs w:val="21"/>
                <w:lang w:eastAsia="zh-CN"/>
              </w:rPr>
              <w:t>）</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标准值</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标准指数</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超标率%</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检出率%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六价铬</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37.4</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0.623</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镉</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0.79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铜</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76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铅</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14.9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0.019</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汞</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1.37</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镍</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vertAlign w:val="superscript"/>
                <w:lang w:val="en-US"/>
              </w:rPr>
            </w:pPr>
            <w:r>
              <w:rPr>
                <w:rFonts w:hint="eastAsia" w:ascii="Times New Roman" w:hAnsi="Times New Roman" w:eastAsia="宋体" w:cs="Times New Roman"/>
                <w:color w:val="000000" w:themeColor="text1"/>
                <w:sz w:val="21"/>
                <w:szCs w:val="21"/>
                <w:vertAlign w:val="baseline"/>
                <w:lang w:val="en-US" w:eastAsia="zh-CN"/>
              </w:rPr>
              <w:t>118</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0.131</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四氯化碳</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氯仿</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顺-1,2-二氯乙烯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596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反-1,2-二氯乙烯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616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1,2,3-三氯丙烷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间二甲苯+对二甲苯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邻二甲苯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硝基苯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苯胺</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2-氯酚</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0.06ND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2256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苯并[b]荧蒽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苯并[k]荧蒽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䓛</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二苯并[a,h]蒽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茚并[1,2,3-cd]芘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pH</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无量纲</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8.39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石油烃（</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10</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40</w:t>
            </w:r>
            <w:r>
              <w:rPr>
                <w:rFonts w:hint="eastAsia" w:ascii="Times New Roman" w:hAnsi="Times New Roman" w:eastAsia="宋体" w:cs="Times New Roman"/>
                <w:color w:val="000000" w:themeColor="text1"/>
                <w:sz w:val="21"/>
                <w:szCs w:val="21"/>
                <w:lang w:eastAsia="zh-CN"/>
              </w:rPr>
              <w:t>）</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68</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4.26</w:t>
            </w:r>
            <w:r>
              <w:rPr>
                <w:rFonts w:hint="default" w:ascii="Arial" w:hAnsi="Arial" w:eastAsia="宋体" w:cs="Arial"/>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eastAsia" w:ascii="Times New Roman" w:hAnsi="Times New Roman" w:eastAsia="宋体" w:cs="Times New Roman"/>
                <w:color w:val="000000" w:themeColor="text1"/>
                <w:sz w:val="21"/>
                <w:szCs w:val="21"/>
                <w:vertAlign w:val="superscript"/>
                <w:lang w:val="en-US" w:eastAsia="zh-CN"/>
              </w:rPr>
              <w:t>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96000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0.044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监测项目</w:t>
            </w:r>
          </w:p>
        </w:tc>
        <w:tc>
          <w:tcPr>
            <w:tcW w:w="127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单位</w:t>
            </w:r>
          </w:p>
        </w:tc>
        <w:tc>
          <w:tcPr>
            <w:tcW w:w="5562"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监测结果</w:t>
            </w:r>
            <w:r>
              <w:rPr>
                <w:rFonts w:hint="eastAsia" w:ascii="Times New Roman" w:hAnsi="Times New Roman" w:eastAsia="宋体" w:cs="Times New Roman"/>
                <w:b/>
                <w:bCs/>
                <w:color w:val="000000" w:themeColor="text1"/>
                <w:sz w:val="21"/>
                <w:szCs w:val="21"/>
                <w:lang w:eastAsia="zh-CN"/>
              </w:rPr>
              <w:t>及评价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27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监测值</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4#K2场地矿石转运场地</w:t>
            </w:r>
            <w:r>
              <w:rPr>
                <w:rFonts w:hint="eastAsia" w:ascii="Times New Roman" w:hAnsi="Times New Roman" w:eastAsia="宋体" w:cs="Times New Roman"/>
                <w:b/>
                <w:bCs/>
                <w:color w:val="000000" w:themeColor="text1"/>
                <w:sz w:val="21"/>
                <w:szCs w:val="21"/>
                <w:lang w:eastAsia="zh-CN"/>
              </w:rPr>
              <w:t>）</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标准值</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标准指数</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超标率%</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检出率%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六价铬</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34.1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0.568</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镉</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0.80</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铜</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铅</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15.0</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0.019</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汞</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1.14</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0.030</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镍</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vertAlign w:val="superscript"/>
                <w:lang w:val="en-US"/>
              </w:rPr>
            </w:pPr>
            <w:r>
              <w:rPr>
                <w:rFonts w:hint="eastAsia" w:ascii="Times New Roman" w:hAnsi="Times New Roman" w:eastAsia="宋体" w:cs="Times New Roman"/>
                <w:color w:val="000000" w:themeColor="text1"/>
                <w:sz w:val="21"/>
                <w:szCs w:val="21"/>
                <w:vertAlign w:val="baseline"/>
                <w:lang w:val="en-US" w:eastAsia="zh-CN"/>
              </w:rPr>
              <w:t>111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0.123</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四氯化碳</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氯仿</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顺-1,2-二氯乙烯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596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反-1,2-二氯乙烯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616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1,2,3-三氯丙烷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间二甲苯+对二甲苯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邻二甲苯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硝基苯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苯胺</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2-氯酚</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0.06ND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2256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苯并[b]荧蒽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苯并[k]荧蒽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䓛</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二苯并[a,h]蒽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茚并[1,2,3-cd]芘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pH</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无量纲</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8.33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石油烃（</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10</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40</w:t>
            </w:r>
            <w:r>
              <w:rPr>
                <w:rFonts w:hint="eastAsia" w:ascii="Times New Roman" w:hAnsi="Times New Roman" w:eastAsia="宋体" w:cs="Times New Roman"/>
                <w:color w:val="000000" w:themeColor="text1"/>
                <w:sz w:val="21"/>
                <w:szCs w:val="21"/>
                <w:lang w:eastAsia="zh-CN"/>
              </w:rPr>
              <w:t>）</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25</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4.38</w:t>
            </w:r>
            <w:r>
              <w:rPr>
                <w:rFonts w:hint="default" w:ascii="Arial" w:hAnsi="Arial" w:eastAsia="宋体" w:cs="Arial"/>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eastAsia" w:ascii="Times New Roman" w:hAnsi="Times New Roman" w:eastAsia="宋体" w:cs="Times New Roman"/>
                <w:color w:val="000000" w:themeColor="text1"/>
                <w:sz w:val="21"/>
                <w:szCs w:val="21"/>
                <w:vertAlign w:val="superscript"/>
                <w:lang w:val="en-US" w:eastAsia="zh-CN"/>
              </w:rPr>
              <w:t>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96000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0.046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监测项目</w:t>
            </w:r>
          </w:p>
        </w:tc>
        <w:tc>
          <w:tcPr>
            <w:tcW w:w="127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单位</w:t>
            </w:r>
          </w:p>
        </w:tc>
        <w:tc>
          <w:tcPr>
            <w:tcW w:w="5562"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监测结果</w:t>
            </w:r>
            <w:r>
              <w:rPr>
                <w:rFonts w:hint="eastAsia" w:ascii="Times New Roman" w:hAnsi="Times New Roman" w:eastAsia="宋体" w:cs="Times New Roman"/>
                <w:b/>
                <w:bCs/>
                <w:color w:val="000000" w:themeColor="text1"/>
                <w:sz w:val="21"/>
                <w:szCs w:val="21"/>
                <w:lang w:eastAsia="zh-CN"/>
              </w:rPr>
              <w:t>及评价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27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监测值</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5#K2场地下风向</w:t>
            </w:r>
            <w:r>
              <w:rPr>
                <w:rFonts w:hint="eastAsia" w:ascii="Times New Roman" w:hAnsi="Times New Roman" w:eastAsia="宋体" w:cs="Times New Roman"/>
                <w:b/>
                <w:bCs/>
                <w:color w:val="000000" w:themeColor="text1"/>
                <w:sz w:val="21"/>
                <w:szCs w:val="21"/>
                <w:lang w:eastAsia="zh-CN"/>
              </w:rPr>
              <w:t>）</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标准值</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标准指数</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超标率%</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检出率%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六价铬</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38.4</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0.640</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镉</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0.79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铜</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76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铅</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15.9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0.020</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汞</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1.36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镍</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vertAlign w:val="superscript"/>
                <w:lang w:val="en-US"/>
              </w:rPr>
            </w:pPr>
            <w:r>
              <w:rPr>
                <w:rFonts w:hint="eastAsia" w:ascii="Times New Roman" w:hAnsi="Times New Roman" w:eastAsia="宋体" w:cs="Times New Roman"/>
                <w:color w:val="000000" w:themeColor="text1"/>
                <w:sz w:val="21"/>
                <w:szCs w:val="21"/>
                <w:vertAlign w:val="baseline"/>
                <w:lang w:val="en-US" w:eastAsia="zh-CN"/>
              </w:rPr>
              <w:t>128</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四氯化碳</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氯仿</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顺-1,2-二氯乙烯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596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反-1,2-二氯乙烯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616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1,2,3-三氯丙烷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间二甲苯+对二甲苯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邻二甲苯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硝基苯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苯胺</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2-氯酚</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0.06ND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2256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苯并[b]荧蒽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苯并[k]荧蒽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䓛</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二苯并[a,h]蒽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茚并[1,2,3-cd]芘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pH</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无量纲</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8.25</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石油烃（</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10</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40</w:t>
            </w:r>
            <w:r>
              <w:rPr>
                <w:rFonts w:hint="eastAsia" w:ascii="Times New Roman" w:hAnsi="Times New Roman" w:eastAsia="宋体" w:cs="Times New Roman"/>
                <w:color w:val="000000" w:themeColor="text1"/>
                <w:sz w:val="21"/>
                <w:szCs w:val="21"/>
                <w:lang w:eastAsia="zh-CN"/>
              </w:rPr>
              <w:t>）</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29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0.006</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4.35</w:t>
            </w:r>
            <w:r>
              <w:rPr>
                <w:rFonts w:hint="default" w:ascii="Arial" w:hAnsi="Arial" w:eastAsia="宋体" w:cs="Arial"/>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eastAsia" w:ascii="Times New Roman" w:hAnsi="Times New Roman" w:eastAsia="宋体" w:cs="Times New Roman"/>
                <w:color w:val="000000" w:themeColor="text1"/>
                <w:sz w:val="21"/>
                <w:szCs w:val="21"/>
                <w:vertAlign w:val="superscript"/>
                <w:lang w:val="en-US" w:eastAsia="zh-CN"/>
              </w:rPr>
              <w:t>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96000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0.045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监测项目</w:t>
            </w:r>
          </w:p>
        </w:tc>
        <w:tc>
          <w:tcPr>
            <w:tcW w:w="1279" w:type="dxa"/>
            <w:vMerge w:val="restart"/>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单位</w:t>
            </w:r>
          </w:p>
        </w:tc>
        <w:tc>
          <w:tcPr>
            <w:tcW w:w="5562" w:type="dxa"/>
            <w:gridSpan w:val="5"/>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监测结果</w:t>
            </w:r>
            <w:r>
              <w:rPr>
                <w:rFonts w:hint="eastAsia" w:ascii="Times New Roman" w:hAnsi="Times New Roman" w:eastAsia="宋体" w:cs="Times New Roman"/>
                <w:b/>
                <w:bCs/>
                <w:color w:val="000000" w:themeColor="text1"/>
                <w:sz w:val="21"/>
                <w:szCs w:val="21"/>
                <w:lang w:eastAsia="zh-CN"/>
              </w:rPr>
              <w:t>及评价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6"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279" w:type="dxa"/>
            <w:vMerge w:val="continue"/>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监测值</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6#K2硐口废水沉淀池</w:t>
            </w:r>
            <w:r>
              <w:rPr>
                <w:rFonts w:hint="eastAsia" w:ascii="Times New Roman" w:hAnsi="Times New Roman" w:eastAsia="宋体" w:cs="Times New Roman"/>
                <w:b/>
                <w:bCs/>
                <w:color w:val="000000" w:themeColor="text1"/>
                <w:sz w:val="21"/>
                <w:szCs w:val="21"/>
                <w:lang w:eastAsia="zh-CN"/>
              </w:rPr>
              <w:t>）</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标准值</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标准指数</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超标率%</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检出率%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六价铬</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39.3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0.655</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镉</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0.79</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0.012</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铜</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76</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铅</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15.3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0.019</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汞</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1.31</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镍</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vertAlign w:val="superscript"/>
                <w:lang w:val="en-US"/>
              </w:rPr>
            </w:pPr>
            <w:r>
              <w:rPr>
                <w:rFonts w:hint="eastAsia" w:ascii="Times New Roman" w:hAnsi="Times New Roman" w:eastAsia="宋体" w:cs="Times New Roman"/>
                <w:color w:val="000000" w:themeColor="text1"/>
                <w:sz w:val="21"/>
                <w:szCs w:val="21"/>
                <w:vertAlign w:val="baseline"/>
                <w:lang w:val="en-US" w:eastAsia="zh-CN"/>
              </w:rPr>
              <w:t>118</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0.131</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四氯化碳</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氯仿</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顺-1,2-二氯乙烯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596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反-1,2-二氯乙烯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二氯甲烷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616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1,1,2,2-四氯乙烷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四氯乙烯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0.0014ND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1,1,2-三氯乙烷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三氯乙烯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1,2,3-三氯丙烷</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0.0010ND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1,4-二氯苯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0.0015ND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苯乙烯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0.0013ND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间二甲苯+对二甲苯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邻二甲苯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0.0012ND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640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硝基苯</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苯胺</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2-氯酚</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0.06ND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2256</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苯并[a]芘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苯并[b]荧蒽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苯并[k]荧蒽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䓛</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1293</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二苯并[a,h]蒽</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茚并[1,2,3-cd]芘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0.1ND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萘</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0.09ND</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pH</w:t>
            </w:r>
          </w:p>
        </w:tc>
        <w:tc>
          <w:tcPr>
            <w:tcW w:w="127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无量纲</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8.28</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石油烃（</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10</w:t>
            </w:r>
            <w:r>
              <w:rPr>
                <w:rFonts w:hint="eastAsia" w:ascii="Times New Roman" w:hAnsi="Times New Roman" w:eastAsia="宋体" w:cs="Times New Roman"/>
                <w:color w:val="000000" w:themeColor="text1"/>
                <w:sz w:val="21"/>
                <w:szCs w:val="21"/>
                <w:lang w:val="en-US" w:eastAsia="zh-CN"/>
              </w:rPr>
              <w:t>-C</w:t>
            </w:r>
            <w:r>
              <w:rPr>
                <w:rFonts w:hint="eastAsia" w:ascii="Times New Roman" w:hAnsi="Times New Roman" w:eastAsia="宋体" w:cs="Times New Roman"/>
                <w:color w:val="000000" w:themeColor="text1"/>
                <w:sz w:val="21"/>
                <w:szCs w:val="21"/>
                <w:vertAlign w:val="subscript"/>
                <w:lang w:val="en-US" w:eastAsia="zh-CN"/>
              </w:rPr>
              <w:t>40</w:t>
            </w:r>
            <w:r>
              <w:rPr>
                <w:rFonts w:hint="eastAsia" w:ascii="Times New Roman" w:hAnsi="Times New Roman" w:eastAsia="宋体" w:cs="Times New Roman"/>
                <w:color w:val="000000" w:themeColor="text1"/>
                <w:sz w:val="21"/>
                <w:szCs w:val="21"/>
                <w:lang w:eastAsia="zh-CN"/>
              </w:rPr>
              <w:t>）</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20</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4500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0.004</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16"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mg/kg</w:t>
            </w:r>
          </w:p>
        </w:tc>
        <w:tc>
          <w:tcPr>
            <w:tcW w:w="1472"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3.75</w:t>
            </w:r>
            <w:r>
              <w:rPr>
                <w:rFonts w:hint="default" w:ascii="Arial" w:hAnsi="Arial" w:eastAsia="宋体" w:cs="Arial"/>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10</w:t>
            </w:r>
            <w:r>
              <w:rPr>
                <w:rFonts w:hint="eastAsia" w:ascii="Times New Roman" w:hAnsi="Times New Roman" w:eastAsia="宋体" w:cs="Times New Roman"/>
                <w:color w:val="000000" w:themeColor="text1"/>
                <w:sz w:val="21"/>
                <w:szCs w:val="21"/>
                <w:vertAlign w:val="superscript"/>
                <w:lang w:val="en-US" w:eastAsia="zh-CN"/>
              </w:rPr>
              <w:t>3</w:t>
            </w:r>
          </w:p>
        </w:tc>
        <w:tc>
          <w:tcPr>
            <w:tcW w:w="107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96000</w:t>
            </w:r>
          </w:p>
        </w:tc>
        <w:tc>
          <w:tcPr>
            <w:tcW w:w="109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0.039</w:t>
            </w:r>
          </w:p>
        </w:tc>
        <w:tc>
          <w:tcPr>
            <w:tcW w:w="102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94"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由</w:t>
      </w:r>
      <w:r>
        <w:rPr>
          <w:rFonts w:hint="eastAsia" w:ascii="Times New Roman" w:hAnsi="Times New Roman" w:eastAsia="宋体" w:cs="Times New Roman"/>
          <w:color w:val="000000" w:themeColor="text1"/>
          <w:sz w:val="24"/>
          <w:szCs w:val="24"/>
          <w:lang w:eastAsia="zh-CN"/>
        </w:rPr>
        <w:t>上表</w:t>
      </w:r>
      <w:r>
        <w:rPr>
          <w:rFonts w:hint="default" w:ascii="Times New Roman" w:hAnsi="Times New Roman" w:eastAsia="宋体" w:cs="Times New Roman"/>
          <w:color w:val="000000" w:themeColor="text1"/>
          <w:sz w:val="24"/>
          <w:szCs w:val="24"/>
        </w:rPr>
        <w:t>可知，</w:t>
      </w:r>
      <w:r>
        <w:rPr>
          <w:rFonts w:hint="eastAsia" w:ascii="Times New Roman" w:hAnsi="Times New Roman" w:eastAsia="宋体" w:cs="Times New Roman"/>
          <w:color w:val="000000" w:themeColor="text1"/>
          <w:sz w:val="24"/>
          <w:szCs w:val="24"/>
          <w:lang w:eastAsia="zh-CN"/>
        </w:rPr>
        <w:t>本项目各监测点位的</w:t>
      </w:r>
      <w:r>
        <w:rPr>
          <w:rFonts w:hint="default" w:ascii="Times New Roman" w:hAnsi="Times New Roman" w:eastAsia="宋体" w:cs="Times New Roman"/>
          <w:color w:val="000000" w:themeColor="text1"/>
          <w:sz w:val="24"/>
          <w:szCs w:val="24"/>
        </w:rPr>
        <w:t>监测值均符合《土壤环境质量 建设用地土壤污染风险管控标准》（试行）（GB36600-2018）筛选值第二类用地标准限值，说明土壤环境质量较好。 特征因子钡监测值符合加拿大标准《</w:t>
      </w:r>
      <w:r>
        <w:rPr>
          <w:rFonts w:hint="default" w:ascii="Times New Roman" w:hAnsi="Times New Roman" w:eastAsia="宋体" w:cs="Times New Roman"/>
          <w:b/>
          <w:color w:val="000000" w:themeColor="text1"/>
          <w:sz w:val="24"/>
          <w:szCs w:val="24"/>
        </w:rPr>
        <w:t xml:space="preserve">Canadian Soil Quality Guidelines for the Protection of Environmental and Human Health </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b/>
          <w:color w:val="000000" w:themeColor="text1"/>
          <w:sz w:val="24"/>
          <w:szCs w:val="24"/>
        </w:rPr>
        <w:t>Barium 2013</w:t>
      </w:r>
      <w:r>
        <w:rPr>
          <w:rFonts w:hint="default" w:ascii="Times New Roman" w:hAnsi="Times New Roman" w:eastAsia="宋体" w:cs="Times New Roman"/>
          <w:color w:val="000000" w:themeColor="text1"/>
          <w:sz w:val="24"/>
          <w:szCs w:val="24"/>
        </w:rPr>
        <w:t>）中沉积物质量基准工业标准96000mg/kg。</w:t>
      </w:r>
    </w:p>
    <w:p>
      <w:pPr>
        <w:pStyle w:val="4"/>
        <w:rPr>
          <w:rFonts w:hint="eastAsia"/>
          <w:color w:val="000000" w:themeColor="text1"/>
          <w:lang w:val="en-US" w:eastAsia="zh-CN"/>
        </w:rPr>
      </w:pPr>
      <w:bookmarkStart w:id="753" w:name="_Toc28939"/>
      <w:r>
        <w:rPr>
          <w:rFonts w:hint="eastAsia"/>
          <w:color w:val="000000" w:themeColor="text1"/>
          <w:lang w:val="en-US" w:eastAsia="zh-CN"/>
        </w:rPr>
        <w:t>生态现状调查与评价</w:t>
      </w:r>
      <w:bookmarkEnd w:id="753"/>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1</w:t>
      </w: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生态功能区划</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color w:val="000000" w:themeColor="text1"/>
          <w:sz w:val="24"/>
          <w:szCs w:val="24"/>
        </w:rPr>
      </w:pPr>
      <w:r>
        <w:rPr>
          <w:color w:val="000000" w:themeColor="text1"/>
          <w:sz w:val="24"/>
          <w:szCs w:val="24"/>
        </w:rPr>
        <w:t>根据《陕西省生态功能区划》，项目所在地属于</w:t>
      </w:r>
      <w:r>
        <w:rPr>
          <w:rFonts w:hint="eastAsia"/>
          <w:color w:val="000000" w:themeColor="text1"/>
          <w:sz w:val="24"/>
          <w:szCs w:val="24"/>
        </w:rPr>
        <w:t>一级生态区秦巴山地落叶阔叶、常绿阔叶混交林生态区，二级生态区汉江两岸丘陵盆地农业生态亚区，三级生态区汉江两岸低山丘陵土壤侵蚀控制区，该功能区主要生态服务功能和生态敏感性特征为农业区，土壤侵蚀敏感；生态保护对策为合理规划利用土地，加强坡地水土保持措施，发展经济林、薪炭林和水土保持林，提高林木覆盖率，控制水土流失。</w:t>
      </w:r>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lang w:eastAsia="zh-CN"/>
        </w:rPr>
      </w:pP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2</w:t>
      </w: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评价区域</w:t>
      </w:r>
      <w:r>
        <w:rPr>
          <w:rFonts w:hint="eastAsia" w:ascii="Times New Roman" w:hAnsi="Times New Roman" w:eastAsia="宋体" w:cs="Times New Roman"/>
          <w:b/>
          <w:bCs/>
          <w:color w:val="000000" w:themeColor="text1"/>
          <w:sz w:val="24"/>
          <w:szCs w:val="24"/>
          <w:lang w:eastAsia="zh-CN"/>
        </w:rPr>
        <w:t>土地类型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为了科学准确地反映项目区植被类型、土地利用现状等主要生态环境要素信息，本次工作采用3S技术结合的方法进行环境影响项目区生态环境信息的获取。首先，根据国家或相关行业规范，结合遥感图像的时相与空间分辨率，建立土地利用现状、植被类型分类体系；其次，对Landsat_8遥感图像数据进行投影转换、几何纠正、直方图匹配等预处理；第三，以项目区Landsat_8遥感影像为信息源，结合项目区的相关资料，建立基于土地利用现状、植被类型的分类分级系统的遥感解译标志，采用监督分类及人机交互目视判读对遥感数据进行解译，编制项目区土地利用现状、植被类型生态环境专题图件。第四，采用专业制图软件ARCGIS、ENVI进行专题图件数字化，并进行分类面积统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以Landsat_8数据作为基本信息源，全色空间分辨率15米，经过融合处理后的图像地表信息丰富，有利于生态环境因子遥感解译标志的建立，保证了各生态环境要素解译成果的准确性。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t>在ENVI等遥感图像处理软件的支持下，对Landsat_8影像数据进行了投影转换、辐射定标、大气校正、数据融合等图像预处理。根据土地利用现状、植被类型等生态环境要素的地物光谱特征的差异性，选择真彩色合成方案，图像色彩丰富、层次分明，地类边界明显，有利于生态要素的判读解译</w:t>
      </w:r>
      <w:r>
        <w:rPr>
          <w:rFonts w:hint="default" w:ascii="Times New Roman" w:hAnsi="Times New Roman" w:eastAsia="宋体" w:cs="Times New Roman"/>
          <w:sz w:val="24"/>
          <w:szCs w:val="24"/>
        </w:rPr>
        <w:t>。</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按照《土地利用现状分类标准》（GBT 21010-2017）的进行地类划分，将</w:t>
      </w:r>
      <w:r>
        <w:rPr>
          <w:rFonts w:hint="eastAsia" w:ascii="Times New Roman" w:hAnsi="Times New Roman" w:eastAsia="宋体" w:cs="Times New Roman"/>
          <w:color w:val="000000" w:themeColor="text1"/>
          <w:sz w:val="24"/>
          <w:szCs w:val="24"/>
          <w:lang w:val="en-US" w:eastAsia="zh-CN"/>
        </w:rPr>
        <w:t>评价区</w:t>
      </w:r>
      <w:r>
        <w:rPr>
          <w:rFonts w:hint="default" w:ascii="Times New Roman" w:hAnsi="Times New Roman" w:eastAsia="宋体" w:cs="Times New Roman"/>
          <w:color w:val="000000" w:themeColor="text1"/>
          <w:sz w:val="24"/>
          <w:szCs w:val="24"/>
        </w:rPr>
        <w:t>的土地利用类型划分为旱地、乔木林地、灌木林地、其他草地、农村宅基地、采矿用地、公路用地，共计6个地类。土地利用类型及面积见表4.</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1，土地类型图见附图17。</w:t>
      </w:r>
    </w:p>
    <w:p>
      <w:pPr>
        <w:adjustRightInd w:val="0"/>
        <w:snapToGrid w:val="0"/>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表4.</w:t>
      </w:r>
      <w:r>
        <w:rPr>
          <w:rFonts w:hint="eastAsia" w:ascii="Times New Roman" w:hAnsi="Times New Roman" w:eastAsia="宋体"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rPr>
        <w:t>-1  评价区内土地利用类型及面积统计</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1861"/>
        <w:gridCol w:w="2300"/>
        <w:gridCol w:w="2569"/>
        <w:gridCol w:w="22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261" w:hRule="atLeast"/>
          <w:jc w:val="center"/>
        </w:trPr>
        <w:tc>
          <w:tcPr>
            <w:tcW w:w="1861"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一级类</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二级类</w:t>
            </w:r>
          </w:p>
        </w:tc>
        <w:tc>
          <w:tcPr>
            <w:tcW w:w="2569"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面积（km</w:t>
            </w:r>
            <w:r>
              <w:rPr>
                <w:rFonts w:hint="default" w:ascii="Times New Roman" w:hAnsi="Times New Roman" w:eastAsia="宋体" w:cs="Times New Roman"/>
                <w:color w:val="000000" w:themeColor="text1"/>
                <w:sz w:val="21"/>
                <w:szCs w:val="21"/>
                <w:vertAlign w:val="superscript"/>
              </w:rPr>
              <w:t>2</w:t>
            </w:r>
            <w:r>
              <w:rPr>
                <w:rFonts w:hint="default" w:ascii="Times New Roman" w:hAnsi="Times New Roman" w:eastAsia="宋体" w:cs="Times New Roman"/>
                <w:color w:val="000000" w:themeColor="text1"/>
                <w:sz w:val="21"/>
                <w:szCs w:val="21"/>
              </w:rPr>
              <w:t>）</w:t>
            </w:r>
          </w:p>
        </w:tc>
        <w:tc>
          <w:tcPr>
            <w:tcW w:w="2227"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276" w:hRule="atLeast"/>
          <w:jc w:val="center"/>
        </w:trPr>
        <w:tc>
          <w:tcPr>
            <w:tcW w:w="1861"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地类名称</w:t>
            </w:r>
          </w:p>
        </w:tc>
        <w:tc>
          <w:tcPr>
            <w:tcW w:w="256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222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170" w:hRule="atLeast"/>
          <w:jc w:val="center"/>
        </w:trPr>
        <w:tc>
          <w:tcPr>
            <w:tcW w:w="186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耕地</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旱地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0.42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12.56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35" w:hRule="atLeast"/>
          <w:jc w:val="center"/>
        </w:trPr>
        <w:tc>
          <w:tcPr>
            <w:tcW w:w="1861"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林地</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乔木林地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2.28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67.65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50" w:hRule="atLeast"/>
          <w:jc w:val="center"/>
        </w:trPr>
        <w:tc>
          <w:tcPr>
            <w:tcW w:w="1861"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灌木林地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0.60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17.86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50" w:hRule="atLeast"/>
          <w:jc w:val="center"/>
        </w:trPr>
        <w:tc>
          <w:tcPr>
            <w:tcW w:w="186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草地</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其他草地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0.04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1.06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65" w:hRule="atLeast"/>
          <w:jc w:val="center"/>
        </w:trPr>
        <w:tc>
          <w:tcPr>
            <w:tcW w:w="186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住宅用地</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农村宅基地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0.01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0.35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50" w:hRule="atLeast"/>
          <w:jc w:val="center"/>
        </w:trPr>
        <w:tc>
          <w:tcPr>
            <w:tcW w:w="186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交通运输用地</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公路用地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0.01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20" w:hRule="atLeast"/>
          <w:jc w:val="center"/>
        </w:trPr>
        <w:tc>
          <w:tcPr>
            <w:tcW w:w="186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工矿仓储用地</w:t>
            </w:r>
          </w:p>
        </w:tc>
        <w:tc>
          <w:tcPr>
            <w:tcW w:w="23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采矿用地</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0.01 </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0.29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trHeight w:val="330" w:hRule="atLeast"/>
          <w:jc w:val="center"/>
        </w:trPr>
        <w:tc>
          <w:tcPr>
            <w:tcW w:w="4161"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合计</w:t>
            </w:r>
          </w:p>
        </w:tc>
        <w:tc>
          <w:tcPr>
            <w:tcW w:w="25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3.37</w:t>
            </w:r>
          </w:p>
        </w:tc>
        <w:tc>
          <w:tcPr>
            <w:tcW w:w="22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bl>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lang w:eastAsia="zh-CN"/>
        </w:rPr>
      </w:pPr>
      <w:r>
        <w:rPr>
          <w:rFonts w:hint="default" w:ascii="Times New Roman" w:hAnsi="Times New Roman" w:eastAsia="宋体"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lang w:val="en-US" w:eastAsia="zh-CN"/>
        </w:rPr>
        <w:t>3</w:t>
      </w:r>
      <w:r>
        <w:rPr>
          <w:rFonts w:hint="default" w:ascii="Times New Roman" w:hAnsi="Times New Roman" w:eastAsia="宋体" w:cs="Times New Roman"/>
          <w:b/>
          <w:bCs/>
          <w:color w:val="000000" w:themeColor="text1"/>
          <w:sz w:val="24"/>
          <w:szCs w:val="24"/>
          <w:lang w:eastAsia="zh-CN"/>
        </w:rPr>
        <w:t>）植被区划</w:t>
      </w:r>
    </w:p>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eastAsia"/>
          <w:color w:val="000000" w:themeColor="text1"/>
          <w:sz w:val="24"/>
          <w:szCs w:val="24"/>
        </w:rPr>
      </w:pPr>
      <w:r>
        <w:rPr>
          <w:rFonts w:hint="eastAsia" w:ascii="Times New Roman" w:hAnsi="Times New Roman" w:eastAsia="宋体" w:cs="Times New Roman"/>
          <w:b w:val="0"/>
          <w:bCs w:val="0"/>
          <w:color w:val="000000" w:themeColor="text1"/>
          <w:sz w:val="24"/>
          <w:szCs w:val="24"/>
          <w:lang w:val="en-US" w:eastAsia="zh-CN"/>
        </w:rPr>
        <w:t>根据《中国植被》可知，本项目属于所在地属于亚热带常绿阔叶林区域，地带性植被型为常绿阔叶林，常绿落叶阔叶混交林，季风常绿阔叶林，主要植物区系成分为东亚（中国-日本）成分，中国-喜马拉雅成分，基本地貌特征是东部秦岭与南岭之间的丘陵，山地海拔一般1000m左右，中有四川盆地和长江中下游平原，西部为云贵高原1000~2000m，西缘横断山脉在3000m以上，为高山峡谷地貌。地带性土类为黄棕壤、红壤与砖红壤性红壤，夏季受太平洋东南季风与西南季风作用，冬季东部受寒潮影响，西部受西来大陆干热气团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根据《陕西植被》中的划分，项目区在</w:t>
      </w:r>
      <w:r>
        <w:rPr>
          <w:rFonts w:hint="default" w:ascii="Times New Roman" w:hAnsi="Times New Roman" w:eastAsia="宋体" w:cs="Times New Roman"/>
          <w:color w:val="000000" w:themeColor="text1"/>
          <w:sz w:val="24"/>
          <w:szCs w:val="24"/>
        </w:rPr>
        <w:t>ⅢD</w:t>
      </w:r>
      <w:r>
        <w:rPr>
          <w:rFonts w:hint="default" w:ascii="Times New Roman" w:hAnsi="Times New Roman" w:eastAsia="宋体" w:cs="Times New Roman"/>
          <w:color w:val="000000" w:themeColor="text1"/>
          <w:sz w:val="24"/>
          <w:szCs w:val="24"/>
          <w:vertAlign w:val="subscript"/>
        </w:rPr>
        <w:t>7（26）</w:t>
      </w:r>
      <w:r>
        <w:rPr>
          <w:rFonts w:hint="eastAsia"/>
          <w:color w:val="000000" w:themeColor="text1"/>
          <w:sz w:val="24"/>
          <w:szCs w:val="24"/>
        </w:rPr>
        <w:t>安康盆地低山丘陵多种经营农耕植被小区内，该小区属于常绿阔叶林区域，北亚热带落叶阔叶与常绿阔叶混交林地带中的汉江谷地松栎林及多种经营植被区。</w:t>
      </w:r>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lang w:eastAsia="zh-CN"/>
        </w:rPr>
      </w:pP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4</w:t>
      </w:r>
      <w:r>
        <w:rPr>
          <w:rFonts w:hint="eastAsia" w:ascii="Times New Roman" w:hAnsi="Times New Roman" w:eastAsia="宋体" w:cs="Times New Roman"/>
          <w:b/>
          <w:bCs/>
          <w:color w:val="000000" w:themeColor="text1"/>
          <w:sz w:val="24"/>
          <w:szCs w:val="24"/>
          <w:lang w:eastAsia="zh-CN"/>
        </w:rPr>
        <w:t>）</w:t>
      </w:r>
      <w:r>
        <w:rPr>
          <w:rFonts w:hint="eastAsia" w:ascii="Times New Roman" w:hAnsi="Times New Roman" w:eastAsia="宋体" w:cs="Times New Roman"/>
          <w:b/>
          <w:bCs/>
          <w:color w:val="000000" w:themeColor="text1"/>
          <w:sz w:val="24"/>
          <w:szCs w:val="24"/>
          <w:lang w:val="en-US" w:eastAsia="zh-CN"/>
        </w:rPr>
        <w:t>评价区域</w:t>
      </w:r>
      <w:r>
        <w:rPr>
          <w:rFonts w:hint="eastAsia" w:ascii="Times New Roman" w:hAnsi="Times New Roman" w:eastAsia="宋体" w:cs="Times New Roman"/>
          <w:b/>
          <w:bCs/>
          <w:color w:val="000000" w:themeColor="text1"/>
          <w:sz w:val="24"/>
          <w:szCs w:val="24"/>
          <w:lang w:eastAsia="zh-CN"/>
        </w:rPr>
        <w:t>植被现状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方正书宋简体" w:eastAsia="宋体" w:cs="方正书宋简体"/>
          <w:color w:val="2D2D2D"/>
          <w:kern w:val="0"/>
          <w:sz w:val="24"/>
          <w:szCs w:val="21"/>
          <w:lang w:val="en-US" w:eastAsia="zh-CN" w:bidi="ar"/>
        </w:rPr>
        <w:t>旬阳市植物资源种类繁多，据《秦岭植物志》记载，境内有各种植物近</w:t>
      </w:r>
      <w:r>
        <w:rPr>
          <w:rFonts w:hint="default" w:ascii="Times New Roman" w:hAnsi="Times New Roman" w:cs="Times New Roman" w:eastAsiaTheme="minorEastAsia"/>
          <w:color w:val="2D2D2D"/>
          <w:kern w:val="0"/>
          <w:sz w:val="24"/>
          <w:szCs w:val="21"/>
          <w:lang w:val="en-US" w:eastAsia="zh-CN" w:bidi="ar"/>
        </w:rPr>
        <w:t>5000</w:t>
      </w:r>
      <w:r>
        <w:rPr>
          <w:rFonts w:hint="eastAsia" w:ascii="Times New Roman" w:hAnsi="方正书宋简体" w:eastAsia="宋体" w:cs="方正书宋简体"/>
          <w:color w:val="2D2D2D"/>
          <w:kern w:val="0"/>
          <w:sz w:val="24"/>
          <w:szCs w:val="21"/>
          <w:lang w:val="en-US" w:eastAsia="zh-CN" w:bidi="ar"/>
        </w:rPr>
        <w:t>种。全县森林植物主要有乔木、灌木、藤本植物、草本植物共</w:t>
      </w:r>
      <w:r>
        <w:rPr>
          <w:rFonts w:hint="default" w:ascii="Times New Roman" w:hAnsi="Times New Roman" w:cs="Times New Roman" w:eastAsiaTheme="minorEastAsia"/>
          <w:color w:val="2D2D2D"/>
          <w:kern w:val="0"/>
          <w:sz w:val="24"/>
          <w:szCs w:val="21"/>
          <w:lang w:val="en-US" w:eastAsia="zh-CN" w:bidi="ar"/>
        </w:rPr>
        <w:t>56</w:t>
      </w:r>
      <w:r>
        <w:rPr>
          <w:rFonts w:hint="eastAsia" w:ascii="Times New Roman" w:hAnsi="方正书宋简体" w:eastAsia="宋体" w:cs="方正书宋简体"/>
          <w:color w:val="2D2D2D"/>
          <w:kern w:val="0"/>
          <w:sz w:val="24"/>
          <w:szCs w:val="21"/>
          <w:lang w:val="en-US" w:eastAsia="zh-CN" w:bidi="ar"/>
        </w:rPr>
        <w:t>科</w:t>
      </w:r>
      <w:r>
        <w:rPr>
          <w:rFonts w:hint="default" w:ascii="Times New Roman" w:hAnsi="Times New Roman" w:cs="Times New Roman" w:eastAsiaTheme="minorEastAsia"/>
          <w:color w:val="2D2D2D"/>
          <w:kern w:val="0"/>
          <w:sz w:val="24"/>
          <w:szCs w:val="21"/>
          <w:lang w:val="en-US" w:eastAsia="zh-CN" w:bidi="ar"/>
        </w:rPr>
        <w:t>200</w:t>
      </w:r>
      <w:r>
        <w:rPr>
          <w:rFonts w:hint="eastAsia" w:ascii="Times New Roman" w:hAnsi="方正书宋简体" w:eastAsia="宋体" w:cs="方正书宋简体"/>
          <w:color w:val="2D2D2D"/>
          <w:kern w:val="0"/>
          <w:sz w:val="24"/>
          <w:szCs w:val="21"/>
          <w:lang w:val="en-US" w:eastAsia="zh-CN" w:bidi="ar"/>
        </w:rPr>
        <w:t>多种，呈垂直分布状。亚热带常绿落叶阔叶混交林多分布在海拔秦岭</w:t>
      </w:r>
      <w:r>
        <w:rPr>
          <w:rFonts w:hint="default" w:ascii="Times New Roman" w:hAnsi="Times New Roman" w:cs="Times New Roman" w:eastAsiaTheme="minorEastAsia"/>
          <w:color w:val="2D2D2D"/>
          <w:kern w:val="0"/>
          <w:sz w:val="24"/>
          <w:szCs w:val="21"/>
          <w:lang w:val="en-US" w:eastAsia="zh-CN" w:bidi="ar"/>
        </w:rPr>
        <w:t>200</w:t>
      </w:r>
      <w:r>
        <w:rPr>
          <w:rFonts w:hint="eastAsia" w:ascii="Times New Roman" w:hAnsi="Times New Roman" w:eastAsia="宋体" w:cs="方正书宋简体"/>
          <w:color w:val="2D2D2D"/>
          <w:kern w:val="0"/>
          <w:sz w:val="24"/>
          <w:szCs w:val="21"/>
          <w:lang w:val="en-US" w:eastAsia="zh-CN" w:bidi="ar"/>
        </w:rPr>
        <w:t>—</w:t>
      </w:r>
      <w:r>
        <w:rPr>
          <w:rFonts w:hint="default" w:ascii="Times New Roman" w:hAnsi="Times New Roman" w:cs="Times New Roman" w:eastAsiaTheme="minorEastAsia"/>
          <w:color w:val="2D2D2D"/>
          <w:kern w:val="0"/>
          <w:sz w:val="24"/>
          <w:szCs w:val="21"/>
          <w:lang w:val="en-US" w:eastAsia="zh-CN" w:bidi="ar"/>
        </w:rPr>
        <w:t>800</w:t>
      </w:r>
      <w:r>
        <w:rPr>
          <w:rFonts w:hint="eastAsia" w:ascii="Times New Roman" w:hAnsi="方正书宋简体" w:eastAsia="宋体" w:cs="方正书宋简体"/>
          <w:color w:val="2D2D2D"/>
          <w:kern w:val="0"/>
          <w:sz w:val="24"/>
          <w:szCs w:val="21"/>
          <w:lang w:val="en-US" w:eastAsia="zh-CN" w:bidi="ar"/>
        </w:rPr>
        <w:t>米、巴山</w:t>
      </w:r>
      <w:r>
        <w:rPr>
          <w:rFonts w:hint="default" w:ascii="Times New Roman" w:hAnsi="Times New Roman" w:cs="Times New Roman" w:eastAsiaTheme="minorEastAsia"/>
          <w:color w:val="2D2D2D"/>
          <w:kern w:val="0"/>
          <w:sz w:val="24"/>
          <w:szCs w:val="21"/>
          <w:lang w:val="en-US" w:eastAsia="zh-CN" w:bidi="ar"/>
        </w:rPr>
        <w:t>200</w:t>
      </w:r>
      <w:r>
        <w:rPr>
          <w:rFonts w:hint="eastAsia" w:ascii="Times New Roman" w:hAnsi="Times New Roman" w:eastAsia="宋体" w:cs="方正书宋简体"/>
          <w:color w:val="2D2D2D"/>
          <w:kern w:val="0"/>
          <w:sz w:val="24"/>
          <w:szCs w:val="21"/>
          <w:lang w:val="en-US" w:eastAsia="zh-CN" w:bidi="ar"/>
        </w:rPr>
        <w:t>—</w:t>
      </w:r>
      <w:r>
        <w:rPr>
          <w:rFonts w:hint="default" w:ascii="Times New Roman" w:hAnsi="Times New Roman" w:cs="Times New Roman" w:eastAsiaTheme="minorEastAsia"/>
          <w:color w:val="2D2D2D"/>
          <w:kern w:val="0"/>
          <w:sz w:val="24"/>
          <w:szCs w:val="21"/>
          <w:lang w:val="en-US" w:eastAsia="zh-CN" w:bidi="ar"/>
        </w:rPr>
        <w:t>900</w:t>
      </w:r>
      <w:r>
        <w:rPr>
          <w:rFonts w:hint="eastAsia" w:ascii="Times New Roman" w:hAnsi="方正书宋简体" w:eastAsia="宋体" w:cs="方正书宋简体"/>
          <w:color w:val="2D2D2D"/>
          <w:kern w:val="0"/>
          <w:sz w:val="24"/>
          <w:szCs w:val="21"/>
          <w:lang w:val="en-US" w:eastAsia="zh-CN" w:bidi="ar"/>
        </w:rPr>
        <w:t>米的地方，落叶阔叶林带分布在海拔秦岭</w:t>
      </w:r>
      <w:r>
        <w:rPr>
          <w:rFonts w:hint="default" w:ascii="Times New Roman" w:hAnsi="Times New Roman" w:cs="Times New Roman" w:eastAsiaTheme="minorEastAsia"/>
          <w:color w:val="2D2D2D"/>
          <w:kern w:val="0"/>
          <w:sz w:val="24"/>
          <w:szCs w:val="21"/>
          <w:lang w:val="en-US" w:eastAsia="zh-CN" w:bidi="ar"/>
        </w:rPr>
        <w:t>800</w:t>
      </w:r>
      <w:r>
        <w:rPr>
          <w:rFonts w:hint="eastAsia" w:ascii="Times New Roman" w:hAnsi="Times New Roman" w:eastAsia="宋体" w:cs="方正书宋简体"/>
          <w:color w:val="2D2D2D"/>
          <w:kern w:val="0"/>
          <w:sz w:val="24"/>
          <w:szCs w:val="21"/>
          <w:lang w:val="en-US" w:eastAsia="zh-CN" w:bidi="ar"/>
        </w:rPr>
        <w:t>—</w:t>
      </w:r>
      <w:r>
        <w:rPr>
          <w:rFonts w:hint="default" w:ascii="Times New Roman" w:hAnsi="Times New Roman" w:cs="Times New Roman" w:eastAsiaTheme="minorEastAsia"/>
          <w:color w:val="2D2D2D"/>
          <w:kern w:val="0"/>
          <w:sz w:val="24"/>
          <w:szCs w:val="21"/>
          <w:lang w:val="en-US" w:eastAsia="zh-CN" w:bidi="ar"/>
        </w:rPr>
        <w:t>1800</w:t>
      </w:r>
      <w:r>
        <w:rPr>
          <w:rFonts w:hint="eastAsia" w:ascii="Times New Roman" w:hAnsi="方正书宋简体" w:eastAsia="宋体" w:cs="方正书宋简体"/>
          <w:color w:val="2D2D2D"/>
          <w:kern w:val="0"/>
          <w:sz w:val="24"/>
          <w:szCs w:val="21"/>
          <w:lang w:val="en-US" w:eastAsia="zh-CN" w:bidi="ar"/>
        </w:rPr>
        <w:t>米、巴山</w:t>
      </w:r>
      <w:r>
        <w:rPr>
          <w:rFonts w:hint="default" w:ascii="Times New Roman" w:hAnsi="Times New Roman" w:cs="Times New Roman" w:eastAsiaTheme="minorEastAsia"/>
          <w:color w:val="2D2D2D"/>
          <w:kern w:val="0"/>
          <w:sz w:val="24"/>
          <w:szCs w:val="21"/>
          <w:lang w:val="en-US" w:eastAsia="zh-CN" w:bidi="ar"/>
        </w:rPr>
        <w:t>900</w:t>
      </w:r>
      <w:r>
        <w:rPr>
          <w:rFonts w:hint="eastAsia" w:ascii="Times New Roman" w:hAnsi="Times New Roman" w:eastAsia="宋体" w:cs="方正书宋简体"/>
          <w:color w:val="2D2D2D"/>
          <w:kern w:val="0"/>
          <w:sz w:val="24"/>
          <w:szCs w:val="21"/>
          <w:lang w:val="en-US" w:eastAsia="zh-CN" w:bidi="ar"/>
        </w:rPr>
        <w:t>—</w:t>
      </w:r>
      <w:r>
        <w:rPr>
          <w:rFonts w:hint="default" w:ascii="Times New Roman" w:hAnsi="Times New Roman" w:cs="Times New Roman" w:eastAsiaTheme="minorEastAsia"/>
          <w:color w:val="2D2D2D"/>
          <w:kern w:val="0"/>
          <w:sz w:val="24"/>
          <w:szCs w:val="21"/>
          <w:lang w:val="en-US" w:eastAsia="zh-CN" w:bidi="ar"/>
        </w:rPr>
        <w:t>1816.6</w:t>
      </w:r>
      <w:r>
        <w:rPr>
          <w:rFonts w:hint="eastAsia" w:ascii="Times New Roman" w:hAnsi="方正书宋简体" w:eastAsia="宋体" w:cs="方正书宋简体"/>
          <w:color w:val="2D2D2D"/>
          <w:kern w:val="0"/>
          <w:sz w:val="24"/>
          <w:szCs w:val="21"/>
          <w:lang w:val="en-US" w:eastAsia="zh-CN" w:bidi="ar"/>
        </w:rPr>
        <w:t>米。落叶混杂林带分布在海拔</w:t>
      </w:r>
      <w:r>
        <w:rPr>
          <w:rFonts w:hint="default" w:ascii="Times New Roman" w:hAnsi="Times New Roman" w:cs="Times New Roman" w:eastAsiaTheme="minorEastAsia"/>
          <w:color w:val="2D2D2D"/>
          <w:kern w:val="0"/>
          <w:sz w:val="24"/>
          <w:szCs w:val="21"/>
          <w:lang w:val="en-US" w:eastAsia="zh-CN" w:bidi="ar"/>
        </w:rPr>
        <w:t>800</w:t>
      </w:r>
      <w:r>
        <w:rPr>
          <w:rFonts w:hint="eastAsia" w:ascii="Times New Roman" w:hAnsi="Times New Roman" w:eastAsia="宋体" w:cs="方正书宋简体"/>
          <w:color w:val="2D2D2D"/>
          <w:kern w:val="0"/>
          <w:sz w:val="24"/>
          <w:szCs w:val="21"/>
          <w:lang w:val="en-US" w:eastAsia="zh-CN" w:bidi="ar"/>
        </w:rPr>
        <w:t>—</w:t>
      </w:r>
      <w:r>
        <w:rPr>
          <w:rFonts w:hint="default" w:ascii="Times New Roman" w:hAnsi="Times New Roman" w:cs="Times New Roman" w:eastAsiaTheme="minorEastAsia"/>
          <w:color w:val="2D2D2D"/>
          <w:kern w:val="0"/>
          <w:sz w:val="24"/>
          <w:szCs w:val="21"/>
          <w:lang w:val="en-US" w:eastAsia="zh-CN" w:bidi="ar"/>
        </w:rPr>
        <w:t>2358.4</w:t>
      </w:r>
      <w:r>
        <w:rPr>
          <w:rFonts w:hint="eastAsia" w:ascii="Times New Roman" w:hAnsi="方正书宋简体" w:eastAsia="宋体" w:cs="方正书宋简体"/>
          <w:color w:val="2D2D2D"/>
          <w:kern w:val="0"/>
          <w:sz w:val="24"/>
          <w:szCs w:val="21"/>
          <w:lang w:val="en-US" w:eastAsia="zh-CN" w:bidi="ar"/>
        </w:rPr>
        <w:t>米间。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评价区的植物种类繁多，阔叶林主要有山阳、椿树、杉树、毛竹等；灌木林主要有马桑、荆条、胡枝子灌木林；草本主要有白茅、青蒿等杂草。栽培植被主要为农作物，如玉米、红薯、豆类、油菜等。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根据解译结果，</w:t>
      </w:r>
      <w:r>
        <w:rPr>
          <w:rFonts w:hint="eastAsia" w:ascii="Times New Roman" w:hAnsi="Times New Roman" w:eastAsia="宋体" w:cs="Times New Roman"/>
          <w:color w:val="000000" w:themeColor="text1"/>
          <w:sz w:val="24"/>
          <w:szCs w:val="24"/>
          <w:lang w:val="en-US" w:eastAsia="zh-CN"/>
        </w:rPr>
        <w:t>评价区域</w:t>
      </w:r>
      <w:r>
        <w:rPr>
          <w:rFonts w:hint="default" w:ascii="Times New Roman" w:hAnsi="Times New Roman" w:eastAsia="宋体" w:cs="Times New Roman"/>
          <w:color w:val="000000" w:themeColor="text1"/>
          <w:sz w:val="24"/>
          <w:szCs w:val="24"/>
        </w:rPr>
        <w:t>植被类型面积见表4.</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2，植被类型图见附图16。</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000000" w:themeColor="text1"/>
          <w:sz w:val="21"/>
          <w:szCs w:val="21"/>
        </w:rPr>
      </w:pPr>
      <w:r>
        <w:rPr>
          <w:rFonts w:hint="default" w:ascii="Times New Roman" w:hAnsi="Times New Roman" w:eastAsia="宋体" w:cs="Times New Roman"/>
          <w:b/>
          <w:bCs/>
          <w:color w:val="000000" w:themeColor="text1"/>
          <w:sz w:val="21"/>
          <w:szCs w:val="21"/>
        </w:rPr>
        <w:t>表4.</w:t>
      </w:r>
      <w:r>
        <w:rPr>
          <w:rFonts w:hint="eastAsia" w:ascii="Times New Roman" w:hAnsi="Times New Roman" w:eastAsia="宋体"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bCs/>
          <w:color w:val="000000" w:themeColor="text1"/>
          <w:sz w:val="21"/>
          <w:szCs w:val="21"/>
          <w:lang w:val="en-US"/>
        </w:rPr>
        <w:t xml:space="preserve"> </w:t>
      </w:r>
      <w:r>
        <w:rPr>
          <w:rFonts w:hint="default" w:ascii="Times New Roman" w:hAnsi="Times New Roman" w:eastAsia="宋体" w:cs="Times New Roman"/>
          <w:b/>
          <w:bCs/>
          <w:color w:val="000000" w:themeColor="text1"/>
          <w:sz w:val="21"/>
          <w:szCs w:val="21"/>
        </w:rPr>
        <w:t>矿区内植被类型面积统计表</w:t>
      </w:r>
    </w:p>
    <w:tbl>
      <w:tblPr>
        <w:tblStyle w:val="39"/>
        <w:tblW w:w="895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
      <w:tblGrid>
        <w:gridCol w:w="1459"/>
        <w:gridCol w:w="3669"/>
        <w:gridCol w:w="1979"/>
        <w:gridCol w:w="18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trHeight w:val="344" w:hRule="atLeast"/>
          <w:jc w:val="center"/>
        </w:trPr>
        <w:tc>
          <w:tcPr>
            <w:tcW w:w="1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大类</w:t>
            </w: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名称</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面积</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km</w:t>
            </w:r>
            <w:r>
              <w:rPr>
                <w:rFonts w:hint="default" w:ascii="Times New Roman" w:hAnsi="Times New Roman" w:eastAsia="宋体" w:cs="Times New Roman"/>
                <w:color w:val="000000" w:themeColor="text1"/>
                <w:sz w:val="21"/>
                <w:szCs w:val="21"/>
                <w:vertAlign w:val="superscript"/>
              </w:rPr>
              <w:t>2</w:t>
            </w:r>
            <w:r>
              <w:rPr>
                <w:rFonts w:hint="eastAsia" w:ascii="Times New Roman" w:hAnsi="Times New Roman" w:eastAsia="宋体" w:cs="Times New Roman"/>
                <w:color w:val="000000" w:themeColor="text1"/>
                <w:sz w:val="21"/>
                <w:szCs w:val="21"/>
                <w:lang w:eastAsia="zh-CN"/>
              </w:rPr>
              <w:t>）</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比例</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jc w:val="center"/>
        </w:trPr>
        <w:tc>
          <w:tcPr>
            <w:tcW w:w="14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阔叶林</w:t>
            </w: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山杨、椿树落叶阔叶林</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1.13</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33.44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jc w:val="center"/>
        </w:trPr>
        <w:tc>
          <w:tcPr>
            <w:tcW w:w="14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杉树、毛竹常绿混交林</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1.15</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34.22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jc w:val="center"/>
        </w:trPr>
        <w:tc>
          <w:tcPr>
            <w:tcW w:w="1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灌木林</w:t>
            </w: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马桑、荆条、胡枝子灌木林</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0.60</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17.86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trHeight w:val="207" w:hRule="atLeast"/>
          <w:jc w:val="center"/>
        </w:trPr>
        <w:tc>
          <w:tcPr>
            <w:tcW w:w="1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草丛</w:t>
            </w: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白茅、青蒿杂草类草地</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1.06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jc w:val="center"/>
        </w:trPr>
        <w:tc>
          <w:tcPr>
            <w:tcW w:w="1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栽培植被</w:t>
            </w: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栽培植被</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0.42</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12.56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jc w:val="center"/>
        </w:trPr>
        <w:tc>
          <w:tcPr>
            <w:tcW w:w="1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非植被区</w:t>
            </w:r>
          </w:p>
        </w:tc>
        <w:tc>
          <w:tcPr>
            <w:tcW w:w="3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居民区、公路等</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0.87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57" w:type="dxa"/>
            <w:bottom w:w="85" w:type="dxa"/>
            <w:right w:w="57" w:type="dxa"/>
          </w:tblCellMar>
        </w:tblPrEx>
        <w:trPr>
          <w:trHeight w:val="324" w:hRule="atLeast"/>
          <w:jc w:val="center"/>
        </w:trPr>
        <w:tc>
          <w:tcPr>
            <w:tcW w:w="512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合计</w:t>
            </w:r>
          </w:p>
        </w:tc>
        <w:tc>
          <w:tcPr>
            <w:tcW w:w="1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3.37</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r>
    </w:tbl>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eastAsia" w:ascii="Times New Roman" w:hAnsi="Times New Roman" w:eastAsia="宋体" w:cs="Times New Roman"/>
          <w:b/>
          <w:bCs/>
          <w:color w:val="FF0000"/>
          <w:sz w:val="24"/>
          <w:szCs w:val="24"/>
          <w:lang w:eastAsia="zh-CN"/>
        </w:rPr>
      </w:pPr>
      <w:r>
        <w:rPr>
          <w:rFonts w:hint="eastAsia" w:ascii="Times New Roman" w:hAnsi="Times New Roman" w:eastAsia="宋体" w:cs="Times New Roman"/>
          <w:b/>
          <w:bCs/>
          <w:color w:val="FF0000"/>
          <w:sz w:val="24"/>
          <w:szCs w:val="24"/>
          <w:lang w:eastAsia="zh-CN"/>
        </w:rPr>
        <w:t>（</w:t>
      </w:r>
      <w:r>
        <w:rPr>
          <w:rFonts w:hint="eastAsia" w:ascii="Times New Roman" w:hAnsi="Times New Roman" w:eastAsia="宋体" w:cs="Times New Roman"/>
          <w:b/>
          <w:bCs/>
          <w:color w:val="FF0000"/>
          <w:sz w:val="24"/>
          <w:szCs w:val="24"/>
          <w:lang w:val="en-US" w:eastAsia="zh-CN"/>
        </w:rPr>
        <w:t>5</w:t>
      </w:r>
      <w:r>
        <w:rPr>
          <w:rFonts w:hint="eastAsia" w:ascii="Times New Roman" w:hAnsi="Times New Roman" w:eastAsia="宋体" w:cs="Times New Roman"/>
          <w:b/>
          <w:bCs/>
          <w:color w:val="FF0000"/>
          <w:sz w:val="24"/>
          <w:szCs w:val="24"/>
          <w:lang w:eastAsia="zh-CN"/>
        </w:rPr>
        <w:t>）评价区土壤侵蚀现状</w:t>
      </w:r>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eastAsia="zh-CN"/>
        </w:rPr>
        <w:t>本项目的制作软件为</w:t>
      </w:r>
      <w:r>
        <w:rPr>
          <w:rFonts w:hint="eastAsia" w:ascii="Times New Roman" w:hAnsi="Times New Roman" w:eastAsia="宋体" w:cs="Times New Roman"/>
          <w:b w:val="0"/>
          <w:bCs w:val="0"/>
          <w:color w:val="FF0000"/>
          <w:sz w:val="24"/>
          <w:szCs w:val="24"/>
          <w:lang w:val="en-US" w:eastAsia="zh-CN"/>
        </w:rPr>
        <w:t>ArcGIS NV，数据源为ZY-3，分辨率为2.1米，成像时间为2021年5月，根据成果得到土壤侵蚀图和土壤侵蚀强度面积统计表。</w:t>
      </w:r>
    </w:p>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jc w:val="center"/>
        <w:textAlignment w:val="auto"/>
        <w:outlineLvl w:val="9"/>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eastAsia="zh-CN"/>
        </w:rPr>
        <w:t>表</w:t>
      </w:r>
      <w:r>
        <w:rPr>
          <w:rFonts w:hint="eastAsia" w:ascii="Times New Roman" w:hAnsi="Times New Roman" w:eastAsia="宋体" w:cs="Times New Roman"/>
          <w:b/>
          <w:bCs/>
          <w:color w:val="FF0000"/>
          <w:sz w:val="21"/>
          <w:szCs w:val="21"/>
          <w:lang w:val="en-US" w:eastAsia="zh-CN"/>
        </w:rPr>
        <w:t>4.3-3  土壤侵蚀强度面积统计表</w:t>
      </w:r>
    </w:p>
    <w:tbl>
      <w:tblPr>
        <w:tblStyle w:val="39"/>
        <w:tblW w:w="895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3142"/>
        <w:gridCol w:w="1697"/>
        <w:gridCol w:w="1504"/>
        <w:gridCol w:w="26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374" w:hRule="atLeast"/>
        </w:trPr>
        <w:tc>
          <w:tcPr>
            <w:tcW w:w="8957"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土壤侵蚀强度面积统计表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39" w:hRule="atLeast"/>
        </w:trPr>
        <w:tc>
          <w:tcPr>
            <w:tcW w:w="314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土壤侵蚀强度</w:t>
            </w:r>
          </w:p>
        </w:tc>
        <w:tc>
          <w:tcPr>
            <w:tcW w:w="5815"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矿区范围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39" w:hRule="atLeast"/>
        </w:trPr>
        <w:tc>
          <w:tcPr>
            <w:tcW w:w="31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FF0000"/>
                <w:sz w:val="21"/>
                <w:szCs w:val="21"/>
                <w:u w:val="none"/>
              </w:rPr>
            </w:pPr>
          </w:p>
        </w:tc>
        <w:tc>
          <w:tcPr>
            <w:tcW w:w="16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图斑数（个）</w:t>
            </w:r>
          </w:p>
        </w:tc>
        <w:tc>
          <w:tcPr>
            <w:tcW w:w="150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面积(hm2)</w:t>
            </w:r>
          </w:p>
        </w:tc>
        <w:tc>
          <w:tcPr>
            <w:tcW w:w="2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百分比(%)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57" w:hRule="atLeast"/>
        </w:trPr>
        <w:tc>
          <w:tcPr>
            <w:tcW w:w="31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微度侵蚀</w:t>
            </w:r>
          </w:p>
        </w:tc>
        <w:tc>
          <w:tcPr>
            <w:tcW w:w="16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636</w:t>
            </w:r>
          </w:p>
        </w:tc>
        <w:tc>
          <w:tcPr>
            <w:tcW w:w="150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170.83 </w:t>
            </w:r>
          </w:p>
        </w:tc>
        <w:tc>
          <w:tcPr>
            <w:tcW w:w="2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71.64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58" w:hRule="atLeast"/>
        </w:trPr>
        <w:tc>
          <w:tcPr>
            <w:tcW w:w="31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轻度侵蚀</w:t>
            </w:r>
          </w:p>
        </w:tc>
        <w:tc>
          <w:tcPr>
            <w:tcW w:w="16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258</w:t>
            </w:r>
          </w:p>
        </w:tc>
        <w:tc>
          <w:tcPr>
            <w:tcW w:w="150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41.30 </w:t>
            </w:r>
          </w:p>
        </w:tc>
        <w:tc>
          <w:tcPr>
            <w:tcW w:w="2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17.32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58" w:hRule="atLeast"/>
        </w:trPr>
        <w:tc>
          <w:tcPr>
            <w:tcW w:w="31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中度侵蚀</w:t>
            </w:r>
          </w:p>
        </w:tc>
        <w:tc>
          <w:tcPr>
            <w:tcW w:w="16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79</w:t>
            </w:r>
          </w:p>
        </w:tc>
        <w:tc>
          <w:tcPr>
            <w:tcW w:w="150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22.38 </w:t>
            </w:r>
          </w:p>
        </w:tc>
        <w:tc>
          <w:tcPr>
            <w:tcW w:w="2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9.39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58" w:hRule="atLeast"/>
        </w:trPr>
        <w:tc>
          <w:tcPr>
            <w:tcW w:w="3142" w:type="dxa"/>
            <w:tcBorders>
              <w:tl2br w:val="nil"/>
              <w:tr2bl w:val="nil"/>
            </w:tcBorders>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强烈侵蚀</w:t>
            </w:r>
          </w:p>
        </w:tc>
        <w:tc>
          <w:tcPr>
            <w:tcW w:w="1697" w:type="dxa"/>
            <w:tcBorders>
              <w:tl2br w:val="nil"/>
              <w:tr2bl w:val="nil"/>
            </w:tcBorders>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14</w:t>
            </w:r>
          </w:p>
        </w:tc>
        <w:tc>
          <w:tcPr>
            <w:tcW w:w="150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3.95 </w:t>
            </w:r>
          </w:p>
        </w:tc>
        <w:tc>
          <w:tcPr>
            <w:tcW w:w="2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1.65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49" w:hRule="atLeast"/>
        </w:trPr>
        <w:tc>
          <w:tcPr>
            <w:tcW w:w="3142" w:type="dxa"/>
            <w:tcBorders>
              <w:tl2br w:val="nil"/>
              <w:tr2bl w:val="nil"/>
            </w:tcBorders>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合计</w:t>
            </w:r>
          </w:p>
        </w:tc>
        <w:tc>
          <w:tcPr>
            <w:tcW w:w="1697" w:type="dxa"/>
            <w:tcBorders>
              <w:tl2br w:val="nil"/>
              <w:tr2bl w:val="nil"/>
            </w:tcBorders>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987</w:t>
            </w:r>
          </w:p>
        </w:tc>
        <w:tc>
          <w:tcPr>
            <w:tcW w:w="150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238.45 </w:t>
            </w:r>
          </w:p>
        </w:tc>
        <w:tc>
          <w:tcPr>
            <w:tcW w:w="2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 xml:space="preserve">100.00 </w:t>
            </w:r>
          </w:p>
        </w:tc>
      </w:tr>
    </w:tbl>
    <w:p>
      <w:pPr>
        <w:keepNext/>
        <w:keepLines/>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2" w:firstLineChars="200"/>
        <w:jc w:val="left"/>
        <w:textAlignment w:val="auto"/>
        <w:outlineLvl w:val="9"/>
        <w:rPr>
          <w:rFonts w:hint="eastAsia" w:ascii="Times New Roman" w:hAnsi="Times New Roman" w:eastAsia="宋体" w:cs="Times New Roman"/>
          <w:b/>
          <w:bCs/>
          <w:color w:val="FF0000"/>
          <w:sz w:val="24"/>
          <w:szCs w:val="24"/>
          <w:lang w:eastAsia="zh-CN"/>
        </w:rPr>
      </w:pPr>
      <w:r>
        <w:rPr>
          <w:rFonts w:hint="eastAsia" w:ascii="Times New Roman" w:hAnsi="Times New Roman" w:eastAsia="宋体" w:cs="Times New Roman"/>
          <w:b/>
          <w:bCs/>
          <w:color w:val="FF0000"/>
          <w:sz w:val="24"/>
          <w:szCs w:val="24"/>
          <w:lang w:eastAsia="zh-CN"/>
        </w:rPr>
        <w:t>（</w:t>
      </w:r>
      <w:r>
        <w:rPr>
          <w:rFonts w:hint="eastAsia" w:ascii="Times New Roman" w:hAnsi="Times New Roman" w:eastAsia="宋体" w:cs="Times New Roman"/>
          <w:b/>
          <w:bCs/>
          <w:color w:val="FF0000"/>
          <w:sz w:val="24"/>
          <w:szCs w:val="24"/>
          <w:lang w:val="en-US" w:eastAsia="zh-CN"/>
        </w:rPr>
        <w:t>6</w:t>
      </w:r>
      <w:r>
        <w:rPr>
          <w:rFonts w:hint="eastAsia" w:ascii="Times New Roman" w:hAnsi="Times New Roman" w:eastAsia="宋体" w:cs="Times New Roman"/>
          <w:b/>
          <w:bCs/>
          <w:color w:val="FF0000"/>
          <w:sz w:val="24"/>
          <w:szCs w:val="24"/>
          <w:lang w:eastAsia="zh-CN"/>
        </w:rPr>
        <w:t>）项目区动物资源现状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olor w:val="FF0000"/>
          <w:sz w:val="24"/>
          <w:szCs w:val="24"/>
        </w:rPr>
      </w:pPr>
      <w:r>
        <w:rPr>
          <w:rFonts w:hint="eastAsia" w:ascii="Times New Roman" w:hAnsi="方正书宋简体" w:eastAsia="宋体" w:cs="方正书宋简体"/>
          <w:color w:val="FF0000"/>
          <w:kern w:val="0"/>
          <w:sz w:val="24"/>
          <w:szCs w:val="21"/>
          <w:lang w:val="en-US" w:eastAsia="zh-CN" w:bidi="ar"/>
        </w:rPr>
        <w:t>旬阳市动物资源主要有家畜和野生动物。境内野生动物资源种类繁多，分布较广。在境内的秦岭南羊山地区，脊椎动物居多。县域野生动物有</w:t>
      </w:r>
      <w:r>
        <w:rPr>
          <w:rFonts w:hint="default" w:ascii="Times New Roman" w:hAnsi="Times New Roman" w:cs="Times New Roman" w:eastAsiaTheme="minorEastAsia"/>
          <w:color w:val="FF0000"/>
          <w:kern w:val="0"/>
          <w:sz w:val="24"/>
          <w:szCs w:val="21"/>
          <w:lang w:val="en-US" w:eastAsia="zh-CN" w:bidi="ar"/>
        </w:rPr>
        <w:t>15</w:t>
      </w:r>
      <w:r>
        <w:rPr>
          <w:rFonts w:hint="eastAsia" w:ascii="Times New Roman" w:hAnsi="方正书宋简体" w:eastAsia="宋体" w:cs="方正书宋简体"/>
          <w:color w:val="FF0000"/>
          <w:kern w:val="0"/>
          <w:sz w:val="24"/>
          <w:szCs w:val="21"/>
          <w:lang w:val="en-US" w:eastAsia="zh-CN" w:bidi="ar"/>
        </w:rPr>
        <w:t>个目、</w:t>
      </w:r>
      <w:r>
        <w:rPr>
          <w:rFonts w:hint="default" w:ascii="Times New Roman" w:hAnsi="Times New Roman" w:cs="Times New Roman" w:eastAsiaTheme="minorEastAsia"/>
          <w:color w:val="FF0000"/>
          <w:kern w:val="0"/>
          <w:sz w:val="24"/>
          <w:szCs w:val="21"/>
          <w:lang w:val="en-US" w:eastAsia="zh-CN" w:bidi="ar"/>
        </w:rPr>
        <w:t>34</w:t>
      </w:r>
      <w:r>
        <w:rPr>
          <w:rFonts w:hint="eastAsia" w:ascii="Times New Roman" w:hAnsi="方正书宋简体" w:eastAsia="宋体" w:cs="方正书宋简体"/>
          <w:color w:val="FF0000"/>
          <w:kern w:val="0"/>
          <w:sz w:val="24"/>
          <w:szCs w:val="21"/>
          <w:lang w:val="en-US" w:eastAsia="zh-CN" w:bidi="ar"/>
        </w:rPr>
        <w:t>个科、</w:t>
      </w:r>
      <w:r>
        <w:rPr>
          <w:rFonts w:hint="default" w:ascii="Times New Roman" w:hAnsi="Times New Roman" w:cs="Times New Roman" w:eastAsiaTheme="minorEastAsia"/>
          <w:color w:val="FF0000"/>
          <w:kern w:val="0"/>
          <w:sz w:val="24"/>
          <w:szCs w:val="21"/>
          <w:lang w:val="en-US" w:eastAsia="zh-CN" w:bidi="ar"/>
        </w:rPr>
        <w:t>108</w:t>
      </w:r>
      <w:r>
        <w:rPr>
          <w:rFonts w:hint="eastAsia" w:ascii="Times New Roman" w:hAnsi="方正书宋简体" w:eastAsia="宋体" w:cs="方正书宋简体"/>
          <w:color w:val="FF0000"/>
          <w:kern w:val="0"/>
          <w:sz w:val="24"/>
          <w:szCs w:val="21"/>
          <w:lang w:val="en-US" w:eastAsia="zh-CN" w:bidi="ar"/>
        </w:rPr>
        <w:t>种，除列为国家保护对象的林麝、大鲵、苏门羚、金钱豹、青羊、原猫、大灵猫、红腹角雉、白冠长尾雉、金鸡、金雕等珍稀动物外，还有水獭、果子狸、獾、熊、野猪、豺狼、貂、麂子、獐子、兔、松鼠、黄鼬、龟、蛇、蟾蜍、豪猪等爬行动物和飞虎、飞鼠、啄木鸟、猫头鹰、蝙蝠、燕子、灰喜鹊、画眉、黄鹂、乌鸦、岩鸽、斑鸠、鹦鹉、野鸭、白鹭、鹳、鸢、莺等鸟类动物。</w:t>
      </w:r>
      <w:r>
        <w:rPr>
          <w:rFonts w:hint="default" w:ascii="Times New Roman" w:hAnsi="Times New Roman" w:cs="Times New Roman" w:eastAsiaTheme="minorEastAsia"/>
          <w:color w:val="FF0000"/>
          <w:kern w:val="0"/>
          <w:sz w:val="24"/>
          <w:szCs w:val="21"/>
          <w:lang w:val="en-US" w:eastAsia="zh-CN" w:bidi="ar"/>
        </w:rPr>
        <w:t>1998</w:t>
      </w:r>
      <w:r>
        <w:rPr>
          <w:rFonts w:hint="eastAsia" w:ascii="Times New Roman" w:hAnsi="方正书宋简体" w:eastAsia="宋体" w:cs="方正书宋简体"/>
          <w:color w:val="FF0000"/>
          <w:kern w:val="0"/>
          <w:sz w:val="24"/>
          <w:szCs w:val="21"/>
          <w:lang w:val="en-US" w:eastAsia="zh-CN" w:bidi="ar"/>
        </w:rPr>
        <w:t>年</w:t>
      </w:r>
      <w:r>
        <w:rPr>
          <w:rFonts w:hint="default" w:ascii="Times New Roman" w:hAnsi="Times New Roman" w:cs="Times New Roman" w:eastAsiaTheme="minorEastAsia"/>
          <w:color w:val="FF0000"/>
          <w:kern w:val="0"/>
          <w:sz w:val="24"/>
          <w:szCs w:val="21"/>
          <w:lang w:val="en-US" w:eastAsia="zh-CN" w:bidi="ar"/>
        </w:rPr>
        <w:t>12</w:t>
      </w:r>
      <w:r>
        <w:rPr>
          <w:rFonts w:hint="eastAsia" w:ascii="Times New Roman" w:hAnsi="方正书宋简体" w:eastAsia="宋体" w:cs="方正书宋简体"/>
          <w:color w:val="FF0000"/>
          <w:kern w:val="0"/>
          <w:sz w:val="24"/>
          <w:szCs w:val="21"/>
          <w:lang w:val="en-US" w:eastAsia="zh-CN" w:bidi="ar"/>
        </w:rPr>
        <w:t>月，对县境内野生动物再作调查，发现除上部县志记载的目、科、种外，新发现鸟类实体</w:t>
      </w:r>
      <w:r>
        <w:rPr>
          <w:rFonts w:hint="default" w:ascii="Times New Roman" w:hAnsi="Times New Roman" w:cs="Times New Roman" w:eastAsiaTheme="minorEastAsia"/>
          <w:color w:val="FF0000"/>
          <w:kern w:val="0"/>
          <w:sz w:val="24"/>
          <w:szCs w:val="21"/>
          <w:lang w:val="en-US" w:eastAsia="zh-CN" w:bidi="ar"/>
        </w:rPr>
        <w:t>12</w:t>
      </w:r>
      <w:r>
        <w:rPr>
          <w:rFonts w:hint="eastAsia" w:ascii="Times New Roman" w:hAnsi="方正书宋简体" w:eastAsia="宋体" w:cs="方正书宋简体"/>
          <w:color w:val="FF0000"/>
          <w:kern w:val="0"/>
          <w:sz w:val="24"/>
          <w:szCs w:val="21"/>
          <w:lang w:val="en-US" w:eastAsia="zh-CN" w:bidi="ar"/>
        </w:rPr>
        <w:t>目</w:t>
      </w:r>
      <w:r>
        <w:rPr>
          <w:rFonts w:hint="default" w:ascii="Times New Roman" w:hAnsi="Times New Roman" w:cs="Times New Roman" w:eastAsiaTheme="minorEastAsia"/>
          <w:color w:val="FF0000"/>
          <w:kern w:val="0"/>
          <w:sz w:val="24"/>
          <w:szCs w:val="21"/>
          <w:lang w:val="en-US" w:eastAsia="zh-CN" w:bidi="ar"/>
        </w:rPr>
        <w:t>25</w:t>
      </w:r>
      <w:r>
        <w:rPr>
          <w:rFonts w:hint="eastAsia" w:ascii="Times New Roman" w:hAnsi="方正书宋简体" w:eastAsia="宋体" w:cs="方正书宋简体"/>
          <w:color w:val="FF0000"/>
          <w:kern w:val="0"/>
          <w:sz w:val="24"/>
          <w:szCs w:val="21"/>
          <w:lang w:val="en-US" w:eastAsia="zh-CN" w:bidi="ar"/>
        </w:rPr>
        <w:t>科</w:t>
      </w:r>
      <w:r>
        <w:rPr>
          <w:rFonts w:hint="default" w:ascii="Times New Roman" w:hAnsi="Times New Roman" w:cs="Times New Roman" w:eastAsiaTheme="minorEastAsia"/>
          <w:color w:val="FF0000"/>
          <w:kern w:val="0"/>
          <w:sz w:val="24"/>
          <w:szCs w:val="21"/>
          <w:lang w:val="en-US" w:eastAsia="zh-CN" w:bidi="ar"/>
        </w:rPr>
        <w:t>96</w:t>
      </w:r>
      <w:r>
        <w:rPr>
          <w:rFonts w:hint="eastAsia" w:ascii="Times New Roman" w:hAnsi="方正书宋简体" w:eastAsia="宋体" w:cs="方正书宋简体"/>
          <w:color w:val="FF0000"/>
          <w:kern w:val="0"/>
          <w:sz w:val="24"/>
          <w:szCs w:val="21"/>
          <w:lang w:val="en-US" w:eastAsia="zh-CN" w:bidi="ar"/>
        </w:rPr>
        <w:t>种，兽类实体</w:t>
      </w:r>
      <w:r>
        <w:rPr>
          <w:rFonts w:hint="default" w:ascii="Times New Roman" w:hAnsi="Times New Roman" w:cs="Times New Roman" w:eastAsiaTheme="minorEastAsia"/>
          <w:color w:val="FF0000"/>
          <w:kern w:val="0"/>
          <w:sz w:val="24"/>
          <w:szCs w:val="21"/>
          <w:lang w:val="en-US" w:eastAsia="zh-CN" w:bidi="ar"/>
        </w:rPr>
        <w:t>3</w:t>
      </w:r>
      <w:r>
        <w:rPr>
          <w:rFonts w:hint="eastAsia" w:ascii="Times New Roman" w:hAnsi="方正书宋简体" w:eastAsia="宋体" w:cs="方正书宋简体"/>
          <w:color w:val="FF0000"/>
          <w:kern w:val="0"/>
          <w:sz w:val="24"/>
          <w:szCs w:val="21"/>
          <w:lang w:val="en-US" w:eastAsia="zh-CN" w:bidi="ar"/>
        </w:rPr>
        <w:t>目</w:t>
      </w:r>
      <w:r>
        <w:rPr>
          <w:rFonts w:hint="default" w:ascii="Times New Roman" w:hAnsi="Times New Roman" w:cs="Times New Roman" w:eastAsiaTheme="minorEastAsia"/>
          <w:color w:val="FF0000"/>
          <w:kern w:val="0"/>
          <w:sz w:val="24"/>
          <w:szCs w:val="21"/>
          <w:lang w:val="en-US" w:eastAsia="zh-CN" w:bidi="ar"/>
        </w:rPr>
        <w:t>9</w:t>
      </w:r>
      <w:r>
        <w:rPr>
          <w:rFonts w:hint="eastAsia" w:ascii="Times New Roman" w:hAnsi="方正书宋简体" w:eastAsia="宋体" w:cs="方正书宋简体"/>
          <w:color w:val="FF0000"/>
          <w:kern w:val="0"/>
          <w:sz w:val="24"/>
          <w:szCs w:val="21"/>
          <w:lang w:val="en-US" w:eastAsia="zh-CN" w:bidi="ar"/>
        </w:rPr>
        <w:t>科</w:t>
      </w:r>
      <w:r>
        <w:rPr>
          <w:rFonts w:hint="default" w:ascii="Times New Roman" w:hAnsi="Times New Roman" w:cs="Times New Roman" w:eastAsiaTheme="minorEastAsia"/>
          <w:color w:val="FF0000"/>
          <w:kern w:val="0"/>
          <w:sz w:val="24"/>
          <w:szCs w:val="21"/>
          <w:lang w:val="en-US" w:eastAsia="zh-CN" w:bidi="ar"/>
        </w:rPr>
        <w:t>12</w:t>
      </w:r>
      <w:r>
        <w:rPr>
          <w:rFonts w:hint="eastAsia" w:ascii="Times New Roman" w:hAnsi="方正书宋简体" w:eastAsia="宋体" w:cs="方正书宋简体"/>
          <w:color w:val="FF0000"/>
          <w:kern w:val="0"/>
          <w:sz w:val="24"/>
          <w:szCs w:val="21"/>
          <w:lang w:val="en-US" w:eastAsia="zh-CN" w:bidi="ar"/>
        </w:rPr>
        <w:t>种，其中一类保护动物有豹、云豹、金雕、白肩雕；二类保护动物有黑熊、林麝、毛冠鹿、羚、红腹锦鸡、勺鸡、大鲵等各类猛禽（鹰、鸮、隼）。</w:t>
      </w:r>
      <w:r>
        <w:rPr>
          <w:rFonts w:hint="default" w:ascii="Times New Roman" w:hAnsi="Times New Roman" w:cs="Times New Roman" w:eastAsiaTheme="minorEastAsia"/>
          <w:color w:val="FF0000"/>
          <w:kern w:val="0"/>
          <w:sz w:val="24"/>
          <w:szCs w:val="21"/>
          <w:lang w:val="en-US" w:eastAsia="zh-CN" w:bidi="ar"/>
        </w:rPr>
        <w:t>40</w:t>
      </w:r>
      <w:r>
        <w:rPr>
          <w:rFonts w:hint="eastAsia" w:ascii="Times New Roman" w:hAnsi="方正书宋简体" w:eastAsia="宋体" w:cs="方正书宋简体"/>
          <w:color w:val="FF0000"/>
          <w:kern w:val="0"/>
          <w:sz w:val="24"/>
          <w:szCs w:val="21"/>
          <w:lang w:val="en-US" w:eastAsia="zh-CN" w:bidi="ar"/>
        </w:rPr>
        <w:t>年前大量存在的狐狸、狼等野生动物已绝迹。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themeColor="text1"/>
          <w:sz w:val="24"/>
          <w:szCs w:val="24"/>
        </w:rPr>
      </w:pPr>
      <w:r>
        <w:rPr>
          <w:rFonts w:hint="eastAsia"/>
          <w:color w:val="FF0000"/>
          <w:sz w:val="24"/>
          <w:szCs w:val="24"/>
        </w:rPr>
        <w:t>项目区域人类活动频繁，未见大型兽类，常见野生兽类有草兔、松鼠等啮齿类，野生鸟类有野鸡、竹鸡、斑鸠、乌鸦、麻雀、喜鹊、啄木鸟等，野生鱼类有青鱼、草鱼、鲢鱼、鲤鱼、鲫鱼、泥鳅、黄鳝等。评价区未发现国家和省级珍贵野生保护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eastAsiaTheme="minorEastAsia"/>
          <w:b/>
          <w:bCs/>
          <w:color w:val="FF0000"/>
          <w:sz w:val="24"/>
          <w:szCs w:val="24"/>
          <w:lang w:val="en-US" w:eastAsia="zh-CN"/>
        </w:rPr>
      </w:pPr>
      <w:r>
        <w:rPr>
          <w:rFonts w:hint="eastAsia"/>
          <w:b/>
          <w:bCs/>
          <w:color w:val="FF0000"/>
          <w:sz w:val="24"/>
          <w:szCs w:val="24"/>
          <w:lang w:eastAsia="zh-CN"/>
        </w:rPr>
        <w:t>（</w:t>
      </w:r>
      <w:r>
        <w:rPr>
          <w:rFonts w:hint="eastAsia"/>
          <w:b/>
          <w:bCs/>
          <w:color w:val="FF0000"/>
          <w:sz w:val="24"/>
          <w:szCs w:val="24"/>
          <w:lang w:val="en-US" w:eastAsia="zh-CN"/>
        </w:rPr>
        <w:t>6</w:t>
      </w:r>
      <w:r>
        <w:rPr>
          <w:rFonts w:hint="eastAsia"/>
          <w:b/>
          <w:bCs/>
          <w:color w:val="FF0000"/>
          <w:sz w:val="24"/>
          <w:szCs w:val="24"/>
          <w:lang w:eastAsia="zh-CN"/>
        </w:rPr>
        <w:t>）</w:t>
      </w:r>
      <w:r>
        <w:rPr>
          <w:rFonts w:hint="eastAsia"/>
          <w:b/>
          <w:bCs/>
          <w:color w:val="FF0000"/>
          <w:sz w:val="24"/>
          <w:szCs w:val="24"/>
          <w:lang w:val="en-US" w:eastAsia="zh-CN"/>
        </w:rPr>
        <w:t>现有工程生态影响及遗留的环境问题</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宋体" w:cs="Times New Roman"/>
          <w:b/>
          <w:bCs/>
          <w:color w:val="000000" w:themeColor="text1"/>
          <w:sz w:val="44"/>
          <w:szCs w:val="44"/>
        </w:rPr>
      </w:pPr>
      <w:r>
        <w:rPr>
          <w:rFonts w:hint="eastAsia" w:ascii="Times New Roman" w:hAnsi="Times New Roman" w:eastAsia="宋体" w:cs="Times New Roman"/>
          <w:b w:val="0"/>
          <w:bCs w:val="0"/>
          <w:color w:val="FF0000"/>
          <w:sz w:val="24"/>
          <w:szCs w:val="24"/>
          <w:lang w:val="en-US" w:eastAsia="zh-CN"/>
        </w:rPr>
        <w:t>根据现场调查，现有工程为已开垦多年的老矿山，由于各种原因，未进行大规模开发，目前主要对K1矿体进行了开发活动，K1矿体建设的主要内容有矿体的开采，工业场地的建设、矿区道路的修建，办公宿舍楼的建设等。现有工程的建设对生态环境的主要影响为地面以上工程占地对植被的破坏，尤其是现有三个废石场的建设，占用林地，占用总面积约为4200m</w:t>
      </w:r>
      <w:r>
        <w:rPr>
          <w:rFonts w:hint="eastAsia" w:ascii="Times New Roman" w:hAnsi="Times New Roman" w:eastAsia="宋体" w:cs="Times New Roman"/>
          <w:b w:val="0"/>
          <w:bCs w:val="0"/>
          <w:color w:val="FF0000"/>
          <w:sz w:val="24"/>
          <w:szCs w:val="24"/>
          <w:vertAlign w:val="superscript"/>
          <w:lang w:val="en-US" w:eastAsia="zh-CN"/>
        </w:rPr>
        <w:t>2</w:t>
      </w:r>
      <w:r>
        <w:rPr>
          <w:rFonts w:hint="eastAsia" w:ascii="Times New Roman" w:hAnsi="Times New Roman" w:eastAsia="宋体" w:cs="Times New Roman"/>
          <w:b w:val="0"/>
          <w:bCs w:val="0"/>
          <w:color w:val="FF0000"/>
          <w:sz w:val="24"/>
          <w:szCs w:val="24"/>
          <w:lang w:val="en-US" w:eastAsia="zh-CN"/>
        </w:rPr>
        <w:t>，根据现场的实际踏勘可知，本项目的废石场已处于恢复治理当中目前已对PD810和PD760的废石场进行恢复，后续将对PD660的废石场进行恢复，具体恢复要求根据</w:t>
      </w:r>
      <w:r>
        <w:rPr>
          <w:rFonts w:hint="default" w:ascii="Times New Roman" w:hAnsi="Times New Roman" w:eastAsia="宋体" w:cs="Times New Roman"/>
          <w:color w:val="FF0000"/>
          <w:sz w:val="24"/>
          <w:szCs w:val="24"/>
        </w:rPr>
        <w:t>《陕西省旬阳县赤岩镇水磨河口构皮沟毒重石矿矿山地质环境保护与恢复治理方案》</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旬阳县赤岩镇水磨河口构皮沟毒重石矿扩建项目</w:t>
      </w:r>
      <w:r>
        <w:rPr>
          <w:rFonts w:hint="default" w:ascii="Times New Roman" w:hAnsi="Times New Roman" w:eastAsia="宋体" w:cs="Times New Roman"/>
          <w:color w:val="FF0000"/>
          <w:sz w:val="24"/>
          <w:szCs w:val="24"/>
          <w:lang w:val="en-US" w:eastAsia="zh-CN"/>
        </w:rPr>
        <w:t>水土保持方案</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等相关文件执行。前期探矿形成的PD710目前已封闭，后期开采过程中产生的废石拟对PD710进行的回填。</w:t>
      </w:r>
    </w:p>
    <w:p>
      <w:pPr>
        <w:pStyle w:val="12"/>
        <w:adjustRightInd w:val="0"/>
        <w:snapToGrid w:val="0"/>
        <w:spacing w:after="0" w:line="360" w:lineRule="auto"/>
        <w:ind w:firstLine="0" w:firstLineChars="0"/>
        <w:rPr>
          <w:rFonts w:ascii="Times New Roman" w:hAnsi="Times New Roman" w:eastAsia="宋体" w:cs="Times New Roman"/>
          <w:b/>
          <w:bCs/>
          <w:color w:val="000000" w:themeColor="text1"/>
          <w:sz w:val="44"/>
          <w:szCs w:val="44"/>
        </w:rPr>
      </w:pPr>
    </w:p>
    <w:p>
      <w:pPr>
        <w:pStyle w:val="3"/>
        <w:keepNext/>
        <w:keepLines/>
        <w:pageBreakBefore w:val="0"/>
        <w:widowControl w:val="0"/>
        <w:kinsoku/>
        <w:wordWrap/>
        <w:overflowPunct/>
        <w:topLinePunct w:val="0"/>
        <w:autoSpaceDE/>
        <w:autoSpaceDN/>
        <w:bidi w:val="0"/>
        <w:adjustRightInd/>
        <w:snapToGrid/>
        <w:spacing w:before="0"/>
        <w:ind w:left="431" w:hanging="431"/>
        <w:textAlignment w:val="auto"/>
        <w:outlineLvl w:val="0"/>
        <w:rPr>
          <w:rFonts w:hint="default"/>
          <w:color w:val="000000" w:themeColor="text1"/>
          <w:lang w:val="en-US" w:eastAsia="zh-CN"/>
        </w:rPr>
      </w:pPr>
      <w:bookmarkStart w:id="754" w:name="_Toc2316"/>
      <w:bookmarkStart w:id="755" w:name="_Toc10498_WPSOffice_Level3"/>
      <w:r>
        <w:rPr>
          <w:rFonts w:hint="eastAsia"/>
          <w:color w:val="000000" w:themeColor="text1"/>
          <w:lang w:val="en-US" w:eastAsia="zh-CN"/>
        </w:rPr>
        <w:t>环境影响预测与评价</w:t>
      </w:r>
      <w:bookmarkEnd w:id="754"/>
      <w:bookmarkEnd w:id="755"/>
    </w:p>
    <w:p>
      <w:pPr>
        <w:pStyle w:val="4"/>
        <w:rPr>
          <w:rFonts w:hint="eastAsia"/>
          <w:color w:val="000000" w:themeColor="text1"/>
          <w:lang w:eastAsia="zh-CN"/>
        </w:rPr>
      </w:pPr>
      <w:bookmarkStart w:id="756" w:name="_Toc500255754"/>
      <w:bookmarkStart w:id="757" w:name="_Toc30712"/>
      <w:bookmarkStart w:id="758" w:name="_Toc421193217"/>
      <w:bookmarkStart w:id="759" w:name="_Toc503737269"/>
      <w:r>
        <w:rPr>
          <w:rFonts w:hint="eastAsia"/>
          <w:color w:val="000000" w:themeColor="text1"/>
          <w:lang w:val="en-US" w:eastAsia="zh-CN"/>
        </w:rPr>
        <w:t>施工</w:t>
      </w:r>
      <w:r>
        <w:rPr>
          <w:rFonts w:hint="eastAsia"/>
          <w:color w:val="000000" w:themeColor="text1"/>
        </w:rPr>
        <w:t>期</w:t>
      </w:r>
      <w:r>
        <w:rPr>
          <w:color w:val="000000" w:themeColor="text1"/>
        </w:rPr>
        <w:t>环境影响</w:t>
      </w:r>
      <w:r>
        <w:rPr>
          <w:rFonts w:hint="eastAsia"/>
          <w:color w:val="000000" w:themeColor="text1"/>
          <w:lang w:val="en-US" w:eastAsia="zh-CN"/>
        </w:rPr>
        <w:t>预测与</w:t>
      </w:r>
      <w:bookmarkEnd w:id="756"/>
      <w:r>
        <w:rPr>
          <w:rFonts w:hint="eastAsia"/>
          <w:color w:val="000000" w:themeColor="text1"/>
          <w:lang w:val="en-US" w:eastAsia="zh-CN"/>
        </w:rPr>
        <w:t>评价</w:t>
      </w:r>
      <w:bookmarkEnd w:id="757"/>
    </w:p>
    <w:p>
      <w:pPr>
        <w:pStyle w:val="5"/>
        <w:rPr>
          <w:rFonts w:hint="default"/>
          <w:color w:val="000000" w:themeColor="text1"/>
        </w:rPr>
      </w:pPr>
      <w:bookmarkStart w:id="760" w:name="_Toc19993"/>
      <w:r>
        <w:rPr>
          <w:rFonts w:hint="default"/>
          <w:color w:val="000000" w:themeColor="text1"/>
        </w:rPr>
        <w:t>大气环境</w:t>
      </w:r>
      <w:bookmarkEnd w:id="760"/>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根据项目主要建设内容，建设过程大气环境影响主要包括场地施工扬尘、</w:t>
      </w:r>
      <w:r>
        <w:rPr>
          <w:rFonts w:hint="eastAsia" w:ascii="Times New Roman" w:hAnsi="Times New Roman" w:eastAsia="宋体" w:cs="Times New Roman"/>
          <w:color w:val="000000" w:themeColor="text1"/>
          <w:sz w:val="24"/>
          <w:szCs w:val="24"/>
          <w:lang w:eastAsia="zh-CN"/>
        </w:rPr>
        <w:t>施工机械尾气和餐饮油烟</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（1）施工扬尘</w:t>
      </w:r>
    </w:p>
    <w:p>
      <w:pPr>
        <w:spacing w:line="360" w:lineRule="auto"/>
        <w:ind w:firstLine="480" w:firstLineChars="200"/>
        <w:rPr>
          <w:rFonts w:hint="eastAsia"/>
          <w:color w:val="000000"/>
          <w:sz w:val="24"/>
          <w:lang w:val="en-US" w:eastAsia="zh-CN"/>
        </w:rPr>
      </w:pPr>
      <w:r>
        <w:rPr>
          <w:rFonts w:hint="default" w:ascii="Times New Roman" w:hAnsi="Times New Roman" w:eastAsia="宋体" w:cs="Times New Roman"/>
          <w:color w:val="000000" w:themeColor="text1"/>
          <w:sz w:val="24"/>
          <w:szCs w:val="24"/>
        </w:rPr>
        <w:t>工业场地、</w:t>
      </w:r>
      <w:r>
        <w:rPr>
          <w:rFonts w:hint="eastAsia" w:ascii="Times New Roman" w:hAnsi="Times New Roman" w:eastAsia="宋体" w:cs="Times New Roman"/>
          <w:color w:val="000000" w:themeColor="text1"/>
          <w:sz w:val="24"/>
          <w:szCs w:val="24"/>
          <w:lang w:val="en-US" w:eastAsia="zh-CN"/>
        </w:rPr>
        <w:t>施工道路</w:t>
      </w:r>
      <w:r>
        <w:rPr>
          <w:rFonts w:hint="default" w:ascii="Times New Roman" w:hAnsi="Times New Roman" w:eastAsia="宋体" w:cs="Times New Roman"/>
          <w:color w:val="000000" w:themeColor="text1"/>
          <w:sz w:val="24"/>
          <w:szCs w:val="24"/>
        </w:rPr>
        <w:t>等开挖平整、土石方</w:t>
      </w:r>
      <w:r>
        <w:rPr>
          <w:rFonts w:hint="default" w:ascii="Times New Roman" w:hAnsi="Times New Roman" w:eastAsia="宋体" w:cs="Times New Roman"/>
          <w:color w:val="000000" w:themeColor="text1"/>
          <w:sz w:val="24"/>
          <w:szCs w:val="24"/>
          <w:lang w:eastAsia="zh-CN"/>
        </w:rPr>
        <w:t>开挖等施工会引起施工现场扬尘</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期扬尘属于无组织排放污染物，扬尘量的大小与施工现场条件、管理水平、机械化程度及施工季节、土质结构、天气条件等诸多因素有关</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sz w:val="24"/>
          <w:lang w:eastAsia="zh-CN"/>
        </w:rPr>
        <w:t>若在施工期间对车辆行驶的路面和部分易起尘的部位实施洒水抑尘（每天洒水</w:t>
      </w:r>
      <w:r>
        <w:rPr>
          <w:rFonts w:hint="default" w:ascii="Times New Roman" w:hAnsi="Times New Roman" w:eastAsia="宋体" w:cs="Times New Roman"/>
          <w:color w:val="000000"/>
          <w:sz w:val="24"/>
          <w:lang w:val="en-US" w:eastAsia="zh-CN"/>
        </w:rPr>
        <w:t>4-5次</w:t>
      </w:r>
      <w:r>
        <w:rPr>
          <w:rFonts w:hint="default" w:ascii="Times New Roman" w:hAnsi="Times New Roman" w:eastAsia="宋体" w:cs="Times New Roman"/>
          <w:color w:val="000000"/>
          <w:sz w:val="24"/>
          <w:lang w:eastAsia="zh-CN"/>
        </w:rPr>
        <w:t>），可使扬尘减少</w:t>
      </w:r>
      <w:r>
        <w:rPr>
          <w:rFonts w:hint="default" w:ascii="Times New Roman" w:hAnsi="Times New Roman" w:eastAsia="宋体" w:cs="Times New Roman"/>
          <w:color w:val="000000"/>
          <w:sz w:val="24"/>
          <w:lang w:val="en-US" w:eastAsia="zh-CN"/>
        </w:rPr>
        <w:t>50-70%左右，洒水抑尘试验结果见下表：</w:t>
      </w:r>
    </w:p>
    <w:p>
      <w:pPr>
        <w:spacing w:line="360" w:lineRule="auto"/>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w:t>
      </w:r>
      <w:r>
        <w:rPr>
          <w:rFonts w:hint="eastAsia" w:ascii="Times New Roman" w:hAnsi="Times New Roman" w:eastAsia="宋体" w:cs="Times New Roman"/>
          <w:b/>
          <w:bCs/>
          <w:color w:val="000000"/>
          <w:sz w:val="21"/>
          <w:szCs w:val="21"/>
          <w:lang w:val="en-US" w:eastAsia="zh-CN"/>
        </w:rPr>
        <w:t>5.1-1</w:t>
      </w:r>
      <w:r>
        <w:rPr>
          <w:rFonts w:hint="default" w:ascii="Times New Roman" w:hAnsi="Times New Roman" w:eastAsia="宋体" w:cs="Times New Roman"/>
          <w:b/>
          <w:bCs/>
          <w:color w:val="000000"/>
          <w:sz w:val="21"/>
          <w:szCs w:val="21"/>
          <w:lang w:val="en-US" w:eastAsia="zh-CN"/>
        </w:rPr>
        <w:t xml:space="preserve">  施工期洒水抑尘试验结果 单位：mg/m</w:t>
      </w:r>
      <w:r>
        <w:rPr>
          <w:rFonts w:hint="default" w:ascii="Times New Roman" w:hAnsi="Times New Roman" w:eastAsia="宋体" w:cs="Times New Roman"/>
          <w:b/>
          <w:bCs/>
          <w:color w:val="000000"/>
          <w:sz w:val="21"/>
          <w:szCs w:val="21"/>
          <w:vertAlign w:val="superscript"/>
          <w:lang w:val="en-US" w:eastAsia="zh-CN"/>
        </w:rPr>
        <w:t>3</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80"/>
        <w:gridCol w:w="1280"/>
        <w:gridCol w:w="1280"/>
        <w:gridCol w:w="1280"/>
        <w:gridCol w:w="1279"/>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5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距离（m）</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w:t>
            </w:r>
          </w:p>
        </w:tc>
        <w:tc>
          <w:tcPr>
            <w:tcW w:w="1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TSP小时平均浓度</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不洒水</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10.14</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2.89</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1.15</w:t>
            </w:r>
          </w:p>
        </w:tc>
        <w:tc>
          <w:tcPr>
            <w:tcW w:w="1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0.86</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洒水</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2.01</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0.67</w:t>
            </w:r>
          </w:p>
        </w:tc>
        <w:tc>
          <w:tcPr>
            <w:tcW w:w="1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0.60</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递减率</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80.2</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51.6</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41.7</w:t>
            </w:r>
          </w:p>
        </w:tc>
        <w:tc>
          <w:tcPr>
            <w:tcW w:w="1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30.2</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26.0</w:t>
            </w:r>
          </w:p>
        </w:tc>
      </w:tr>
    </w:tbl>
    <w:p>
      <w:pPr>
        <w:spacing w:line="360" w:lineRule="auto"/>
        <w:ind w:firstLine="480" w:firstLineChars="200"/>
        <w:rPr>
          <w:rFonts w:hint="default" w:ascii="Times New Roman" w:hAnsi="Times New Roman" w:eastAsia="宋体" w:cs="Times New Roman"/>
          <w:bCs/>
          <w:color w:val="000000" w:themeColor="text1"/>
          <w:sz w:val="24"/>
          <w:szCs w:val="24"/>
          <w:lang w:val="en-US" w:eastAsia="zh-CN" w:bidi="en-US"/>
        </w:rPr>
      </w:pPr>
      <w:r>
        <w:rPr>
          <w:rFonts w:hint="default" w:ascii="Times New Roman" w:hAnsi="Times New Roman" w:eastAsia="宋体" w:cs="Times New Roman"/>
          <w:color w:val="000000"/>
          <w:sz w:val="24"/>
          <w:lang w:val="en-US" w:eastAsia="zh-CN"/>
        </w:rPr>
        <w:t>上述数据表明，有效的洒水抑尘可以大幅度降低施工扬尘的污染程度。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000000" w:themeColor="text1"/>
          <w:sz w:val="24"/>
          <w:szCs w:val="24"/>
          <w:lang w:val="en-US" w:eastAsia="zh-CN" w:bidi="en-US"/>
        </w:rPr>
      </w:pPr>
      <w:r>
        <w:rPr>
          <w:rFonts w:hint="eastAsia" w:ascii="Times New Roman" w:hAnsi="Times New Roman" w:eastAsia="宋体" w:cs="Times New Roman"/>
          <w:bCs/>
          <w:color w:val="000000" w:themeColor="text1"/>
          <w:sz w:val="24"/>
          <w:szCs w:val="24"/>
          <w:lang w:val="en-US" w:eastAsia="zh-CN" w:bidi="en-US"/>
        </w:rPr>
        <w:t>为落实《陕西省建筑施工扬尘治理行动方案》、《陕西省大气污染防治条例》等文件的相关要求，加上</w:t>
      </w:r>
      <w:r>
        <w:rPr>
          <w:rFonts w:hint="eastAsia" w:ascii="Times New Roman" w:hAnsi="Times New Roman" w:eastAsia="宋体" w:cs="Times New Roman"/>
          <w:color w:val="000000"/>
          <w:sz w:val="24"/>
          <w:lang w:val="en-US" w:eastAsia="zh-CN"/>
        </w:rPr>
        <w:t>施工道路两侧有零星的居民分布，为了进一步减少扬尘排放，</w:t>
      </w:r>
      <w:r>
        <w:rPr>
          <w:rFonts w:hint="eastAsia" w:ascii="Times New Roman" w:hAnsi="Times New Roman" w:eastAsia="宋体" w:cs="Times New Roman"/>
          <w:bCs/>
          <w:color w:val="000000" w:themeColor="text1"/>
          <w:sz w:val="24"/>
          <w:szCs w:val="24"/>
          <w:lang w:val="en-US" w:eastAsia="zh-CN" w:bidi="en-US"/>
        </w:rPr>
        <w:t>环评提出以下要求：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FF0000"/>
          <w:sz w:val="24"/>
          <w:szCs w:val="24"/>
          <w:lang w:val="en-US" w:eastAsia="zh-CN" w:bidi="en-US"/>
        </w:rPr>
      </w:pPr>
      <w:r>
        <w:rPr>
          <w:rFonts w:hint="default" w:ascii="Times New Roman" w:hAnsi="Times New Roman" w:eastAsia="宋体" w:cs="Times New Roman"/>
          <w:bCs/>
          <w:color w:val="FF0000"/>
          <w:sz w:val="24"/>
          <w:szCs w:val="24"/>
          <w:lang w:val="en-US" w:eastAsia="zh-CN" w:bidi="en-US"/>
        </w:rPr>
        <w:fldChar w:fldCharType="begin"/>
      </w:r>
      <w:r>
        <w:rPr>
          <w:rFonts w:hint="default" w:ascii="Times New Roman" w:hAnsi="Times New Roman" w:eastAsia="宋体" w:cs="Times New Roman"/>
          <w:bCs/>
          <w:color w:val="FF0000"/>
          <w:sz w:val="24"/>
          <w:szCs w:val="24"/>
          <w:lang w:val="en-US" w:eastAsia="zh-CN" w:bidi="en-US"/>
        </w:rPr>
        <w:instrText xml:space="preserve"> = 1 \* GB3 \* MERGEFORMAT </w:instrText>
      </w:r>
      <w:r>
        <w:rPr>
          <w:rFonts w:hint="default" w:ascii="Times New Roman" w:hAnsi="Times New Roman" w:eastAsia="宋体" w:cs="Times New Roman"/>
          <w:bCs/>
          <w:color w:val="FF0000"/>
          <w:sz w:val="24"/>
          <w:szCs w:val="24"/>
          <w:lang w:val="en-US" w:eastAsia="zh-CN" w:bidi="en-US"/>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bCs/>
          <w:color w:val="FF0000"/>
          <w:sz w:val="24"/>
          <w:szCs w:val="24"/>
          <w:lang w:val="en-US" w:eastAsia="zh-CN" w:bidi="en-US"/>
        </w:rPr>
        <w:fldChar w:fldCharType="end"/>
      </w:r>
      <w:r>
        <w:rPr>
          <w:rFonts w:hint="eastAsia" w:ascii="Times New Roman" w:hAnsi="Times New Roman" w:eastAsia="宋体" w:cs="Times New Roman"/>
          <w:bCs/>
          <w:color w:val="FF0000"/>
          <w:sz w:val="24"/>
          <w:szCs w:val="24"/>
          <w:lang w:val="en-US" w:eastAsia="zh-CN" w:bidi="en-US"/>
        </w:rPr>
        <w:t>在道路施工时，在临近居民的区域设置硬质围挡，</w:t>
      </w:r>
      <w:r>
        <w:rPr>
          <w:rFonts w:hint="default" w:ascii="Times New Roman" w:hAnsi="Times New Roman" w:eastAsia="宋体" w:cs="Times New Roman"/>
          <w:bCs/>
          <w:color w:val="FF0000"/>
          <w:sz w:val="24"/>
          <w:szCs w:val="24"/>
          <w:lang w:val="en-US" w:eastAsia="zh-CN" w:bidi="en-US"/>
        </w:rPr>
        <w:t>对颗粒状、粉状物料、土石方、建筑垃圾等进行苫盖；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FF0000"/>
          <w:sz w:val="24"/>
          <w:szCs w:val="24"/>
          <w:lang w:val="en-US" w:eastAsia="zh-CN" w:bidi="en-US"/>
        </w:rPr>
      </w:pPr>
      <w:r>
        <w:rPr>
          <w:rFonts w:hint="default" w:ascii="Times New Roman" w:hAnsi="Times New Roman" w:eastAsia="宋体" w:cs="Times New Roman"/>
          <w:bCs/>
          <w:color w:val="FF0000"/>
          <w:sz w:val="24"/>
          <w:szCs w:val="24"/>
          <w:lang w:val="en-US" w:eastAsia="zh-CN" w:bidi="en-US"/>
        </w:rPr>
        <w:fldChar w:fldCharType="begin"/>
      </w:r>
      <w:r>
        <w:rPr>
          <w:rFonts w:hint="default" w:ascii="Times New Roman" w:hAnsi="Times New Roman" w:eastAsia="宋体" w:cs="Times New Roman"/>
          <w:bCs/>
          <w:color w:val="FF0000"/>
          <w:sz w:val="24"/>
          <w:szCs w:val="24"/>
          <w:lang w:val="en-US" w:eastAsia="zh-CN" w:bidi="en-US"/>
        </w:rPr>
        <w:instrText xml:space="preserve"> = 2 \* GB3 \* MERGEFORMAT </w:instrText>
      </w:r>
      <w:r>
        <w:rPr>
          <w:rFonts w:hint="default" w:ascii="Times New Roman" w:hAnsi="Times New Roman" w:eastAsia="宋体" w:cs="Times New Roman"/>
          <w:bCs/>
          <w:color w:val="FF0000"/>
          <w:sz w:val="24"/>
          <w:szCs w:val="24"/>
          <w:lang w:val="en-US" w:eastAsia="zh-CN" w:bidi="en-US"/>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bCs/>
          <w:color w:val="FF0000"/>
          <w:sz w:val="24"/>
          <w:szCs w:val="24"/>
          <w:lang w:val="en-US" w:eastAsia="zh-CN" w:bidi="en-US"/>
        </w:rPr>
        <w:fldChar w:fldCharType="end"/>
      </w:r>
      <w:r>
        <w:rPr>
          <w:rFonts w:hint="default" w:ascii="Times New Roman" w:hAnsi="Times New Roman" w:eastAsia="宋体" w:cs="Times New Roman"/>
          <w:bCs/>
          <w:color w:val="FF0000"/>
          <w:sz w:val="24"/>
          <w:szCs w:val="24"/>
          <w:lang w:val="en-US" w:eastAsia="zh-CN" w:bidi="en-US"/>
        </w:rPr>
        <w:t>运输车辆全封闭，运输车辆设置洗车装置，防止车辆带泥上路；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FF0000"/>
          <w:sz w:val="24"/>
          <w:szCs w:val="24"/>
          <w:lang w:val="en-US" w:eastAsia="zh-CN" w:bidi="en-US"/>
        </w:rPr>
      </w:pPr>
      <w:r>
        <w:rPr>
          <w:rFonts w:hint="default" w:ascii="Times New Roman" w:hAnsi="Times New Roman" w:eastAsia="宋体" w:cs="Times New Roman"/>
          <w:bCs/>
          <w:color w:val="FF0000"/>
          <w:sz w:val="24"/>
          <w:szCs w:val="24"/>
          <w:lang w:val="en-US" w:eastAsia="zh-CN" w:bidi="en-US"/>
        </w:rPr>
        <w:fldChar w:fldCharType="begin"/>
      </w:r>
      <w:r>
        <w:rPr>
          <w:rFonts w:hint="default" w:ascii="Times New Roman" w:hAnsi="Times New Roman" w:eastAsia="宋体" w:cs="Times New Roman"/>
          <w:bCs/>
          <w:color w:val="FF0000"/>
          <w:sz w:val="24"/>
          <w:szCs w:val="24"/>
          <w:lang w:val="en-US" w:eastAsia="zh-CN" w:bidi="en-US"/>
        </w:rPr>
        <w:instrText xml:space="preserve"> = 3 \* GB3 \* MERGEFORMAT </w:instrText>
      </w:r>
      <w:r>
        <w:rPr>
          <w:rFonts w:hint="default" w:ascii="Times New Roman" w:hAnsi="Times New Roman" w:eastAsia="宋体" w:cs="Times New Roman"/>
          <w:bCs/>
          <w:color w:val="FF0000"/>
          <w:sz w:val="24"/>
          <w:szCs w:val="24"/>
          <w:lang w:val="en-US" w:eastAsia="zh-CN" w:bidi="en-US"/>
        </w:rPr>
        <w:fldChar w:fldCharType="separate"/>
      </w:r>
      <w:r>
        <w:rPr>
          <w:rFonts w:hint="default" w:ascii="Times New Roman" w:hAnsi="Times New Roman" w:eastAsia="宋体" w:cs="Times New Roman"/>
          <w:color w:val="FF0000"/>
          <w:sz w:val="24"/>
          <w:szCs w:val="24"/>
        </w:rPr>
        <w:t>③</w:t>
      </w:r>
      <w:r>
        <w:rPr>
          <w:rFonts w:hint="default" w:ascii="Times New Roman" w:hAnsi="Times New Roman" w:eastAsia="宋体" w:cs="Times New Roman"/>
          <w:bCs/>
          <w:color w:val="FF0000"/>
          <w:sz w:val="24"/>
          <w:szCs w:val="24"/>
          <w:lang w:val="en-US" w:eastAsia="zh-CN" w:bidi="en-US"/>
        </w:rPr>
        <w:fldChar w:fldCharType="end"/>
      </w:r>
      <w:r>
        <w:rPr>
          <w:rFonts w:hint="default" w:ascii="Times New Roman" w:hAnsi="Times New Roman" w:eastAsia="宋体" w:cs="Times New Roman"/>
          <w:bCs/>
          <w:color w:val="FF0000"/>
          <w:sz w:val="24"/>
          <w:szCs w:val="24"/>
          <w:lang w:val="en-US" w:eastAsia="zh-CN" w:bidi="en-US"/>
        </w:rPr>
        <w:t>施工场地洒水抑尘；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FF0000"/>
          <w:sz w:val="24"/>
          <w:szCs w:val="24"/>
          <w:lang w:val="en-US" w:eastAsia="zh-CN" w:bidi="en-US"/>
        </w:rPr>
      </w:pPr>
      <w:r>
        <w:rPr>
          <w:rFonts w:hint="default" w:ascii="Times New Roman" w:hAnsi="Times New Roman" w:eastAsia="宋体" w:cs="Times New Roman"/>
          <w:bCs/>
          <w:color w:val="FF0000"/>
          <w:sz w:val="24"/>
          <w:szCs w:val="24"/>
          <w:lang w:val="en-US" w:eastAsia="zh-CN" w:bidi="en-US"/>
        </w:rPr>
        <w:fldChar w:fldCharType="begin"/>
      </w:r>
      <w:r>
        <w:rPr>
          <w:rFonts w:hint="default" w:ascii="Times New Roman" w:hAnsi="Times New Roman" w:eastAsia="宋体" w:cs="Times New Roman"/>
          <w:bCs/>
          <w:color w:val="FF0000"/>
          <w:sz w:val="24"/>
          <w:szCs w:val="24"/>
          <w:lang w:val="en-US" w:eastAsia="zh-CN" w:bidi="en-US"/>
        </w:rPr>
        <w:instrText xml:space="preserve"> = 4 \* GB3 \* MERGEFORMAT </w:instrText>
      </w:r>
      <w:r>
        <w:rPr>
          <w:rFonts w:hint="default" w:ascii="Times New Roman" w:hAnsi="Times New Roman" w:eastAsia="宋体" w:cs="Times New Roman"/>
          <w:bCs/>
          <w:color w:val="FF0000"/>
          <w:sz w:val="24"/>
          <w:szCs w:val="24"/>
          <w:lang w:val="en-US" w:eastAsia="zh-CN" w:bidi="en-US"/>
        </w:rPr>
        <w:fldChar w:fldCharType="separate"/>
      </w:r>
      <w:r>
        <w:rPr>
          <w:rFonts w:hint="default" w:ascii="Times New Roman" w:hAnsi="Times New Roman" w:eastAsia="宋体" w:cs="Times New Roman"/>
          <w:color w:val="FF0000"/>
          <w:sz w:val="24"/>
          <w:szCs w:val="24"/>
        </w:rPr>
        <w:t>④</w:t>
      </w:r>
      <w:r>
        <w:rPr>
          <w:rFonts w:hint="default" w:ascii="Times New Roman" w:hAnsi="Times New Roman" w:eastAsia="宋体" w:cs="Times New Roman"/>
          <w:bCs/>
          <w:color w:val="FF0000"/>
          <w:sz w:val="24"/>
          <w:szCs w:val="24"/>
          <w:lang w:val="en-US" w:eastAsia="zh-CN" w:bidi="en-US"/>
        </w:rPr>
        <w:fldChar w:fldCharType="end"/>
      </w:r>
      <w:r>
        <w:rPr>
          <w:rFonts w:hint="default" w:ascii="Times New Roman" w:hAnsi="Times New Roman" w:eastAsia="宋体" w:cs="Times New Roman"/>
          <w:bCs/>
          <w:color w:val="FF0000"/>
          <w:sz w:val="24"/>
          <w:szCs w:val="24"/>
          <w:lang w:val="en-US" w:eastAsia="zh-CN" w:bidi="en-US"/>
        </w:rPr>
        <w:t>大风天气禁止施工作业；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FF0000"/>
          <w:sz w:val="24"/>
          <w:szCs w:val="24"/>
          <w:lang w:val="en-US" w:eastAsia="zh-CN" w:bidi="en-US"/>
        </w:rPr>
      </w:pPr>
      <w:r>
        <w:rPr>
          <w:rFonts w:hint="default" w:ascii="Times New Roman" w:hAnsi="Times New Roman" w:eastAsia="宋体" w:cs="Times New Roman"/>
          <w:bCs/>
          <w:color w:val="FF0000"/>
          <w:sz w:val="24"/>
          <w:szCs w:val="24"/>
          <w:lang w:val="en-US" w:eastAsia="zh-CN" w:bidi="en-US"/>
        </w:rPr>
        <w:fldChar w:fldCharType="begin"/>
      </w:r>
      <w:r>
        <w:rPr>
          <w:rFonts w:hint="default" w:ascii="Times New Roman" w:hAnsi="Times New Roman" w:eastAsia="宋体" w:cs="Times New Roman"/>
          <w:bCs/>
          <w:color w:val="FF0000"/>
          <w:sz w:val="24"/>
          <w:szCs w:val="24"/>
          <w:lang w:val="en-US" w:eastAsia="zh-CN" w:bidi="en-US"/>
        </w:rPr>
        <w:instrText xml:space="preserve"> = 5 \* GB3 \* MERGEFORMAT </w:instrText>
      </w:r>
      <w:r>
        <w:rPr>
          <w:rFonts w:hint="default" w:ascii="Times New Roman" w:hAnsi="Times New Roman" w:eastAsia="宋体" w:cs="Times New Roman"/>
          <w:bCs/>
          <w:color w:val="FF0000"/>
          <w:sz w:val="24"/>
          <w:szCs w:val="24"/>
          <w:lang w:val="en-US" w:eastAsia="zh-CN" w:bidi="en-US"/>
        </w:rPr>
        <w:fldChar w:fldCharType="separate"/>
      </w:r>
      <w:r>
        <w:rPr>
          <w:rFonts w:hint="default" w:ascii="Times New Roman" w:hAnsi="Times New Roman" w:eastAsia="宋体" w:cs="Times New Roman"/>
          <w:color w:val="FF0000"/>
          <w:sz w:val="24"/>
          <w:szCs w:val="24"/>
        </w:rPr>
        <w:t>⑤</w:t>
      </w:r>
      <w:r>
        <w:rPr>
          <w:rFonts w:hint="default" w:ascii="Times New Roman" w:hAnsi="Times New Roman" w:eastAsia="宋体" w:cs="Times New Roman"/>
          <w:bCs/>
          <w:color w:val="FF0000"/>
          <w:sz w:val="24"/>
          <w:szCs w:val="24"/>
          <w:lang w:val="en-US" w:eastAsia="zh-CN" w:bidi="en-US"/>
        </w:rPr>
        <w:fldChar w:fldCharType="end"/>
      </w:r>
      <w:r>
        <w:rPr>
          <w:rFonts w:hint="default" w:ascii="Times New Roman" w:hAnsi="Times New Roman" w:eastAsia="宋体" w:cs="Times New Roman"/>
          <w:bCs/>
          <w:color w:val="FF0000"/>
          <w:sz w:val="24"/>
          <w:szCs w:val="24"/>
          <w:lang w:val="en-US" w:eastAsia="zh-CN" w:bidi="en-US"/>
        </w:rPr>
        <w:t>制定严格的管理制度，施工现场的环保措施有专人进行负责；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Cs/>
          <w:color w:val="FF0000"/>
          <w:sz w:val="24"/>
          <w:szCs w:val="24"/>
          <w:lang w:val="en-US" w:eastAsia="zh-CN" w:bidi="en-US"/>
        </w:rPr>
        <w:fldChar w:fldCharType="begin"/>
      </w:r>
      <w:r>
        <w:rPr>
          <w:rFonts w:hint="default" w:ascii="Times New Roman" w:hAnsi="Times New Roman" w:eastAsia="宋体" w:cs="Times New Roman"/>
          <w:bCs/>
          <w:color w:val="FF0000"/>
          <w:sz w:val="24"/>
          <w:szCs w:val="24"/>
          <w:lang w:val="en-US" w:eastAsia="zh-CN" w:bidi="en-US"/>
        </w:rPr>
        <w:instrText xml:space="preserve"> = 6 \* GB3 \* MERGEFORMAT </w:instrText>
      </w:r>
      <w:r>
        <w:rPr>
          <w:rFonts w:hint="default" w:ascii="Times New Roman" w:hAnsi="Times New Roman" w:eastAsia="宋体" w:cs="Times New Roman"/>
          <w:bCs/>
          <w:color w:val="FF0000"/>
          <w:sz w:val="24"/>
          <w:szCs w:val="24"/>
          <w:lang w:val="en-US" w:eastAsia="zh-CN" w:bidi="en-US"/>
        </w:rPr>
        <w:fldChar w:fldCharType="separate"/>
      </w:r>
      <w:r>
        <w:rPr>
          <w:rFonts w:hint="default" w:ascii="Times New Roman" w:hAnsi="Times New Roman" w:eastAsia="宋体" w:cs="Times New Roman"/>
          <w:color w:val="FF0000"/>
          <w:sz w:val="24"/>
          <w:szCs w:val="24"/>
        </w:rPr>
        <w:t>⑥</w:t>
      </w:r>
      <w:r>
        <w:rPr>
          <w:rFonts w:hint="default" w:ascii="Times New Roman" w:hAnsi="Times New Roman" w:eastAsia="宋体" w:cs="Times New Roman"/>
          <w:bCs/>
          <w:color w:val="FF0000"/>
          <w:sz w:val="24"/>
          <w:szCs w:val="24"/>
          <w:lang w:val="en-US" w:eastAsia="zh-CN" w:bidi="en-US"/>
        </w:rPr>
        <w:fldChar w:fldCharType="end"/>
      </w:r>
      <w:r>
        <w:rPr>
          <w:rFonts w:hint="default" w:ascii="Times New Roman" w:hAnsi="Times New Roman" w:eastAsia="宋体" w:cs="Times New Roman"/>
          <w:bCs/>
          <w:color w:val="FF0000"/>
          <w:sz w:val="24"/>
          <w:szCs w:val="24"/>
          <w:lang w:val="en-US" w:eastAsia="zh-CN" w:bidi="en-US"/>
        </w:rPr>
        <w:t>施工现场堆放的土石方、建筑垃圾及时清理或利用，减少堆存时间。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）施工机械废气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施工机械设备及车辆多为大动力柴油发动机，将排放一定量的燃油尾气，尾气主要为</w:t>
      </w:r>
      <w:r>
        <w:rPr>
          <w:rFonts w:hint="default" w:ascii="Times New Roman" w:hAnsi="Times New Roman" w:eastAsia="宋体" w:cs="Times New Roman"/>
          <w:color w:val="000000" w:themeColor="text1"/>
          <w:sz w:val="24"/>
          <w:szCs w:val="24"/>
          <w:lang w:val="en-US"/>
        </w:rPr>
        <w:t>VOC</w:t>
      </w:r>
      <w:r>
        <w:rPr>
          <w:rFonts w:hint="default" w:ascii="Times New Roman" w:hAnsi="Times New Roman" w:eastAsia="宋体" w:cs="Times New Roman"/>
          <w:color w:val="000000" w:themeColor="text1"/>
          <w:sz w:val="24"/>
          <w:szCs w:val="24"/>
          <w:vertAlign w:val="subscript"/>
          <w:lang w:val="en-US"/>
        </w:rPr>
        <w:t>S</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NO</w:t>
      </w:r>
      <w:r>
        <w:rPr>
          <w:rFonts w:hint="default" w:ascii="Times New Roman" w:hAnsi="Times New Roman" w:eastAsia="宋体" w:cs="Times New Roman"/>
          <w:color w:val="000000" w:themeColor="text1"/>
          <w:sz w:val="24"/>
          <w:szCs w:val="24"/>
          <w:vertAlign w:val="subscript"/>
        </w:rPr>
        <w:t>X</w:t>
      </w:r>
      <w:r>
        <w:rPr>
          <w:rFonts w:hint="default" w:ascii="Times New Roman" w:hAnsi="Times New Roman" w:eastAsia="宋体" w:cs="Times New Roman"/>
          <w:color w:val="000000" w:themeColor="text1"/>
          <w:sz w:val="24"/>
          <w:szCs w:val="24"/>
          <w:lang w:eastAsia="zh-CN"/>
        </w:rPr>
        <w:t>和颗粒物</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根据前文计算结果可知，本项目施工期施工机械废气中污染物产生量相对较少，</w:t>
      </w:r>
      <w:r>
        <w:rPr>
          <w:rFonts w:hint="default" w:ascii="Times New Roman" w:hAnsi="Times New Roman" w:eastAsia="宋体" w:cs="Times New Roman"/>
          <w:color w:val="000000" w:themeColor="text1"/>
          <w:sz w:val="24"/>
          <w:szCs w:val="24"/>
        </w:rPr>
        <w:t>经过大气扩散后对敏感点的影响较小。对于汽车尾气的控制，环评要求所用运输车辆</w:t>
      </w:r>
      <w:r>
        <w:rPr>
          <w:rFonts w:hint="eastAsia" w:ascii="Times New Roman" w:hAnsi="Times New Roman" w:eastAsia="宋体" w:cs="Times New Roman"/>
          <w:color w:val="000000" w:themeColor="text1"/>
          <w:sz w:val="24"/>
          <w:szCs w:val="24"/>
          <w:lang w:eastAsia="zh-CN"/>
        </w:rPr>
        <w:t>定期保养维修</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选用合格的燃油，禁止擅自改装等</w:t>
      </w:r>
      <w:r>
        <w:rPr>
          <w:rFonts w:hint="eastAsia" w:ascii="Times New Roman" w:hAnsi="Times New Roman" w:eastAsia="宋体" w:cs="Times New Roman"/>
          <w:color w:val="000000" w:themeColor="text1"/>
          <w:sz w:val="24"/>
          <w:szCs w:val="24"/>
          <w:lang w:eastAsia="zh-CN"/>
        </w:rPr>
        <w:t>，定期对机械进行质量检查，不符合标准的机械淘汰更新，禁止使用。</w:t>
      </w:r>
      <w:r>
        <w:rPr>
          <w:rFonts w:hint="default" w:ascii="Times New Roman" w:hAnsi="Times New Roman" w:eastAsia="宋体" w:cs="Times New Roman"/>
          <w:color w:val="000000" w:themeColor="text1"/>
          <w:sz w:val="24"/>
          <w:szCs w:val="24"/>
          <w:lang w:eastAsia="zh-CN"/>
        </w:rPr>
        <w:t>减少车辆尾气对</w:t>
      </w:r>
      <w:r>
        <w:rPr>
          <w:rFonts w:hint="eastAsia" w:ascii="Times New Roman" w:hAnsi="Times New Roman" w:eastAsia="宋体" w:cs="Times New Roman"/>
          <w:color w:val="000000" w:themeColor="text1"/>
          <w:sz w:val="24"/>
          <w:szCs w:val="24"/>
          <w:lang w:val="en-US" w:eastAsia="zh-CN"/>
        </w:rPr>
        <w:t>环境空气和</w:t>
      </w:r>
      <w:r>
        <w:rPr>
          <w:rFonts w:hint="default" w:ascii="Times New Roman" w:hAnsi="Times New Roman" w:eastAsia="宋体" w:cs="Times New Roman"/>
          <w:color w:val="000000" w:themeColor="text1"/>
          <w:sz w:val="24"/>
          <w:szCs w:val="24"/>
          <w:lang w:eastAsia="zh-CN"/>
        </w:rPr>
        <w:t>居民的影响</w:t>
      </w:r>
      <w:r>
        <w:rPr>
          <w:rFonts w:hint="default" w:ascii="Times New Roman" w:hAnsi="Times New Roman" w:eastAsia="宋体" w:cs="Times New Roman"/>
          <w:color w:val="000000" w:themeColor="text1"/>
          <w:sz w:val="24"/>
          <w:szCs w:val="24"/>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（3）施工期餐饮油烟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000000" w:themeColor="text1"/>
          <w:sz w:val="24"/>
          <w:szCs w:val="24"/>
          <w:lang w:val="en-US" w:eastAsia="zh-CN" w:bidi="en-US"/>
        </w:rPr>
      </w:pPr>
      <w:r>
        <w:rPr>
          <w:rFonts w:hint="eastAsia" w:ascii="Times New Roman" w:hAnsi="Times New Roman" w:eastAsia="宋体" w:cs="Times New Roman"/>
          <w:bCs/>
          <w:color w:val="000000" w:themeColor="text1"/>
          <w:sz w:val="24"/>
          <w:szCs w:val="24"/>
          <w:lang w:val="en-US" w:eastAsia="zh-CN" w:bidi="en-US"/>
        </w:rPr>
        <w:t>由工程分析可知，本项目施工期油烟产生量为11.133</w:t>
      </w:r>
      <w:r>
        <w:rPr>
          <w:rFonts w:hint="eastAsia" w:ascii="Times New Roman" w:hAnsi="Times New Roman" w:eastAsia="宋体" w:cs="Times New Roman"/>
          <w:color w:val="000000" w:themeColor="text1"/>
          <w:sz w:val="24"/>
          <w:szCs w:val="24"/>
          <w:lang w:val="en-US" w:eastAsia="zh-CN"/>
        </w:rPr>
        <w:t>kg</w:t>
      </w:r>
      <w:r>
        <w:rPr>
          <w:rFonts w:hint="eastAsia" w:ascii="Times New Roman" w:hAnsi="Times New Roman" w:eastAsia="宋体" w:cs="Times New Roman"/>
          <w:bCs/>
          <w:color w:val="000000" w:themeColor="text1"/>
          <w:sz w:val="24"/>
          <w:szCs w:val="24"/>
          <w:lang w:val="en-US" w:eastAsia="zh-CN" w:bidi="en-US"/>
        </w:rPr>
        <w:t>，本项目设油烟净化器一套，</w:t>
      </w:r>
      <w:r>
        <w:rPr>
          <w:rFonts w:hint="default" w:ascii="Times New Roman" w:hAnsi="Times New Roman" w:eastAsia="宋体" w:cs="Times New Roman"/>
          <w:color w:val="000000" w:themeColor="text1"/>
          <w:sz w:val="24"/>
          <w:szCs w:val="24"/>
        </w:rPr>
        <w:t>厨房油烟经过油烟净化器净化后排放，净化效率为60%，油烟排放浓度为</w:t>
      </w:r>
      <w:r>
        <w:rPr>
          <w:rFonts w:hint="eastAsia" w:ascii="Times New Roman" w:hAnsi="Times New Roman" w:eastAsia="宋体"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，符合《饮食业油烟排放标准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》（GB18483-2001）表2中油烟最高允许排放浓度2.0mg/m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的要求。</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bCs/>
          <w:color w:val="000000" w:themeColor="text1"/>
          <w:sz w:val="24"/>
          <w:szCs w:val="24"/>
          <w:lang w:eastAsia="zh-CN" w:bidi="en-US"/>
        </w:rPr>
      </w:pPr>
      <w:r>
        <w:rPr>
          <w:rFonts w:hint="default" w:ascii="Times New Roman" w:hAnsi="Times New Roman" w:eastAsia="宋体" w:cs="Times New Roman"/>
          <w:color w:val="000000" w:themeColor="text1"/>
          <w:sz w:val="24"/>
          <w:szCs w:val="24"/>
          <w:lang w:bidi="en-US"/>
        </w:rPr>
        <w:t>综上，施工期废气对大气环境污染</w:t>
      </w:r>
      <w:r>
        <w:rPr>
          <w:rFonts w:hint="default" w:ascii="Times New Roman" w:hAnsi="Times New Roman" w:eastAsia="宋体" w:cs="Times New Roman"/>
          <w:bCs/>
          <w:color w:val="000000" w:themeColor="text1"/>
          <w:sz w:val="24"/>
          <w:szCs w:val="24"/>
          <w:lang w:bidi="en-US"/>
        </w:rPr>
        <w:t>是局部的、短暂的，</w:t>
      </w:r>
      <w:r>
        <w:rPr>
          <w:rFonts w:hint="default" w:ascii="Times New Roman" w:hAnsi="Times New Roman" w:eastAsia="宋体" w:cs="Times New Roman"/>
          <w:bCs/>
          <w:color w:val="000000" w:themeColor="text1"/>
          <w:sz w:val="24"/>
          <w:szCs w:val="24"/>
          <w:lang w:eastAsia="zh-CN" w:bidi="en-US"/>
        </w:rPr>
        <w:t>在采取一定的环保措施后，施工场地扬尘</w:t>
      </w:r>
      <w:r>
        <w:rPr>
          <w:rFonts w:hint="eastAsia" w:ascii="Times New Roman" w:hAnsi="Times New Roman" w:eastAsia="宋体" w:cs="Times New Roman"/>
          <w:bCs/>
          <w:color w:val="000000" w:themeColor="text1"/>
          <w:sz w:val="24"/>
          <w:szCs w:val="24"/>
          <w:lang w:eastAsia="zh-CN" w:bidi="en-US"/>
        </w:rPr>
        <w:t>、</w:t>
      </w:r>
      <w:r>
        <w:rPr>
          <w:rFonts w:hint="default" w:ascii="Times New Roman" w:hAnsi="Times New Roman" w:eastAsia="宋体" w:cs="Times New Roman"/>
          <w:bCs/>
          <w:color w:val="000000" w:themeColor="text1"/>
          <w:sz w:val="24"/>
          <w:szCs w:val="24"/>
          <w:lang w:eastAsia="zh-CN" w:bidi="en-US"/>
        </w:rPr>
        <w:t>施工机械废气</w:t>
      </w:r>
      <w:r>
        <w:rPr>
          <w:rFonts w:hint="eastAsia" w:ascii="Times New Roman" w:hAnsi="Times New Roman" w:eastAsia="宋体" w:cs="Times New Roman"/>
          <w:bCs/>
          <w:color w:val="000000" w:themeColor="text1"/>
          <w:sz w:val="24"/>
          <w:szCs w:val="24"/>
          <w:lang w:val="en-US" w:eastAsia="zh-CN" w:bidi="en-US"/>
        </w:rPr>
        <w:t>等</w:t>
      </w:r>
      <w:r>
        <w:rPr>
          <w:rFonts w:hint="default" w:ascii="Times New Roman" w:hAnsi="Times New Roman" w:eastAsia="宋体" w:cs="Times New Roman"/>
          <w:bCs/>
          <w:color w:val="000000" w:themeColor="text1"/>
          <w:sz w:val="24"/>
          <w:szCs w:val="24"/>
          <w:lang w:eastAsia="zh-CN" w:bidi="en-US"/>
        </w:rPr>
        <w:t>对环境空气的影响较小，</w:t>
      </w:r>
      <w:r>
        <w:rPr>
          <w:rFonts w:hint="default" w:ascii="Times New Roman" w:hAnsi="Times New Roman" w:eastAsia="宋体" w:cs="Times New Roman"/>
          <w:bCs/>
          <w:color w:val="000000" w:themeColor="text1"/>
          <w:sz w:val="24"/>
          <w:szCs w:val="24"/>
          <w:lang w:bidi="en-US"/>
        </w:rPr>
        <w:t>施工期结束后这种影响就会消失，对环境影响</w:t>
      </w:r>
      <w:r>
        <w:rPr>
          <w:rFonts w:hint="default" w:ascii="Times New Roman" w:hAnsi="Times New Roman" w:eastAsia="宋体" w:cs="Times New Roman"/>
          <w:bCs/>
          <w:color w:val="000000" w:themeColor="text1"/>
          <w:sz w:val="24"/>
          <w:szCs w:val="24"/>
          <w:lang w:eastAsia="zh-CN" w:bidi="en-US"/>
        </w:rPr>
        <w:t>不大</w:t>
      </w:r>
      <w:r>
        <w:rPr>
          <w:rFonts w:hint="eastAsia" w:ascii="Times New Roman" w:hAnsi="Times New Roman" w:eastAsia="宋体" w:cs="Times New Roman"/>
          <w:bCs/>
          <w:color w:val="000000" w:themeColor="text1"/>
          <w:sz w:val="24"/>
          <w:szCs w:val="24"/>
          <w:lang w:eastAsia="zh-CN" w:bidi="en-US"/>
        </w:rPr>
        <w:t>。</w:t>
      </w:r>
    </w:p>
    <w:p>
      <w:pPr>
        <w:pStyle w:val="5"/>
        <w:rPr>
          <w:rFonts w:hint="default"/>
          <w:color w:val="000000" w:themeColor="text1"/>
          <w:lang w:val="en-US" w:eastAsia="zh-CN"/>
        </w:rPr>
      </w:pPr>
      <w:bookmarkStart w:id="761" w:name="_Toc19446"/>
      <w:r>
        <w:rPr>
          <w:rFonts w:hint="default"/>
          <w:color w:val="000000" w:themeColor="text1"/>
          <w:lang w:val="en-US" w:eastAsia="zh-CN"/>
        </w:rPr>
        <w:t>声环境</w:t>
      </w:r>
      <w:bookmarkEnd w:id="76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outlineLvl w:val="9"/>
        <w:rPr>
          <w:rFonts w:hint="default" w:ascii="Times New Roman" w:hAnsi="Times New Roman" w:eastAsia="宋体" w:cs="Times New Roman"/>
          <w:b w:val="0"/>
          <w:bCs/>
          <w:color w:val="000000" w:themeColor="text1"/>
          <w:kern w:val="2"/>
          <w:sz w:val="24"/>
          <w:szCs w:val="24"/>
          <w:lang w:val="en-US" w:eastAsia="zh-CN" w:bidi="en-US"/>
        </w:rPr>
      </w:pPr>
      <w:r>
        <w:rPr>
          <w:rFonts w:hint="default" w:ascii="Times New Roman" w:hAnsi="Times New Roman" w:eastAsia="宋体" w:cs="Times New Roman"/>
          <w:b w:val="0"/>
          <w:bCs/>
          <w:color w:val="000000" w:themeColor="text1"/>
          <w:kern w:val="2"/>
          <w:sz w:val="24"/>
          <w:szCs w:val="24"/>
          <w:lang w:val="en-US" w:eastAsia="zh-CN" w:bidi="en-US"/>
        </w:rPr>
        <w:t>根据项目开发利用方案及类比调查，项目施工期产噪设备主要有推土机、挖掘机、混凝土振捣器、电锯、载重汽车、翻斗车、装载机等，上述产噪设备噪声级见表3.2.3-1。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color w:val="000000" w:themeColor="text1"/>
          <w:kern w:val="2"/>
          <w:sz w:val="24"/>
          <w:szCs w:val="24"/>
          <w:lang w:val="en-US" w:eastAsia="zh-CN" w:bidi="en-US"/>
        </w:rPr>
      </w:pPr>
      <w:r>
        <w:rPr>
          <w:rFonts w:hint="default" w:ascii="Times New Roman" w:hAnsi="Times New Roman" w:eastAsia="宋体" w:cs="Times New Roman"/>
          <w:b w:val="0"/>
          <w:bCs/>
          <w:color w:val="000000" w:themeColor="text1"/>
          <w:kern w:val="2"/>
          <w:sz w:val="24"/>
          <w:szCs w:val="24"/>
          <w:lang w:val="en-US" w:eastAsia="zh-CN" w:bidi="en-US"/>
        </w:rPr>
        <w:t>将以上声源视为点声源，根据声源噪声衰减的计算公式如下：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color w:val="000000" w:themeColor="text1"/>
          <w:kern w:val="2"/>
          <w:sz w:val="24"/>
          <w:szCs w:val="24"/>
          <w:lang w:val="en-US" w:eastAsia="zh-CN" w:bidi="en-US"/>
        </w:rPr>
      </w:pPr>
      <w:r>
        <w:rPr>
          <w:rFonts w:hint="default" w:ascii="Times New Roman" w:hAnsi="Times New Roman" w:eastAsia="宋体" w:cs="Times New Roman"/>
          <w:b w:val="0"/>
          <w:bCs/>
          <w:color w:val="000000" w:themeColor="text1"/>
          <w:kern w:val="2"/>
          <w:sz w:val="24"/>
          <w:szCs w:val="24"/>
          <w:lang w:val="en-US" w:eastAsia="zh-CN" w:bidi="en-US"/>
        </w:rPr>
        <w:t>L</w:t>
      </w:r>
      <w:r>
        <w:rPr>
          <w:rFonts w:hint="default" w:ascii="Times New Roman" w:hAnsi="Times New Roman" w:eastAsia="宋体" w:cs="Times New Roman"/>
          <w:b w:val="0"/>
          <w:bCs/>
          <w:color w:val="000000" w:themeColor="text1"/>
          <w:kern w:val="2"/>
          <w:sz w:val="24"/>
          <w:szCs w:val="24"/>
          <w:vertAlign w:val="subscript"/>
          <w:lang w:val="en-US" w:eastAsia="zh-CN" w:bidi="en-US"/>
        </w:rPr>
        <w:t>2</w:t>
      </w:r>
      <w:r>
        <w:rPr>
          <w:rFonts w:hint="default" w:ascii="Times New Roman" w:hAnsi="Times New Roman" w:eastAsia="宋体" w:cs="Times New Roman"/>
          <w:b w:val="0"/>
          <w:bCs/>
          <w:color w:val="000000" w:themeColor="text1"/>
          <w:kern w:val="2"/>
          <w:sz w:val="24"/>
          <w:szCs w:val="24"/>
          <w:lang w:val="en-US" w:eastAsia="zh-CN" w:bidi="en-US"/>
        </w:rPr>
        <w:t>＝L</w:t>
      </w:r>
      <w:r>
        <w:rPr>
          <w:rFonts w:hint="default" w:ascii="Times New Roman" w:hAnsi="Times New Roman" w:eastAsia="宋体" w:cs="Times New Roman"/>
          <w:b w:val="0"/>
          <w:bCs/>
          <w:color w:val="000000" w:themeColor="text1"/>
          <w:kern w:val="2"/>
          <w:sz w:val="24"/>
          <w:szCs w:val="24"/>
          <w:vertAlign w:val="subscript"/>
          <w:lang w:val="en-US" w:eastAsia="zh-CN" w:bidi="en-US"/>
        </w:rPr>
        <w:t>1</w:t>
      </w:r>
      <w:r>
        <w:rPr>
          <w:rFonts w:hint="default" w:ascii="Times New Roman" w:hAnsi="Times New Roman" w:eastAsia="宋体" w:cs="Times New Roman"/>
          <w:b w:val="0"/>
          <w:bCs/>
          <w:color w:val="000000" w:themeColor="text1"/>
          <w:kern w:val="2"/>
          <w:sz w:val="24"/>
          <w:szCs w:val="24"/>
          <w:lang w:val="en-US" w:eastAsia="zh-CN" w:bidi="en-US"/>
        </w:rPr>
        <w:t>－20lg（r</w:t>
      </w:r>
      <w:r>
        <w:rPr>
          <w:rFonts w:hint="default" w:ascii="Times New Roman" w:hAnsi="Times New Roman" w:eastAsia="宋体" w:cs="Times New Roman"/>
          <w:b w:val="0"/>
          <w:bCs/>
          <w:color w:val="000000" w:themeColor="text1"/>
          <w:kern w:val="2"/>
          <w:sz w:val="24"/>
          <w:szCs w:val="24"/>
          <w:vertAlign w:val="subscript"/>
          <w:lang w:val="en-US" w:eastAsia="zh-CN" w:bidi="en-US"/>
        </w:rPr>
        <w:t>2</w:t>
      </w:r>
      <w:r>
        <w:rPr>
          <w:rFonts w:hint="default" w:ascii="Times New Roman" w:hAnsi="Times New Roman" w:eastAsia="宋体" w:cs="Times New Roman"/>
          <w:b w:val="0"/>
          <w:bCs/>
          <w:color w:val="000000" w:themeColor="text1"/>
          <w:kern w:val="2"/>
          <w:sz w:val="24"/>
          <w:szCs w:val="24"/>
          <w:lang w:val="en-US" w:eastAsia="zh-CN" w:bidi="en-US"/>
        </w:rPr>
        <w:t>/r</w:t>
      </w:r>
      <w:r>
        <w:rPr>
          <w:rFonts w:hint="default" w:ascii="Times New Roman" w:hAnsi="Times New Roman" w:eastAsia="宋体" w:cs="Times New Roman"/>
          <w:b w:val="0"/>
          <w:bCs/>
          <w:color w:val="000000" w:themeColor="text1"/>
          <w:kern w:val="2"/>
          <w:sz w:val="24"/>
          <w:szCs w:val="24"/>
          <w:vertAlign w:val="subscript"/>
          <w:lang w:val="en-US" w:eastAsia="zh-CN" w:bidi="en-US"/>
        </w:rPr>
        <w:t>1</w:t>
      </w:r>
      <w:r>
        <w:rPr>
          <w:rFonts w:hint="default" w:ascii="Times New Roman" w:hAnsi="Times New Roman" w:eastAsia="宋体" w:cs="Times New Roman"/>
          <w:b w:val="0"/>
          <w:bCs/>
          <w:color w:val="000000" w:themeColor="text1"/>
          <w:kern w:val="2"/>
          <w:sz w:val="24"/>
          <w:szCs w:val="24"/>
          <w:lang w:val="en-US" w:eastAsia="zh-CN" w:bidi="en-US"/>
        </w:rPr>
        <w:t>）（r</w:t>
      </w:r>
      <w:r>
        <w:rPr>
          <w:rFonts w:hint="default" w:ascii="Times New Roman" w:hAnsi="Times New Roman" w:eastAsia="宋体" w:cs="Times New Roman"/>
          <w:b w:val="0"/>
          <w:bCs/>
          <w:color w:val="000000" w:themeColor="text1"/>
          <w:kern w:val="2"/>
          <w:sz w:val="24"/>
          <w:szCs w:val="24"/>
          <w:vertAlign w:val="subscript"/>
          <w:lang w:val="en-US" w:eastAsia="zh-CN" w:bidi="en-US"/>
        </w:rPr>
        <w:t>2</w:t>
      </w:r>
      <w:r>
        <w:rPr>
          <w:rFonts w:hint="default" w:ascii="Times New Roman" w:hAnsi="Times New Roman" w:eastAsia="宋体" w:cs="Times New Roman"/>
          <w:b w:val="0"/>
          <w:bCs/>
          <w:color w:val="000000" w:themeColor="text1"/>
          <w:kern w:val="2"/>
          <w:sz w:val="24"/>
          <w:szCs w:val="24"/>
          <w:lang w:val="en-US" w:eastAsia="zh-CN" w:bidi="en-US"/>
        </w:rPr>
        <w:t>&gt;r</w:t>
      </w:r>
      <w:r>
        <w:rPr>
          <w:rFonts w:hint="default" w:ascii="Times New Roman" w:hAnsi="Times New Roman" w:eastAsia="宋体" w:cs="Times New Roman"/>
          <w:b w:val="0"/>
          <w:bCs/>
          <w:color w:val="000000" w:themeColor="text1"/>
          <w:kern w:val="2"/>
          <w:sz w:val="24"/>
          <w:szCs w:val="24"/>
          <w:vertAlign w:val="subscript"/>
          <w:lang w:val="en-US" w:eastAsia="zh-CN" w:bidi="en-US"/>
        </w:rPr>
        <w:t>1</w:t>
      </w:r>
      <w:r>
        <w:rPr>
          <w:rFonts w:hint="default" w:ascii="Times New Roman" w:hAnsi="Times New Roman" w:eastAsia="宋体" w:cs="Times New Roman"/>
          <w:b w:val="0"/>
          <w:bCs/>
          <w:color w:val="000000" w:themeColor="text1"/>
          <w:kern w:val="2"/>
          <w:sz w:val="24"/>
          <w:szCs w:val="24"/>
          <w:lang w:val="en-US" w:eastAsia="zh-CN" w:bidi="en-US"/>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color w:val="000000" w:themeColor="text1"/>
          <w:kern w:val="2"/>
          <w:sz w:val="24"/>
          <w:szCs w:val="24"/>
          <w:lang w:val="en-US" w:eastAsia="zh-CN" w:bidi="en-US"/>
        </w:rPr>
      </w:pPr>
      <w:r>
        <w:rPr>
          <w:rFonts w:hint="default" w:ascii="Times New Roman" w:hAnsi="Times New Roman" w:eastAsia="宋体" w:cs="Times New Roman"/>
          <w:b w:val="0"/>
          <w:bCs/>
          <w:color w:val="000000" w:themeColor="text1"/>
          <w:kern w:val="2"/>
          <w:sz w:val="24"/>
          <w:szCs w:val="24"/>
          <w:lang w:val="en-US" w:eastAsia="zh-CN" w:bidi="en-US"/>
        </w:rPr>
        <w:t>式中：r</w:t>
      </w:r>
      <w:r>
        <w:rPr>
          <w:rFonts w:hint="default" w:ascii="Times New Roman" w:hAnsi="Times New Roman" w:eastAsia="宋体" w:cs="Times New Roman"/>
          <w:b w:val="0"/>
          <w:bCs/>
          <w:color w:val="000000" w:themeColor="text1"/>
          <w:kern w:val="2"/>
          <w:sz w:val="24"/>
          <w:szCs w:val="24"/>
          <w:vertAlign w:val="subscript"/>
          <w:lang w:val="en-US" w:eastAsia="zh-CN" w:bidi="en-US"/>
        </w:rPr>
        <w:t>2</w:t>
      </w:r>
      <w:r>
        <w:rPr>
          <w:rFonts w:hint="default" w:ascii="Times New Roman" w:hAnsi="Times New Roman" w:eastAsia="宋体" w:cs="Times New Roman"/>
          <w:b w:val="0"/>
          <w:bCs/>
          <w:color w:val="000000" w:themeColor="text1"/>
          <w:kern w:val="2"/>
          <w:sz w:val="24"/>
          <w:szCs w:val="24"/>
          <w:lang w:val="en-US" w:eastAsia="zh-CN" w:bidi="en-US"/>
        </w:rPr>
        <w:t>、r</w:t>
      </w:r>
      <w:r>
        <w:rPr>
          <w:rFonts w:hint="default" w:ascii="Times New Roman" w:hAnsi="Times New Roman" w:eastAsia="宋体" w:cs="Times New Roman"/>
          <w:b w:val="0"/>
          <w:bCs/>
          <w:color w:val="000000" w:themeColor="text1"/>
          <w:kern w:val="2"/>
          <w:sz w:val="24"/>
          <w:szCs w:val="24"/>
          <w:vertAlign w:val="subscript"/>
          <w:lang w:val="en-US" w:eastAsia="zh-CN" w:bidi="en-US"/>
        </w:rPr>
        <w:t>1</w:t>
      </w:r>
      <w:r>
        <w:rPr>
          <w:rFonts w:hint="default" w:ascii="Times New Roman" w:hAnsi="Times New Roman" w:eastAsia="宋体" w:cs="Times New Roman"/>
          <w:b w:val="0"/>
          <w:bCs/>
          <w:color w:val="000000" w:themeColor="text1"/>
          <w:kern w:val="2"/>
          <w:sz w:val="24"/>
          <w:szCs w:val="24"/>
          <w:lang w:val="en-US" w:eastAsia="zh-CN" w:bidi="en-US"/>
        </w:rPr>
        <w:t xml:space="preserve"> —— 距离声源的距离（m）。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color w:val="000000" w:themeColor="text1"/>
          <w:kern w:val="2"/>
          <w:sz w:val="24"/>
          <w:szCs w:val="24"/>
          <w:lang w:val="en-US" w:eastAsia="zh-CN" w:bidi="en-US"/>
        </w:rPr>
      </w:pPr>
      <w:r>
        <w:rPr>
          <w:rFonts w:hint="default" w:ascii="Times New Roman" w:hAnsi="Times New Roman" w:eastAsia="宋体" w:cs="Times New Roman"/>
          <w:b w:val="0"/>
          <w:bCs/>
          <w:color w:val="000000" w:themeColor="text1"/>
          <w:kern w:val="2"/>
          <w:sz w:val="24"/>
          <w:szCs w:val="24"/>
          <w:lang w:val="en-US" w:eastAsia="zh-CN" w:bidi="en-US"/>
        </w:rPr>
        <w:t xml:space="preserve">      L</w:t>
      </w:r>
      <w:r>
        <w:rPr>
          <w:rFonts w:hint="default" w:ascii="Times New Roman" w:hAnsi="Times New Roman" w:eastAsia="宋体" w:cs="Times New Roman"/>
          <w:b w:val="0"/>
          <w:bCs/>
          <w:color w:val="000000" w:themeColor="text1"/>
          <w:kern w:val="2"/>
          <w:sz w:val="24"/>
          <w:szCs w:val="24"/>
          <w:vertAlign w:val="subscript"/>
          <w:lang w:val="en-US" w:eastAsia="zh-CN" w:bidi="en-US"/>
        </w:rPr>
        <w:t>2</w:t>
      </w:r>
      <w:r>
        <w:rPr>
          <w:rFonts w:hint="default" w:ascii="Times New Roman" w:hAnsi="Times New Roman" w:eastAsia="宋体" w:cs="Times New Roman"/>
          <w:b w:val="0"/>
          <w:bCs/>
          <w:color w:val="000000" w:themeColor="text1"/>
          <w:kern w:val="2"/>
          <w:sz w:val="24"/>
          <w:szCs w:val="24"/>
          <w:lang w:val="en-US" w:eastAsia="zh-CN" w:bidi="en-US"/>
        </w:rPr>
        <w:t>、L</w:t>
      </w:r>
      <w:r>
        <w:rPr>
          <w:rFonts w:hint="default" w:ascii="Times New Roman" w:hAnsi="Times New Roman" w:eastAsia="宋体" w:cs="Times New Roman"/>
          <w:b w:val="0"/>
          <w:bCs/>
          <w:color w:val="000000" w:themeColor="text1"/>
          <w:kern w:val="2"/>
          <w:sz w:val="24"/>
          <w:szCs w:val="24"/>
          <w:vertAlign w:val="subscript"/>
          <w:lang w:val="en-US" w:eastAsia="zh-CN" w:bidi="en-US"/>
        </w:rPr>
        <w:t>1</w:t>
      </w:r>
      <w:r>
        <w:rPr>
          <w:rFonts w:hint="default" w:ascii="Times New Roman" w:hAnsi="Times New Roman" w:eastAsia="宋体" w:cs="Times New Roman"/>
          <w:b w:val="0"/>
          <w:bCs/>
          <w:color w:val="000000" w:themeColor="text1"/>
          <w:kern w:val="2"/>
          <w:sz w:val="24"/>
          <w:szCs w:val="24"/>
          <w:lang w:val="en-US" w:eastAsia="zh-CN" w:bidi="en-US"/>
        </w:rPr>
        <w:t xml:space="preserve"> —— r</w:t>
      </w:r>
      <w:r>
        <w:rPr>
          <w:rFonts w:hint="default" w:ascii="Times New Roman" w:hAnsi="Times New Roman" w:eastAsia="宋体" w:cs="Times New Roman"/>
          <w:b w:val="0"/>
          <w:bCs/>
          <w:color w:val="000000" w:themeColor="text1"/>
          <w:kern w:val="2"/>
          <w:sz w:val="24"/>
          <w:szCs w:val="24"/>
          <w:vertAlign w:val="subscript"/>
          <w:lang w:val="en-US" w:eastAsia="zh-CN" w:bidi="en-US"/>
        </w:rPr>
        <w:t>2</w:t>
      </w:r>
      <w:r>
        <w:rPr>
          <w:rFonts w:hint="default" w:ascii="Times New Roman" w:hAnsi="Times New Roman" w:eastAsia="宋体" w:cs="Times New Roman"/>
          <w:b w:val="0"/>
          <w:bCs/>
          <w:color w:val="000000" w:themeColor="text1"/>
          <w:kern w:val="2"/>
          <w:sz w:val="24"/>
          <w:szCs w:val="24"/>
          <w:lang w:val="en-US" w:eastAsia="zh-CN" w:bidi="en-US"/>
        </w:rPr>
        <w:t>、r</w:t>
      </w:r>
      <w:r>
        <w:rPr>
          <w:rFonts w:hint="default" w:ascii="Times New Roman" w:hAnsi="Times New Roman" w:eastAsia="宋体" w:cs="Times New Roman"/>
          <w:b w:val="0"/>
          <w:bCs/>
          <w:color w:val="000000" w:themeColor="text1"/>
          <w:kern w:val="2"/>
          <w:sz w:val="24"/>
          <w:szCs w:val="24"/>
          <w:vertAlign w:val="subscript"/>
          <w:lang w:val="en-US" w:eastAsia="zh-CN" w:bidi="en-US"/>
        </w:rPr>
        <w:t>1</w:t>
      </w:r>
      <w:r>
        <w:rPr>
          <w:rFonts w:hint="default" w:ascii="Times New Roman" w:hAnsi="Times New Roman" w:eastAsia="宋体" w:cs="Times New Roman"/>
          <w:b w:val="0"/>
          <w:bCs/>
          <w:color w:val="000000" w:themeColor="text1"/>
          <w:kern w:val="2"/>
          <w:sz w:val="24"/>
          <w:szCs w:val="24"/>
          <w:lang w:val="en-US" w:eastAsia="zh-CN" w:bidi="en-US"/>
        </w:rPr>
        <w:t>距离出的噪声值dB(A)。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cs="Times New Roman"/>
          <w:color w:val="000000" w:themeColor="text1"/>
        </w:rPr>
      </w:pPr>
      <w:r>
        <w:rPr>
          <w:rFonts w:hint="default" w:ascii="Times New Roman" w:hAnsi="Times New Roman" w:eastAsia="宋体" w:cs="Times New Roman"/>
          <w:b w:val="0"/>
          <w:bCs/>
          <w:color w:val="000000" w:themeColor="text1"/>
          <w:kern w:val="2"/>
          <w:sz w:val="24"/>
          <w:szCs w:val="24"/>
          <w:lang w:val="en-US" w:eastAsia="zh-CN" w:bidi="en-US"/>
        </w:rPr>
        <w:t>各种施工设备在施工时随距离的衰减</w:t>
      </w:r>
      <w:r>
        <w:rPr>
          <w:rFonts w:hint="eastAsia" w:ascii="Times New Roman" w:hAnsi="Times New Roman" w:eastAsia="宋体" w:cs="Times New Roman"/>
          <w:b w:val="0"/>
          <w:bCs/>
          <w:color w:val="000000" w:themeColor="text1"/>
          <w:kern w:val="2"/>
          <w:sz w:val="24"/>
          <w:szCs w:val="24"/>
          <w:lang w:val="en-US" w:eastAsia="zh-CN" w:bidi="en-US"/>
        </w:rPr>
        <w:t>见</w:t>
      </w:r>
      <w:r>
        <w:rPr>
          <w:rFonts w:hint="default" w:ascii="Times New Roman" w:hAnsi="Times New Roman" w:eastAsia="宋体" w:cs="Times New Roman"/>
          <w:b w:val="0"/>
          <w:bCs/>
          <w:color w:val="000000" w:themeColor="text1"/>
          <w:kern w:val="2"/>
          <w:sz w:val="24"/>
          <w:szCs w:val="24"/>
          <w:lang w:val="en-US" w:eastAsia="zh-CN" w:bidi="en-US"/>
        </w:rPr>
        <w:t>表</w:t>
      </w:r>
      <w:r>
        <w:rPr>
          <w:rFonts w:hint="eastAsia" w:ascii="Times New Roman" w:hAnsi="Times New Roman" w:eastAsia="宋体" w:cs="Times New Roman"/>
          <w:b w:val="0"/>
          <w:bCs/>
          <w:color w:val="000000" w:themeColor="text1"/>
          <w:kern w:val="2"/>
          <w:sz w:val="24"/>
          <w:szCs w:val="24"/>
          <w:lang w:val="en-US" w:eastAsia="zh-CN" w:bidi="en-US"/>
        </w:rPr>
        <w:t>5.1-2</w:t>
      </w:r>
      <w:r>
        <w:rPr>
          <w:rFonts w:hint="default" w:ascii="Times New Roman" w:hAnsi="Times New Roman" w:eastAsia="宋体" w:cs="Times New Roman"/>
          <w:b w:val="0"/>
          <w:bCs/>
          <w:color w:val="000000" w:themeColor="text1"/>
          <w:kern w:val="2"/>
          <w:sz w:val="24"/>
          <w:szCs w:val="24"/>
          <w:lang w:val="en-US" w:eastAsia="zh-CN" w:bidi="en-US"/>
        </w:rPr>
        <w:t>。</w:t>
      </w:r>
    </w:p>
    <w:p>
      <w:pPr>
        <w:keepNext/>
        <w:spacing w:line="240" w:lineRule="auto"/>
        <w:ind w:firstLine="422"/>
        <w:jc w:val="center"/>
        <w:rPr>
          <w:rFonts w:cs="Times New Roman"/>
          <w:b/>
          <w:bCs/>
          <w:color w:val="000000" w:themeColor="text1"/>
          <w:sz w:val="21"/>
          <w:szCs w:val="21"/>
          <w:lang w:bidi="en-US"/>
        </w:rPr>
      </w:pPr>
      <w:r>
        <w:rPr>
          <w:rFonts w:hint="default" w:ascii="Times New Roman" w:hAnsi="Times New Roman" w:eastAsia="宋体" w:cs="Times New Roman"/>
          <w:b/>
          <w:color w:val="000000" w:themeColor="text1"/>
          <w:sz w:val="21"/>
          <w:szCs w:val="20"/>
        </w:rPr>
        <w:t>表</w:t>
      </w:r>
      <w:r>
        <w:rPr>
          <w:rFonts w:hint="default" w:ascii="Times New Roman" w:hAnsi="Times New Roman" w:eastAsia="宋体" w:cs="Times New Roman"/>
          <w:b/>
          <w:color w:val="000000" w:themeColor="text1"/>
          <w:sz w:val="21"/>
          <w:szCs w:val="20"/>
          <w:lang w:val="en-US" w:eastAsia="zh-CN"/>
        </w:rPr>
        <w:t>5.1-</w:t>
      </w:r>
      <w:r>
        <w:rPr>
          <w:rFonts w:hint="eastAsia" w:ascii="Times New Roman" w:hAnsi="Times New Roman" w:eastAsia="宋体" w:cs="Times New Roman"/>
          <w:b/>
          <w:color w:val="000000" w:themeColor="text1"/>
          <w:sz w:val="21"/>
          <w:szCs w:val="20"/>
          <w:lang w:val="en-US" w:eastAsia="zh-CN"/>
        </w:rPr>
        <w:t>2</w:t>
      </w:r>
      <w:r>
        <w:rPr>
          <w:rFonts w:cs="Times New Roman"/>
          <w:b/>
          <w:color w:val="000000" w:themeColor="text1"/>
          <w:sz w:val="21"/>
          <w:szCs w:val="20"/>
        </w:rPr>
        <w:t xml:space="preserve">  主要施工机械在不同距离的噪声值</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668"/>
        <w:gridCol w:w="809"/>
        <w:gridCol w:w="740"/>
        <w:gridCol w:w="786"/>
        <w:gridCol w:w="858"/>
        <w:gridCol w:w="786"/>
        <w:gridCol w:w="836"/>
        <w:gridCol w:w="900"/>
        <w:gridCol w:w="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6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序号</w:t>
            </w:r>
          </w:p>
        </w:tc>
        <w:tc>
          <w:tcPr>
            <w:tcW w:w="16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施工机械设备名称</w:t>
            </w:r>
          </w:p>
        </w:tc>
        <w:tc>
          <w:tcPr>
            <w:tcW w:w="481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eastAsia="zh-CN" w:bidi="en-US"/>
              </w:rPr>
            </w:pPr>
            <w:r>
              <w:rPr>
                <w:rFonts w:hint="default" w:ascii="Times New Roman" w:hAnsi="Times New Roman" w:eastAsia="宋体" w:cs="Times New Roman"/>
                <w:color w:val="000000" w:themeColor="text1"/>
                <w:sz w:val="21"/>
                <w:szCs w:val="21"/>
                <w:lang w:bidi="en-US"/>
              </w:rPr>
              <w:t>离施工点不同距离的噪声值</w:t>
            </w:r>
            <w:r>
              <w:rPr>
                <w:rFonts w:hint="default" w:ascii="Times New Roman" w:hAnsi="Times New Roman" w:eastAsia="宋体" w:cs="Times New Roman"/>
                <w:color w:val="000000" w:themeColor="text1"/>
                <w:kern w:val="0"/>
                <w:sz w:val="21"/>
                <w:szCs w:val="21"/>
                <w:lang w:eastAsia="en-US" w:bidi="en-US"/>
              </w:rPr>
              <w:t>dB（A）</w:t>
            </w:r>
          </w:p>
        </w:tc>
        <w:tc>
          <w:tcPr>
            <w:tcW w:w="182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GB3096-2008</w:t>
            </w:r>
          </w:p>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标准dB（A）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6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p>
        </w:tc>
        <w:tc>
          <w:tcPr>
            <w:tcW w:w="16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10m</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50m</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100m</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150m</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200m</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2</w:t>
            </w:r>
            <w:r>
              <w:rPr>
                <w:rFonts w:hint="default" w:ascii="Times New Roman" w:hAnsi="Times New Roman" w:eastAsia="宋体" w:cs="Times New Roman"/>
                <w:color w:val="000000" w:themeColor="text1"/>
                <w:sz w:val="21"/>
                <w:szCs w:val="21"/>
                <w:lang w:val="en-US" w:eastAsia="zh-CN" w:bidi="en-US"/>
              </w:rPr>
              <w:t>6</w:t>
            </w:r>
            <w:r>
              <w:rPr>
                <w:rFonts w:hint="default" w:ascii="Times New Roman" w:hAnsi="Times New Roman" w:eastAsia="宋体" w:cs="Times New Roman"/>
                <w:color w:val="000000" w:themeColor="text1"/>
                <w:sz w:val="21"/>
                <w:szCs w:val="21"/>
                <w:lang w:bidi="en-US"/>
              </w:rPr>
              <w:t>0m</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昼间</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1</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推土机</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70</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56</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46</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44</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42</w:t>
            </w:r>
          </w:p>
        </w:tc>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60</w:t>
            </w:r>
          </w:p>
        </w:tc>
        <w:tc>
          <w:tcPr>
            <w:tcW w:w="9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2</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挖掘机</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65</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51</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41</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39</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37</w:t>
            </w:r>
          </w:p>
        </w:tc>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3</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振捣器</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70</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56</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46</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44</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42</w:t>
            </w:r>
          </w:p>
        </w:tc>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4</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电锯</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83</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69</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63</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59</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57</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55</w:t>
            </w:r>
          </w:p>
        </w:tc>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装载机</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65</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51</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41</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39</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37</w:t>
            </w:r>
          </w:p>
        </w:tc>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eastAsia="zh-CN" w:bidi="en-US"/>
              </w:rPr>
            </w:pPr>
            <w:r>
              <w:rPr>
                <w:rFonts w:hint="default" w:ascii="Times New Roman" w:hAnsi="Times New Roman" w:eastAsia="宋体" w:cs="Times New Roman"/>
                <w:color w:val="000000" w:themeColor="text1"/>
                <w:sz w:val="21"/>
                <w:szCs w:val="21"/>
                <w:lang w:val="en-US" w:eastAsia="zh-CN" w:bidi="en-US"/>
              </w:rPr>
              <w:t>6</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bidi="en-US"/>
              </w:rPr>
            </w:pPr>
            <w:r>
              <w:rPr>
                <w:rFonts w:hint="default" w:ascii="Times New Roman" w:hAnsi="Times New Roman" w:eastAsia="宋体" w:cs="Times New Roman"/>
                <w:color w:val="000000" w:themeColor="text1"/>
                <w:sz w:val="21"/>
                <w:szCs w:val="21"/>
                <w:lang w:bidi="en-US"/>
              </w:rPr>
              <w:t>载重汽车</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65</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51</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41</w:t>
            </w:r>
          </w:p>
        </w:tc>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39</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en-US"/>
              </w:rPr>
            </w:pPr>
            <w:r>
              <w:rPr>
                <w:rFonts w:hint="default" w:ascii="Times New Roman" w:hAnsi="Times New Roman" w:eastAsia="宋体" w:cs="Times New Roman"/>
                <w:color w:val="000000" w:themeColor="text1"/>
                <w:sz w:val="21"/>
                <w:szCs w:val="21"/>
                <w:lang w:val="en-US" w:eastAsia="zh-CN" w:bidi="en-US"/>
              </w:rPr>
              <w:t>37</w:t>
            </w:r>
          </w:p>
        </w:tc>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outlineLvl w:val="9"/>
              <w:rPr>
                <w:rFonts w:hint="default" w:ascii="Times New Roman" w:hAnsi="Times New Roman" w:eastAsia="宋体" w:cs="Times New Roman"/>
                <w:color w:val="000000" w:themeColor="text1"/>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bCs/>
          <w:color w:val="FF0000"/>
          <w:sz w:val="24"/>
          <w:szCs w:val="24"/>
          <w:lang w:bidi="en-US"/>
        </w:rPr>
        <w:t>施工期昼间施工，夜间不施工。由上表可以看出，昼间施工时，距施工场界150m时可满足</w:t>
      </w:r>
      <w:r>
        <w:rPr>
          <w:rFonts w:hint="default" w:ascii="Times New Roman" w:hAnsi="Times New Roman" w:eastAsia="宋体" w:cs="Times New Roman"/>
          <w:color w:val="FF0000"/>
          <w:sz w:val="24"/>
          <w:szCs w:val="24"/>
        </w:rPr>
        <w:t>《声环境质量标准》（GB3096－2008）的2类标准</w:t>
      </w:r>
      <w:r>
        <w:rPr>
          <w:rFonts w:hint="default" w:ascii="Times New Roman" w:hAnsi="Times New Roman" w:eastAsia="宋体" w:cs="Times New Roman"/>
          <w:bCs/>
          <w:color w:val="FF0000"/>
          <w:sz w:val="24"/>
          <w:szCs w:val="24"/>
          <w:lang w:bidi="en-US"/>
        </w:rPr>
        <w:t>。施工过程中，机械往往是同时作业</w:t>
      </w:r>
      <w:r>
        <w:rPr>
          <w:rFonts w:hint="eastAsia" w:ascii="Times New Roman" w:hAnsi="Times New Roman" w:eastAsia="宋体" w:cs="Times New Roman"/>
          <w:bCs/>
          <w:color w:val="FF0000"/>
          <w:sz w:val="24"/>
          <w:szCs w:val="24"/>
          <w:lang w:eastAsia="zh-CN" w:bidi="en-US"/>
        </w:rPr>
        <w:t>且在一定范围内具有流动性</w:t>
      </w:r>
      <w:r>
        <w:rPr>
          <w:rFonts w:hint="default" w:ascii="Times New Roman" w:hAnsi="Times New Roman" w:eastAsia="宋体" w:cs="Times New Roman"/>
          <w:bCs/>
          <w:color w:val="FF0000"/>
          <w:sz w:val="24"/>
          <w:szCs w:val="24"/>
          <w:lang w:bidi="en-US"/>
        </w:rPr>
        <w:t>，</w:t>
      </w:r>
      <w:r>
        <w:rPr>
          <w:rFonts w:hint="eastAsia" w:ascii="Times New Roman" w:hAnsi="Times New Roman" w:eastAsia="宋体" w:cs="Times New Roman"/>
          <w:bCs/>
          <w:color w:val="FF0000"/>
          <w:sz w:val="24"/>
          <w:szCs w:val="24"/>
          <w:lang w:eastAsia="zh-CN" w:bidi="en-US"/>
        </w:rPr>
        <w:t>难以定量分析</w:t>
      </w:r>
      <w:r>
        <w:rPr>
          <w:rFonts w:hint="default" w:ascii="Times New Roman" w:hAnsi="Times New Roman" w:eastAsia="宋体" w:cs="Times New Roman"/>
          <w:bCs/>
          <w:color w:val="FF0000"/>
          <w:sz w:val="24"/>
          <w:szCs w:val="24"/>
          <w:lang w:bidi="en-US"/>
        </w:rPr>
        <w:t>。</w:t>
      </w:r>
      <w:r>
        <w:rPr>
          <w:rFonts w:hint="eastAsia" w:ascii="Times New Roman" w:hAnsi="Times New Roman" w:eastAsia="宋体" w:cs="Times New Roman"/>
          <w:bCs/>
          <w:color w:val="FF0000"/>
          <w:sz w:val="24"/>
          <w:szCs w:val="24"/>
          <w:lang w:eastAsia="zh-CN" w:bidi="en-US"/>
        </w:rPr>
        <w:t>本</w:t>
      </w:r>
      <w:r>
        <w:rPr>
          <w:rFonts w:hint="default" w:ascii="Times New Roman" w:hAnsi="Times New Roman" w:eastAsia="宋体" w:cs="Times New Roman"/>
          <w:bCs/>
          <w:color w:val="FF0000"/>
          <w:sz w:val="24"/>
          <w:szCs w:val="24"/>
          <w:lang w:bidi="en-US"/>
        </w:rPr>
        <w:t>项目</w:t>
      </w:r>
      <w:r>
        <w:rPr>
          <w:rFonts w:hint="eastAsia" w:ascii="Times New Roman" w:hAnsi="Times New Roman" w:eastAsia="宋体" w:cs="Times New Roman"/>
          <w:bCs/>
          <w:color w:val="FF0000"/>
          <w:sz w:val="24"/>
          <w:szCs w:val="24"/>
          <w:lang w:val="en-US" w:eastAsia="zh-CN" w:bidi="en-US"/>
        </w:rPr>
        <w:t>工业场地</w:t>
      </w:r>
      <w:r>
        <w:rPr>
          <w:rFonts w:hint="default" w:ascii="Times New Roman" w:hAnsi="Times New Roman" w:eastAsia="宋体" w:cs="Times New Roman"/>
          <w:color w:val="FF0000"/>
          <w:sz w:val="24"/>
          <w:szCs w:val="24"/>
        </w:rPr>
        <w:t>周边居民点离矿区距离均较远</w:t>
      </w:r>
      <w:r>
        <w:rPr>
          <w:rFonts w:hint="eastAsia" w:ascii="Times New Roman" w:hAnsi="Times New Roman" w:eastAsia="宋体" w:cs="Times New Roman"/>
          <w:color w:val="FF0000"/>
          <w:sz w:val="24"/>
          <w:szCs w:val="24"/>
          <w:lang w:eastAsia="zh-CN"/>
        </w:rPr>
        <w:t>，矿区</w:t>
      </w:r>
      <w:r>
        <w:rPr>
          <w:rFonts w:hint="eastAsia" w:ascii="Times New Roman" w:hAnsi="Times New Roman" w:eastAsia="宋体" w:cs="Times New Roman"/>
          <w:color w:val="FF0000"/>
          <w:sz w:val="24"/>
          <w:szCs w:val="24"/>
          <w:lang w:val="en-US" w:eastAsia="zh-CN"/>
        </w:rPr>
        <w:t>200m范围内无噪声敏感点</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工业场地的施工对周边居民的影响不大，</w:t>
      </w:r>
      <w:r>
        <w:rPr>
          <w:rFonts w:hint="default" w:ascii="Times New Roman" w:hAnsi="Times New Roman" w:eastAsia="宋体" w:cs="Times New Roman"/>
          <w:color w:val="FF0000"/>
          <w:sz w:val="24"/>
          <w:szCs w:val="24"/>
        </w:rPr>
        <w:t>且存在山体</w:t>
      </w:r>
      <w:r>
        <w:rPr>
          <w:rFonts w:hint="eastAsia" w:ascii="Times New Roman" w:hAnsi="Times New Roman" w:eastAsia="宋体" w:cs="Times New Roman"/>
          <w:color w:val="FF0000"/>
          <w:sz w:val="24"/>
          <w:szCs w:val="24"/>
          <w:lang w:eastAsia="zh-CN"/>
        </w:rPr>
        <w:t>阻隔，周围林木密集，具有一定的隔声减噪效果。</w:t>
      </w:r>
      <w:r>
        <w:rPr>
          <w:rFonts w:hint="eastAsia" w:ascii="Times New Roman" w:hAnsi="Times New Roman" w:eastAsia="宋体" w:cs="Times New Roman"/>
          <w:color w:val="FF0000"/>
          <w:sz w:val="24"/>
          <w:szCs w:val="24"/>
          <w:lang w:val="en-US" w:eastAsia="zh-CN"/>
        </w:rPr>
        <w:t>在道路施工过程中，道路两侧有零星的居民分布，由于居民距离道路较近，道路施工对居民存在一定的影响。为减小道路施工噪声对周边居民的影响，环评要求建设单位：</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在临近居民区域设置硬质围挡，在施工前通知可能受影响的居民，取得其谅解。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（2）选择低噪声设备，从源头控制高噪声设备。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（3）合理控制作业时间，夜间和午间休息时间禁止施工作业。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（4）运输车辆经过居民区时减速慢行，禁止鸣笛。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（5）加强施工机械保养，减少偶发高噪声。</w:t>
      </w:r>
    </w:p>
    <w:p>
      <w:pPr>
        <w:pStyle w:val="5"/>
        <w:rPr>
          <w:rFonts w:hint="default"/>
          <w:color w:val="000000" w:themeColor="text1"/>
          <w:lang w:val="en-US" w:eastAsia="zh-CN"/>
        </w:rPr>
      </w:pPr>
      <w:bookmarkStart w:id="762" w:name="_Toc22226"/>
      <w:r>
        <w:rPr>
          <w:rFonts w:hint="eastAsia"/>
          <w:color w:val="000000" w:themeColor="text1"/>
          <w:lang w:val="en-US" w:eastAsia="zh-CN"/>
        </w:rPr>
        <w:t>水环境影响</w:t>
      </w:r>
      <w:bookmarkEnd w:id="76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期废水主要有施工生产废水、施工人员的生活污水以及矿坑涌水等。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vertAlign w:val="baseline"/>
          <w:lang w:val="en-US" w:eastAsia="zh-CN"/>
        </w:rPr>
      </w:pPr>
      <w:r>
        <w:rPr>
          <w:rFonts w:hint="default" w:ascii="Times New Roman" w:hAnsi="Times New Roman" w:eastAsia="宋体" w:cs="Times New Roman"/>
          <w:color w:val="000000" w:themeColor="text1"/>
          <w:sz w:val="24"/>
          <w:szCs w:val="24"/>
          <w:lang w:eastAsia="zh-CN"/>
        </w:rPr>
        <w:t>本项目生产废水的产生量约为</w:t>
      </w:r>
      <w:r>
        <w:rPr>
          <w:rFonts w:hint="default" w:ascii="Times New Roman" w:hAnsi="Times New Roman" w:eastAsia="宋体" w:cs="Times New Roman"/>
          <w:color w:val="000000" w:themeColor="text1"/>
          <w:sz w:val="24"/>
          <w:szCs w:val="24"/>
        </w:rPr>
        <w:t>1m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主要污染物是SS和少量石油类，</w:t>
      </w:r>
      <w:r>
        <w:rPr>
          <w:rFonts w:hint="default" w:ascii="Times New Roman" w:hAnsi="Times New Roman" w:eastAsia="宋体" w:cs="Times New Roman"/>
          <w:color w:val="000000" w:themeColor="text1"/>
          <w:sz w:val="24"/>
          <w:szCs w:val="24"/>
          <w:lang w:eastAsia="zh-CN"/>
        </w:rPr>
        <w:t>环评要求在施工场地设置</w:t>
      </w:r>
      <w:r>
        <w:rPr>
          <w:rFonts w:hint="default" w:ascii="Times New Roman" w:hAnsi="Times New Roman" w:eastAsia="宋体" w:cs="Times New Roman"/>
          <w:color w:val="000000" w:themeColor="text1"/>
          <w:sz w:val="24"/>
          <w:szCs w:val="24"/>
          <w:vertAlign w:val="baseline"/>
          <w:lang w:eastAsia="zh-CN"/>
        </w:rPr>
        <w:t>沉淀池沉淀后回用于机械设备冲洗，不外排。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生活废水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根据工程分析，工程施工期15个月，生活污水中的主要污染物为COD、BOD</w:t>
      </w:r>
      <w:r>
        <w:rPr>
          <w:rFonts w:hint="default" w:ascii="Times New Roman" w:hAnsi="Times New Roman" w:eastAsia="宋体" w:cs="Times New Roman"/>
          <w:color w:val="000000" w:themeColor="text1"/>
          <w:sz w:val="24"/>
          <w:szCs w:val="24"/>
          <w:vertAlign w:val="subscript"/>
        </w:rPr>
        <w:t>5</w:t>
      </w:r>
      <w:r>
        <w:rPr>
          <w:rFonts w:hint="default" w:ascii="Times New Roman" w:hAnsi="Times New Roman" w:eastAsia="宋体" w:cs="Times New Roman"/>
          <w:color w:val="000000" w:themeColor="text1"/>
          <w:sz w:val="24"/>
          <w:szCs w:val="24"/>
        </w:rPr>
        <w:t>、氨氮、SS等；</w:t>
      </w:r>
      <w:r>
        <w:rPr>
          <w:rFonts w:hint="default" w:ascii="Times New Roman" w:hAnsi="Times New Roman" w:eastAsia="宋体" w:cs="Times New Roman"/>
          <w:color w:val="000000" w:themeColor="text1"/>
          <w:sz w:val="24"/>
          <w:szCs w:val="24"/>
          <w:lang w:eastAsia="zh-CN"/>
        </w:rPr>
        <w:t>生活污水</w:t>
      </w:r>
      <w:r>
        <w:rPr>
          <w:rFonts w:hint="default" w:ascii="Times New Roman" w:hAnsi="Times New Roman" w:eastAsia="宋体" w:cs="Times New Roman"/>
          <w:color w:val="000000" w:themeColor="text1"/>
          <w:sz w:val="24"/>
          <w:szCs w:val="24"/>
        </w:rPr>
        <w:t>产生量0.</w:t>
      </w:r>
      <w:r>
        <w:rPr>
          <w:rFonts w:hint="default" w:ascii="Times New Roman" w:hAnsi="Times New Roman" w:eastAsia="宋体" w:cs="Times New Roman"/>
          <w:color w:val="000000" w:themeColor="text1"/>
          <w:sz w:val="24"/>
          <w:szCs w:val="24"/>
          <w:lang w:val="en-US" w:eastAsia="zh-CN"/>
        </w:rPr>
        <w:t>72</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/d。矿山</w:t>
      </w:r>
      <w:r>
        <w:rPr>
          <w:rFonts w:hint="eastAsia" w:ascii="Times New Roman" w:hAnsi="Times New Roman" w:eastAsia="宋体" w:cs="Times New Roman"/>
          <w:color w:val="000000" w:themeColor="text1"/>
          <w:sz w:val="24"/>
          <w:szCs w:val="24"/>
          <w:lang w:val="en-US" w:eastAsia="zh-CN"/>
        </w:rPr>
        <w:t>新建化粪池一座，定期清掏用于肥田</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矿坑涌水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vertAlign w:val="superscript"/>
          <w:lang w:val="en-US" w:eastAsia="zh-CN"/>
        </w:rPr>
      </w:pPr>
      <w:r>
        <w:rPr>
          <w:rFonts w:hint="eastAsia" w:ascii="Times New Roman" w:hAnsi="Times New Roman" w:eastAsia="宋体" w:cs="Times New Roman"/>
          <w:color w:val="000000" w:themeColor="text1"/>
          <w:sz w:val="24"/>
          <w:szCs w:val="24"/>
          <w:lang w:val="en-US" w:eastAsia="zh-CN"/>
        </w:rPr>
        <w:t>根据工程分析，现有项目K1矿体实际运行情况可知，项目开采过程中，无矿坑涌水产生</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4"/>
          <w:szCs w:val="24"/>
          <w:lang w:val="en-US" w:eastAsia="zh-CN"/>
        </w:rPr>
        <w:t>根据最不利因素考虑，</w:t>
      </w:r>
      <w:r>
        <w:rPr>
          <w:rFonts w:hint="default" w:ascii="Times New Roman" w:hAnsi="Times New Roman" w:eastAsia="宋体" w:cs="Times New Roman"/>
          <w:color w:val="000000" w:themeColor="text1"/>
          <w:sz w:val="24"/>
          <w:szCs w:val="24"/>
        </w:rPr>
        <w:t>评价要求</w:t>
      </w:r>
      <w:r>
        <w:rPr>
          <w:rFonts w:hint="eastAsia" w:ascii="Times New Roman" w:hAnsi="Times New Roman" w:eastAsia="宋体" w:cs="Times New Roman"/>
          <w:color w:val="000000" w:themeColor="text1"/>
          <w:sz w:val="24"/>
          <w:szCs w:val="24"/>
          <w:lang w:val="en-US" w:eastAsia="zh-CN"/>
        </w:rPr>
        <w:t>K2</w:t>
      </w:r>
      <w:r>
        <w:rPr>
          <w:rFonts w:hint="default" w:ascii="Times New Roman" w:hAnsi="Times New Roman" w:eastAsia="宋体" w:cs="Times New Roman"/>
          <w:color w:val="000000" w:themeColor="text1"/>
          <w:sz w:val="24"/>
          <w:szCs w:val="24"/>
        </w:rPr>
        <w:t>主平硐沉淀池提前建设，用于处理基建施工时的</w:t>
      </w:r>
      <w:r>
        <w:rPr>
          <w:rFonts w:hint="eastAsia" w:ascii="Times New Roman" w:hAnsi="Times New Roman" w:eastAsia="宋体" w:cs="Times New Roman"/>
          <w:color w:val="000000" w:themeColor="text1"/>
          <w:sz w:val="24"/>
          <w:szCs w:val="24"/>
          <w:lang w:val="en-US" w:eastAsia="zh-CN"/>
        </w:rPr>
        <w:t>可能产生的</w:t>
      </w:r>
      <w:r>
        <w:rPr>
          <w:rFonts w:hint="default" w:ascii="Times New Roman" w:hAnsi="Times New Roman" w:eastAsia="宋体" w:cs="Times New Roman"/>
          <w:color w:val="000000" w:themeColor="text1"/>
          <w:sz w:val="24"/>
          <w:szCs w:val="24"/>
        </w:rPr>
        <w:t>矿坑涌水</w:t>
      </w:r>
      <w:r>
        <w:rPr>
          <w:rFonts w:hint="eastAsia" w:ascii="Times New Roman" w:hAnsi="Times New Roman" w:eastAsia="宋体" w:cs="Times New Roman"/>
          <w:color w:val="000000" w:themeColor="text1"/>
          <w:sz w:val="24"/>
          <w:szCs w:val="24"/>
          <w:lang w:val="en-US" w:eastAsia="zh-CN"/>
        </w:rPr>
        <w:t>和施工期的井下施工废水</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废水</w:t>
      </w:r>
      <w:r>
        <w:rPr>
          <w:rFonts w:hint="default" w:ascii="Times New Roman" w:hAnsi="Times New Roman" w:eastAsia="宋体" w:cs="Times New Roman"/>
          <w:color w:val="000000" w:themeColor="text1"/>
          <w:sz w:val="24"/>
          <w:szCs w:val="24"/>
        </w:rPr>
        <w:t>经沉淀处理后用于防尘洒水，不外排。</w:t>
      </w:r>
      <w:r>
        <w:rPr>
          <w:rFonts w:hint="eastAsia" w:ascii="Times New Roman" w:hAnsi="Times New Roman" w:eastAsia="宋体" w:cs="Times New Roman"/>
          <w:color w:val="000000" w:themeColor="text1"/>
          <w:sz w:val="24"/>
          <w:szCs w:val="24"/>
          <w:lang w:eastAsia="zh-CN"/>
        </w:rPr>
        <w:t>生活污水利用化粪池处理后定期清掏肥田，不外排。</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综上，</w:t>
      </w:r>
      <w:r>
        <w:rPr>
          <w:rFonts w:hint="eastAsia"/>
          <w:color w:val="000000" w:themeColor="text1"/>
          <w:sz w:val="24"/>
          <w:szCs w:val="24"/>
          <w:lang w:val="en-US" w:eastAsia="zh-CN"/>
        </w:rPr>
        <w:t>施工</w:t>
      </w:r>
      <w:r>
        <w:rPr>
          <w:rFonts w:hint="eastAsia"/>
          <w:color w:val="000000" w:themeColor="text1"/>
          <w:sz w:val="24"/>
          <w:szCs w:val="24"/>
        </w:rPr>
        <w:t>期废水全部回用，不外排，对水环境影响很小。</w:t>
      </w:r>
    </w:p>
    <w:p>
      <w:pPr>
        <w:pStyle w:val="5"/>
        <w:rPr>
          <w:rFonts w:hint="eastAsia"/>
          <w:color w:val="000000" w:themeColor="text1"/>
          <w:lang w:val="en-US" w:eastAsia="zh-CN"/>
        </w:rPr>
      </w:pPr>
      <w:bookmarkStart w:id="763" w:name="_Toc22873"/>
      <w:r>
        <w:rPr>
          <w:rFonts w:hint="eastAsia"/>
          <w:color w:val="000000" w:themeColor="text1"/>
          <w:lang w:val="en-US" w:eastAsia="zh-CN"/>
        </w:rPr>
        <w:t>固体废弃物</w:t>
      </w:r>
      <w:bookmarkEnd w:id="7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期间固体废弃物主要包括</w:t>
      </w:r>
      <w:r>
        <w:rPr>
          <w:rFonts w:hint="eastAsia" w:ascii="Times New Roman" w:hAnsi="Times New Roman" w:eastAsia="宋体" w:cs="Times New Roman"/>
          <w:color w:val="000000" w:themeColor="text1"/>
          <w:sz w:val="24"/>
          <w:szCs w:val="24"/>
          <w:lang w:eastAsia="zh-CN"/>
        </w:rPr>
        <w:t>掘进</w:t>
      </w:r>
      <w:r>
        <w:rPr>
          <w:rFonts w:hint="default" w:ascii="Times New Roman" w:hAnsi="Times New Roman" w:eastAsia="宋体" w:cs="Times New Roman"/>
          <w:color w:val="000000" w:themeColor="text1"/>
          <w:sz w:val="24"/>
          <w:szCs w:val="24"/>
        </w:rPr>
        <w:t>废石、施工队生活垃圾和建筑垃圾。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（1）</w:t>
      </w:r>
      <w:r>
        <w:rPr>
          <w:rFonts w:hint="eastAsia" w:ascii="Times New Roman" w:hAnsi="Times New Roman" w:eastAsia="宋体" w:cs="Times New Roman"/>
          <w:color w:val="000000" w:themeColor="text1"/>
          <w:sz w:val="24"/>
          <w:szCs w:val="24"/>
          <w:lang w:val="en-US" w:eastAsia="zh-CN"/>
        </w:rPr>
        <w:t>废石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矿井施工过程中产生的固废主要是</w:t>
      </w:r>
      <w:r>
        <w:rPr>
          <w:rFonts w:hint="eastAsia" w:ascii="Times New Roman" w:hAnsi="Times New Roman" w:eastAsia="宋体" w:cs="Times New Roman"/>
          <w:color w:val="000000" w:themeColor="text1"/>
          <w:sz w:val="24"/>
          <w:szCs w:val="24"/>
          <w:lang w:eastAsia="zh-CN"/>
        </w:rPr>
        <w:t>场地平整和</w:t>
      </w:r>
      <w:r>
        <w:rPr>
          <w:rFonts w:hint="default" w:ascii="Times New Roman" w:hAnsi="Times New Roman" w:eastAsia="宋体" w:cs="Times New Roman"/>
          <w:color w:val="000000" w:themeColor="text1"/>
          <w:sz w:val="24"/>
          <w:szCs w:val="24"/>
        </w:rPr>
        <w:t>掘进废石，</w:t>
      </w:r>
      <w:r>
        <w:rPr>
          <w:rFonts w:hint="eastAsia" w:ascii="Times New Roman" w:hAnsi="Times New Roman" w:eastAsia="宋体" w:cs="Times New Roman"/>
          <w:color w:val="000000" w:themeColor="text1"/>
          <w:sz w:val="24"/>
          <w:szCs w:val="24"/>
          <w:lang w:val="en-US" w:eastAsia="zh-CN"/>
        </w:rPr>
        <w:t>一部分用于修筑道路和场区基建，其余全部在井下回填，废石不外排</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本项目施工高峰期，施工人员约为30人，生活垃圾产生量约</w:t>
      </w:r>
      <w:r>
        <w:rPr>
          <w:rFonts w:hint="default" w:ascii="Times New Roman" w:hAnsi="Times New Roman" w:eastAsia="宋体" w:cs="Times New Roman"/>
          <w:color w:val="000000" w:themeColor="text1"/>
          <w:sz w:val="24"/>
          <w:szCs w:val="24"/>
          <w:lang w:val="en-US" w:eastAsia="zh-CN"/>
        </w:rPr>
        <w:t>15</w:t>
      </w:r>
      <w:r>
        <w:rPr>
          <w:rFonts w:hint="default" w:ascii="Times New Roman" w:hAnsi="Times New Roman" w:eastAsia="宋体" w:cs="Times New Roman"/>
          <w:color w:val="000000" w:themeColor="text1"/>
          <w:sz w:val="24"/>
          <w:szCs w:val="24"/>
        </w:rPr>
        <w:t>kg/d，</w:t>
      </w:r>
      <w:r>
        <w:rPr>
          <w:rFonts w:hint="default" w:ascii="Times New Roman" w:hAnsi="Times New Roman" w:eastAsia="宋体" w:cs="Times New Roman"/>
          <w:color w:val="000000" w:themeColor="text1"/>
          <w:sz w:val="24"/>
          <w:szCs w:val="24"/>
          <w:lang w:eastAsia="zh-CN"/>
        </w:rPr>
        <w:t>在施工场地设生活垃圾桶</w:t>
      </w:r>
      <w:r>
        <w:rPr>
          <w:rFonts w:hint="default" w:ascii="Times New Roman" w:hAnsi="Times New Roman" w:eastAsia="宋体" w:cs="Times New Roman"/>
          <w:color w:val="000000" w:themeColor="text1"/>
          <w:sz w:val="24"/>
          <w:szCs w:val="24"/>
        </w:rPr>
        <w:t>，经分类收集后按当地环卫部门要求定期运往指定地点合理处置，对周围环境影响不大。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建筑垃圾</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color w:val="000000" w:themeColor="text1"/>
          <w:sz w:val="24"/>
          <w:szCs w:val="24"/>
        </w:rPr>
        <w:t>建筑垃圾主要包括施工过程地基处理和建材损耗、装修阶段产生的少量砂土石块、水泥、碎木料屑等；建筑垃圾产生总量约为0.08万m</w:t>
      </w:r>
      <w:r>
        <w:rPr>
          <w:rFonts w:hint="default"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vertAlign w:val="baseline"/>
          <w:lang w:val="en-US" w:eastAsia="zh-CN"/>
        </w:rPr>
        <w:t>建筑垃圾产生量较少，且成分简单，全部作为填料修筑道路，不外排。</w:t>
      </w:r>
    </w:p>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bookmarkStart w:id="764" w:name="_Toc5921"/>
      <w:r>
        <w:rPr>
          <w:rFonts w:hint="eastAsia"/>
          <w:color w:val="000000" w:themeColor="text1"/>
          <w:lang w:val="en-US" w:eastAsia="zh-CN"/>
        </w:rPr>
        <w:t>土壤环境</w:t>
      </w:r>
      <w:bookmarkEnd w:id="764"/>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eastAsiaTheme="minorEastAsia"/>
          <w:b w:val="0"/>
          <w:bCs w:val="0"/>
          <w:color w:val="000000" w:themeColor="text1"/>
          <w:sz w:val="24"/>
          <w:szCs w:val="24"/>
          <w:lang w:val="en-US" w:eastAsia="zh-CN"/>
        </w:rPr>
      </w:pPr>
      <w:bookmarkStart w:id="765" w:name="_Toc16805"/>
      <w:r>
        <w:rPr>
          <w:rFonts w:hint="eastAsia"/>
          <w:b w:val="0"/>
          <w:bCs w:val="0"/>
          <w:color w:val="000000" w:themeColor="text1"/>
          <w:sz w:val="24"/>
          <w:szCs w:val="24"/>
        </w:rPr>
        <w:t>本项目施工期对土壤的影响主要为施工道路、施工场地的开挖对土壤表层的破坏以及引起的扬尘沉降对周围表层土壤的影响。施工人员产生的废水</w:t>
      </w:r>
      <w:r>
        <w:rPr>
          <w:rFonts w:hint="eastAsia"/>
          <w:b w:val="0"/>
          <w:bCs w:val="0"/>
          <w:color w:val="000000" w:themeColor="text1"/>
          <w:sz w:val="24"/>
          <w:szCs w:val="24"/>
          <w:lang w:eastAsia="zh-CN"/>
        </w:rPr>
        <w:t>、</w:t>
      </w:r>
      <w:r>
        <w:rPr>
          <w:rFonts w:hint="eastAsia"/>
          <w:b w:val="0"/>
          <w:bCs w:val="0"/>
          <w:color w:val="000000" w:themeColor="text1"/>
          <w:sz w:val="24"/>
          <w:szCs w:val="24"/>
        </w:rPr>
        <w:t>生活固废</w:t>
      </w:r>
      <w:r>
        <w:rPr>
          <w:rFonts w:hint="eastAsia"/>
          <w:b w:val="0"/>
          <w:bCs w:val="0"/>
          <w:color w:val="000000" w:themeColor="text1"/>
          <w:sz w:val="24"/>
          <w:szCs w:val="24"/>
          <w:lang w:eastAsia="zh-CN"/>
        </w:rPr>
        <w:t>、</w:t>
      </w:r>
      <w:r>
        <w:rPr>
          <w:rFonts w:hint="eastAsia"/>
          <w:b w:val="0"/>
          <w:bCs w:val="0"/>
          <w:color w:val="000000" w:themeColor="text1"/>
          <w:sz w:val="24"/>
          <w:szCs w:val="24"/>
          <w:lang w:val="en-US" w:eastAsia="zh-CN"/>
        </w:rPr>
        <w:t>建筑垃圾等</w:t>
      </w:r>
      <w:r>
        <w:rPr>
          <w:rFonts w:hint="eastAsia"/>
          <w:b w:val="0"/>
          <w:bCs w:val="0"/>
          <w:color w:val="000000" w:themeColor="text1"/>
          <w:sz w:val="24"/>
          <w:szCs w:val="24"/>
        </w:rPr>
        <w:t>对土壤</w:t>
      </w:r>
      <w:r>
        <w:rPr>
          <w:rFonts w:hint="eastAsia"/>
          <w:b w:val="0"/>
          <w:bCs w:val="0"/>
          <w:color w:val="000000" w:themeColor="text1"/>
          <w:sz w:val="24"/>
          <w:szCs w:val="24"/>
          <w:lang w:val="en-US" w:eastAsia="zh-CN"/>
        </w:rPr>
        <w:t>可能</w:t>
      </w:r>
      <w:r>
        <w:rPr>
          <w:rFonts w:hint="eastAsia"/>
          <w:b w:val="0"/>
          <w:bCs w:val="0"/>
          <w:color w:val="000000" w:themeColor="text1"/>
          <w:sz w:val="24"/>
          <w:szCs w:val="24"/>
        </w:rPr>
        <w:t>造成污染。</w:t>
      </w:r>
      <w:r>
        <w:rPr>
          <w:rFonts w:hint="eastAsia"/>
          <w:b w:val="0"/>
          <w:bCs w:val="0"/>
          <w:color w:val="000000" w:themeColor="text1"/>
          <w:sz w:val="24"/>
          <w:szCs w:val="24"/>
          <w:lang w:eastAsia="zh-CN"/>
        </w:rPr>
        <w:t>为减少施工对土壤环境的影响，环评提出以下要求：</w:t>
      </w:r>
      <w:bookmarkEnd w:id="765"/>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bookmarkStart w:id="766" w:name="_Toc15031"/>
      <w:r>
        <w:rPr>
          <w:rFonts w:hint="eastAsia" w:ascii="Times New Roman" w:hAnsi="Times New Roman" w:eastAsia="宋体" w:cs="Times New Roman"/>
          <w:b w:val="0"/>
          <w:bCs w:val="0"/>
          <w:color w:val="000000" w:themeColor="text1"/>
          <w:sz w:val="24"/>
          <w:szCs w:val="24"/>
          <w:lang w:val="en-US" w:eastAsia="zh-CN"/>
        </w:rPr>
        <w:t>（1）合理规划、尽量减少工程占地，减少土壤破坏面积。</w:t>
      </w:r>
      <w:bookmarkEnd w:id="766"/>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bookmarkStart w:id="767" w:name="_Toc14614"/>
      <w:r>
        <w:rPr>
          <w:rFonts w:hint="eastAsia" w:ascii="Times New Roman" w:hAnsi="Times New Roman" w:eastAsia="宋体" w:cs="Times New Roman"/>
          <w:b w:val="0"/>
          <w:bCs w:val="0"/>
          <w:color w:val="000000" w:themeColor="text1"/>
          <w:sz w:val="24"/>
          <w:szCs w:val="24"/>
          <w:lang w:val="en-US" w:eastAsia="zh-CN"/>
        </w:rPr>
        <w:t>（2）对施工场地的物料进行苫盖，防止扬尘污染周边表层土壤。</w:t>
      </w:r>
      <w:bookmarkEnd w:id="767"/>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bookmarkStart w:id="768" w:name="_Toc18152"/>
      <w:r>
        <w:rPr>
          <w:rFonts w:hint="eastAsia" w:ascii="Times New Roman" w:hAnsi="Times New Roman" w:eastAsia="宋体" w:cs="Times New Roman"/>
          <w:b w:val="0"/>
          <w:bCs w:val="0"/>
          <w:color w:val="000000" w:themeColor="text1"/>
          <w:sz w:val="24"/>
          <w:szCs w:val="24"/>
          <w:lang w:val="en-US" w:eastAsia="zh-CN"/>
        </w:rPr>
        <w:t>（3）施工过程产生的废水全部进行收集沉淀回用，防止废水地面漫流。</w:t>
      </w:r>
      <w:bookmarkEnd w:id="768"/>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bookmarkStart w:id="769" w:name="_Toc29077"/>
      <w:r>
        <w:rPr>
          <w:rFonts w:hint="eastAsia" w:ascii="Times New Roman" w:hAnsi="Times New Roman" w:eastAsia="宋体" w:cs="Times New Roman"/>
          <w:b w:val="0"/>
          <w:bCs w:val="0"/>
          <w:color w:val="000000" w:themeColor="text1"/>
          <w:sz w:val="24"/>
          <w:szCs w:val="24"/>
          <w:lang w:val="en-US" w:eastAsia="zh-CN"/>
        </w:rPr>
        <w:t>（4）固体废物分类收集，不得在场区随便堆放，并且减少堆放时间，防止雨水冲洗将有害物质带入土壤环境。</w:t>
      </w:r>
      <w:bookmarkEnd w:id="769"/>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bookmarkStart w:id="770" w:name="_Toc26707"/>
      <w:r>
        <w:rPr>
          <w:rFonts w:hint="eastAsia" w:ascii="Times New Roman" w:hAnsi="Times New Roman" w:eastAsia="宋体" w:cs="Times New Roman"/>
          <w:b w:val="0"/>
          <w:bCs w:val="0"/>
          <w:color w:val="000000" w:themeColor="text1"/>
          <w:sz w:val="24"/>
          <w:szCs w:val="24"/>
          <w:lang w:val="en-US" w:eastAsia="zh-CN"/>
        </w:rPr>
        <w:t>（5）表土分层开挖分层保存，用于恢复临时占地和矿区绿化。</w:t>
      </w:r>
      <w:bookmarkEnd w:id="770"/>
    </w:p>
    <w:p>
      <w:pPr>
        <w:pStyle w:val="5"/>
        <w:keepNext w:val="0"/>
        <w:keepLines w:val="0"/>
        <w:pageBreakBefore w:val="0"/>
        <w:widowControl w:val="0"/>
        <w:kinsoku/>
        <w:wordWrap/>
        <w:overflowPunct/>
        <w:topLinePunct w:val="0"/>
        <w:autoSpaceDE/>
        <w:autoSpaceDN/>
        <w:bidi w:val="0"/>
        <w:textAlignment w:val="auto"/>
        <w:rPr>
          <w:rFonts w:hint="eastAsia"/>
          <w:color w:val="000000" w:themeColor="text1"/>
          <w:lang w:val="en-US" w:eastAsia="zh-CN"/>
        </w:rPr>
      </w:pPr>
      <w:bookmarkStart w:id="771" w:name="_Toc1591"/>
      <w:r>
        <w:rPr>
          <w:rFonts w:hint="eastAsia"/>
          <w:color w:val="000000" w:themeColor="text1"/>
          <w:lang w:val="en-US" w:eastAsia="zh-CN"/>
        </w:rPr>
        <w:t>生态影响</w:t>
      </w:r>
      <w:bookmarkEnd w:id="771"/>
    </w:p>
    <w:p>
      <w:pPr>
        <w:keepNext w:val="0"/>
        <w:keepLines w:val="0"/>
        <w:pageBreakBefore w:val="0"/>
        <w:widowControl w:val="0"/>
        <w:numPr>
          <w:ilvl w:val="3"/>
          <w:numId w:val="0"/>
        </w:numPr>
        <w:tabs>
          <w:tab w:val="left" w:pos="978"/>
        </w:tabs>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b w:val="0"/>
          <w:color w:val="000000" w:themeColor="text1"/>
          <w:sz w:val="24"/>
          <w:szCs w:val="24"/>
          <w:lang w:eastAsia="zh-CN"/>
        </w:rPr>
        <w:t>（</w:t>
      </w:r>
      <w:r>
        <w:rPr>
          <w:rFonts w:hint="eastAsia" w:ascii="Times New Roman" w:hAnsi="Times New Roman" w:eastAsia="宋体" w:cs="Times New Roman"/>
          <w:b w:val="0"/>
          <w:color w:val="000000" w:themeColor="text1"/>
          <w:sz w:val="24"/>
          <w:szCs w:val="24"/>
          <w:lang w:val="en-US" w:eastAsia="zh-CN"/>
        </w:rPr>
        <w:t>1</w:t>
      </w:r>
      <w:r>
        <w:rPr>
          <w:rFonts w:hint="eastAsia" w:ascii="Times New Roman" w:hAnsi="Times New Roman" w:eastAsia="宋体" w:cs="Times New Roman"/>
          <w:b w:val="0"/>
          <w:color w:val="000000" w:themeColor="text1"/>
          <w:sz w:val="24"/>
          <w:szCs w:val="24"/>
          <w:lang w:eastAsia="zh-CN"/>
        </w:rPr>
        <w:t>）</w:t>
      </w:r>
      <w:r>
        <w:rPr>
          <w:rFonts w:hint="default" w:ascii="Times New Roman" w:hAnsi="Times New Roman" w:eastAsia="宋体" w:cs="Times New Roman"/>
          <w:color w:val="000000" w:themeColor="text1"/>
          <w:sz w:val="24"/>
          <w:szCs w:val="24"/>
        </w:rPr>
        <w:t>工程占地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本工程对植被的影响主要为工业场地、道路等地表工程施工，工程占地类型</w:t>
      </w:r>
      <w:r>
        <w:rPr>
          <w:rFonts w:hint="eastAsia" w:ascii="Times New Roman" w:hAnsi="Times New Roman" w:eastAsia="宋体" w:cs="Times New Roman"/>
          <w:color w:val="000000" w:themeColor="text1"/>
          <w:sz w:val="24"/>
          <w:szCs w:val="24"/>
          <w:lang w:eastAsia="zh-CN"/>
        </w:rPr>
        <w:t>主要</w:t>
      </w:r>
      <w:r>
        <w:rPr>
          <w:rFonts w:hint="default" w:ascii="Times New Roman" w:hAnsi="Times New Roman" w:eastAsia="宋体" w:cs="Times New Roman"/>
          <w:color w:val="000000" w:themeColor="text1"/>
          <w:sz w:val="24"/>
          <w:szCs w:val="24"/>
        </w:rPr>
        <w:t>为林地，</w:t>
      </w:r>
      <w:r>
        <w:rPr>
          <w:rFonts w:hint="default" w:ascii="Times New Roman" w:hAnsi="Times New Roman" w:eastAsia="宋体" w:cs="Times New Roman"/>
          <w:color w:val="000000" w:themeColor="text1"/>
          <w:sz w:val="24"/>
          <w:szCs w:val="24"/>
          <w:lang w:eastAsia="zh-CN"/>
        </w:rPr>
        <w:t>本项目不</w:t>
      </w:r>
      <w:r>
        <w:rPr>
          <w:rFonts w:hint="default" w:ascii="Times New Roman" w:hAnsi="Times New Roman" w:eastAsia="宋体" w:cs="Times New Roman"/>
          <w:color w:val="000000" w:themeColor="text1"/>
          <w:sz w:val="24"/>
          <w:szCs w:val="24"/>
        </w:rPr>
        <w:t>占用基本农田，符合国家土地利用的相关政策法规；从工程占地性质看，占地为临时占地，</w:t>
      </w:r>
      <w:r>
        <w:rPr>
          <w:rFonts w:hint="eastAsia" w:ascii="Times New Roman" w:hAnsi="Times New Roman" w:eastAsia="宋体" w:cs="Times New Roman"/>
          <w:color w:val="000000" w:themeColor="text1"/>
          <w:sz w:val="24"/>
          <w:szCs w:val="24"/>
          <w:lang w:eastAsia="zh-CN"/>
        </w:rPr>
        <w:t>施工期尽量减少施工占地，</w:t>
      </w:r>
      <w:r>
        <w:rPr>
          <w:rFonts w:hint="eastAsia" w:ascii="Times New Roman" w:hAnsi="Times New Roman" w:eastAsia="宋体" w:cs="Times New Roman"/>
          <w:color w:val="000000" w:themeColor="text1"/>
          <w:sz w:val="24"/>
          <w:szCs w:val="24"/>
          <w:lang w:val="en-US" w:eastAsia="zh-CN"/>
        </w:rPr>
        <w:t>植被恢复尽量选用当地物种，加强养护等根据场地所在区域的生态环境，植被恢复为灌草结合的方式</w:t>
      </w:r>
      <w:r>
        <w:rPr>
          <w:rFonts w:hint="eastAsia" w:ascii="Times New Roman" w:hAnsi="Times New Roman" w:eastAsia="宋体" w:cs="Times New Roman"/>
          <w:color w:val="000000" w:themeColor="text1"/>
          <w:sz w:val="24"/>
          <w:szCs w:val="24"/>
          <w:lang w:eastAsia="zh-CN"/>
        </w:rPr>
        <w:t>。本项目的运营期为</w:t>
      </w:r>
      <w:r>
        <w:rPr>
          <w:rFonts w:hint="eastAsia" w:ascii="Times New Roman" w:hAnsi="Times New Roman" w:eastAsia="宋体" w:cs="Times New Roman"/>
          <w:color w:val="000000" w:themeColor="text1"/>
          <w:sz w:val="24"/>
          <w:szCs w:val="24"/>
          <w:lang w:val="en-US" w:eastAsia="zh-CN"/>
        </w:rPr>
        <w:t>5.3年，</w:t>
      </w:r>
      <w:r>
        <w:rPr>
          <w:rFonts w:hint="default" w:ascii="Times New Roman" w:hAnsi="Times New Roman" w:eastAsia="宋体" w:cs="Times New Roman"/>
          <w:color w:val="000000" w:themeColor="text1"/>
          <w:sz w:val="24"/>
          <w:szCs w:val="24"/>
        </w:rPr>
        <w:t>对土地利用仅为短期影响，不会根本上改变土地利用类型，施工结束后可通过</w:t>
      </w:r>
      <w:r>
        <w:rPr>
          <w:rFonts w:hint="eastAsia" w:ascii="Times New Roman" w:hAnsi="Times New Roman" w:eastAsia="宋体" w:cs="Times New Roman"/>
          <w:color w:val="000000" w:themeColor="text1"/>
          <w:sz w:val="24"/>
          <w:szCs w:val="24"/>
          <w:lang w:val="en-US" w:eastAsia="zh-CN"/>
        </w:rPr>
        <w:t>本项目土地利用恢复方案、水土保持方案等恢复土地原有用途</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对植被的影响</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2"/>
        <w:rPr>
          <w:rFonts w:hint="default" w:ascii="Times New Roman" w:hAnsi="Times New Roman" w:eastAsia="宋体" w:cs="Times New Roman"/>
          <w:b w:val="0"/>
          <w:bCs w:val="0"/>
          <w:color w:val="000000" w:themeColor="text1"/>
          <w:sz w:val="24"/>
          <w:szCs w:val="24"/>
          <w:lang w:val="en-US"/>
        </w:rPr>
      </w:pPr>
      <w:r>
        <w:rPr>
          <w:rFonts w:hint="eastAsia" w:ascii="Times New Roman" w:hAnsi="Times New Roman" w:eastAsia="宋体" w:cs="Times New Roman"/>
          <w:b w:val="0"/>
          <w:bCs w:val="0"/>
          <w:color w:val="000000" w:themeColor="text1"/>
          <w:sz w:val="24"/>
          <w:szCs w:val="24"/>
          <w:lang w:val="en-US" w:eastAsia="zh-CN"/>
        </w:rPr>
        <w:t>本项目临时占地主要占用林地；林地主要植被有香椿、泡桐、杨柳、榆、槐等乔木，以及龙须草、野菊、黄背草等草本植物。</w:t>
      </w:r>
      <w:r>
        <w:rPr>
          <w:rFonts w:hint="default" w:ascii="Times New Roman" w:hAnsi="Times New Roman" w:eastAsia="宋体" w:cs="Times New Roman"/>
          <w:b w:val="0"/>
          <w:bCs w:val="0"/>
          <w:color w:val="000000" w:themeColor="text1"/>
          <w:sz w:val="24"/>
          <w:szCs w:val="24"/>
        </w:rPr>
        <w:t>评价区内无国家、省重点保护植物</w:t>
      </w: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kern w:val="2"/>
          <w:sz w:val="24"/>
          <w:szCs w:val="24"/>
          <w:lang w:val="en-US" w:eastAsia="zh-CN" w:bidi="ar-SA"/>
        </w:rPr>
        <w:t>项目矿区范围林地无国家公益林，存在地方公益林，为地方一般公益林、一般商品林，工程占地不涉及基本农田。</w:t>
      </w:r>
      <w:r>
        <w:rPr>
          <w:rFonts w:hint="eastAsia" w:ascii="Times New Roman" w:hAnsi="Times New Roman" w:eastAsia="宋体" w:cs="Times New Roman"/>
          <w:b w:val="0"/>
          <w:bCs w:val="0"/>
          <w:color w:val="000000" w:themeColor="text1"/>
          <w:sz w:val="24"/>
          <w:szCs w:val="24"/>
          <w:lang w:val="en-US" w:eastAsia="zh-CN"/>
        </w:rPr>
        <w:t>本项目为地下开采，占地相对较少，对植被的占压相对较少，施工时，分层开挖，对表土进行保存，用于后期植被恢复。占地结束后，可通过植被恢复措施，恢复施工期损坏的植被，加上当地植被茂盛，雨水丰富，适合植物生长，所以对植被的影响较小，植被是水源涵养的重要介质，由此可知，本项目对当地水源涵养不会产生较大影响，</w:t>
      </w:r>
      <w:r>
        <w:rPr>
          <w:rFonts w:hint="default" w:ascii="Times New Roman" w:hAnsi="Times New Roman" w:eastAsia="宋体" w:cs="Times New Roman"/>
          <w:b w:val="0"/>
          <w:bCs w:val="0"/>
          <w:color w:val="000000" w:themeColor="text1"/>
          <w:kern w:val="2"/>
          <w:sz w:val="24"/>
          <w:szCs w:val="24"/>
          <w:lang w:val="en-US" w:eastAsia="zh-CN" w:bidi="ar-SA"/>
        </w:rPr>
        <w:t>不违背水源涵养生态保护红线区的管控要求，不会导致项目所在地水源涵养能力的降低。</w:t>
      </w:r>
    </w:p>
    <w:p>
      <w:pPr>
        <w:keepNext w:val="0"/>
        <w:keepLines w:val="0"/>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对野生动物的影响分析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施工期各种设备的噪声会对当地的野生动物有一定的驱赶作用，会使原有的野生动物向其他地方迁移</w:t>
      </w:r>
      <w:r>
        <w:rPr>
          <w:rFonts w:hint="eastAsia" w:ascii="Times New Roman" w:hAnsi="Times New Roman" w:eastAsia="宋体" w:cs="Times New Roman"/>
          <w:color w:val="000000" w:themeColor="text1"/>
          <w:sz w:val="24"/>
          <w:szCs w:val="24"/>
          <w:lang w:eastAsia="zh-CN"/>
        </w:rPr>
        <w:t>，应当合理控制噪声，减少高噪声排放</w:t>
      </w:r>
      <w:r>
        <w:rPr>
          <w:rFonts w:hint="default" w:ascii="Times New Roman" w:hAnsi="Times New Roman" w:eastAsia="宋体" w:cs="Times New Roman"/>
          <w:color w:val="000000" w:themeColor="text1"/>
          <w:sz w:val="24"/>
          <w:szCs w:val="24"/>
        </w:rPr>
        <w:t>；施工期对植被的破坏，会使一些野生动物失去部分觅食地、栖息场所和活动区域，本工程</w:t>
      </w:r>
      <w:r>
        <w:rPr>
          <w:rFonts w:hint="eastAsia" w:ascii="Times New Roman" w:hAnsi="Times New Roman" w:eastAsia="宋体" w:cs="Times New Roman"/>
          <w:color w:val="000000" w:themeColor="text1"/>
          <w:sz w:val="24"/>
          <w:szCs w:val="24"/>
          <w:lang w:eastAsia="zh-CN"/>
        </w:rPr>
        <w:t>附近的野生动物较少，</w:t>
      </w:r>
      <w:r>
        <w:rPr>
          <w:rFonts w:hint="default" w:ascii="Times New Roman" w:hAnsi="Times New Roman" w:eastAsia="宋体" w:cs="Times New Roman"/>
          <w:color w:val="000000" w:themeColor="text1"/>
          <w:sz w:val="24"/>
          <w:szCs w:val="24"/>
        </w:rPr>
        <w:t>对地表植被的剥离和占压面积较小，评价区无珍稀濒危野生动物，因此，基本不会使评价区野生动物物种种类和数量发生变化。</w:t>
      </w:r>
    </w:p>
    <w:p>
      <w:pPr>
        <w:pageBreakBefore w:val="0"/>
        <w:widowControl w:val="0"/>
        <w:numPr>
          <w:ilvl w:val="3"/>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水土流失影响</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w:t>
      </w:r>
      <w:r>
        <w:rPr>
          <w:rFonts w:hint="default" w:ascii="Times New Roman" w:hAnsi="Times New Roman" w:eastAsia="宋体" w:cs="Times New Roman"/>
          <w:color w:val="000000" w:themeColor="text1"/>
          <w:sz w:val="24"/>
          <w:szCs w:val="24"/>
        </w:rPr>
        <w:t>期修建道路及</w:t>
      </w:r>
      <w:r>
        <w:rPr>
          <w:rFonts w:hint="eastAsia" w:ascii="Times New Roman" w:hAnsi="Times New Roman" w:eastAsia="宋体" w:cs="Times New Roman"/>
          <w:color w:val="000000" w:themeColor="text1"/>
          <w:sz w:val="24"/>
          <w:szCs w:val="24"/>
          <w:lang w:val="en-US" w:eastAsia="zh-CN"/>
        </w:rPr>
        <w:t>工业场地等</w:t>
      </w:r>
      <w:r>
        <w:rPr>
          <w:rFonts w:hint="default" w:ascii="Times New Roman" w:hAnsi="Times New Roman" w:eastAsia="宋体" w:cs="Times New Roman"/>
          <w:color w:val="000000" w:themeColor="text1"/>
          <w:sz w:val="24"/>
          <w:szCs w:val="24"/>
        </w:rPr>
        <w:t xml:space="preserve">工程，开挖地基破坏地表原有植被、土层裸露，弃土弃渣堆放构成水土流失源，遇暴雨和大风不利天气条件，势必增加水土流失。故环评要求：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①施工中应加强施工管理，尽量缩小施工范围，各种施工活动应严格控制在施工区域内，将临时占地面积控制在最低限度；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②施工结束后，要及时清理施工现场，硬化地面；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3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val="en-US" w:eastAsia="zh-CN"/>
        </w:rPr>
        <w:t>临时土石方堆放、施工场地和和矿区道路等修建截排水沟；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4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④</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val="en-US" w:eastAsia="zh-CN"/>
        </w:rPr>
        <w:t>土石方和施工材料</w:t>
      </w:r>
      <w:r>
        <w:rPr>
          <w:rFonts w:hint="default" w:ascii="Times New Roman" w:hAnsi="Times New Roman" w:eastAsia="宋体" w:cs="Times New Roman"/>
          <w:color w:val="000000" w:themeColor="text1"/>
          <w:sz w:val="24"/>
          <w:szCs w:val="24"/>
        </w:rPr>
        <w:t>全部用于地面平整</w:t>
      </w:r>
      <w:r>
        <w:rPr>
          <w:rFonts w:hint="eastAsia" w:ascii="Times New Roman" w:hAnsi="Times New Roman" w:eastAsia="宋体" w:cs="Times New Roman"/>
          <w:color w:val="000000" w:themeColor="text1"/>
          <w:sz w:val="24"/>
          <w:szCs w:val="24"/>
          <w:lang w:val="en-US" w:eastAsia="zh-CN"/>
        </w:rPr>
        <w:t>和矿区修路</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临时堆放的物料进行苫盖，堆放地点选择平整的地面，防止雨水冲刷跟随地表径流形成泥浆进入外环境。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本项目施工期较短，通过采取以上措施有有效防止水土流失现象的发生，不会加剧当地水土流失现状。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color w:val="000000" w:themeColor="text1"/>
          <w:sz w:val="24"/>
          <w:szCs w:val="24"/>
        </w:rPr>
      </w:pPr>
      <w:r>
        <w:rPr>
          <w:rFonts w:hint="eastAsia" w:ascii="Times New Roman" w:hAnsi="Times New Roman" w:eastAsia="宋体" w:cs="Times New Roman"/>
          <w:color w:val="000000" w:themeColor="text1"/>
          <w:sz w:val="24"/>
          <w:szCs w:val="24"/>
          <w:lang w:eastAsia="zh-CN"/>
        </w:rPr>
        <w:t>综合考虑，</w:t>
      </w:r>
      <w:r>
        <w:rPr>
          <w:rFonts w:hint="default" w:ascii="Times New Roman" w:hAnsi="Times New Roman" w:eastAsia="宋体" w:cs="Times New Roman"/>
          <w:color w:val="000000" w:themeColor="text1"/>
          <w:sz w:val="24"/>
          <w:szCs w:val="24"/>
        </w:rPr>
        <w:t>采取</w:t>
      </w:r>
      <w:r>
        <w:rPr>
          <w:rFonts w:hint="eastAsia" w:ascii="Times New Roman" w:hAnsi="Times New Roman" w:eastAsia="宋体" w:cs="Times New Roman"/>
          <w:color w:val="000000" w:themeColor="text1"/>
          <w:sz w:val="24"/>
          <w:szCs w:val="24"/>
          <w:lang w:val="en-US" w:eastAsia="zh-CN"/>
        </w:rPr>
        <w:t>以上</w:t>
      </w:r>
      <w:r>
        <w:rPr>
          <w:rFonts w:hint="default" w:ascii="Times New Roman" w:hAnsi="Times New Roman" w:eastAsia="宋体" w:cs="Times New Roman"/>
          <w:color w:val="000000" w:themeColor="text1"/>
          <w:sz w:val="24"/>
          <w:szCs w:val="24"/>
        </w:rPr>
        <w:t>措施后对</w:t>
      </w:r>
      <w:r>
        <w:rPr>
          <w:rFonts w:hint="eastAsia" w:ascii="Times New Roman" w:hAnsi="Times New Roman" w:eastAsia="宋体" w:cs="Times New Roman"/>
          <w:color w:val="000000" w:themeColor="text1"/>
          <w:sz w:val="24"/>
          <w:szCs w:val="24"/>
          <w:lang w:val="en-US" w:eastAsia="zh-CN"/>
        </w:rPr>
        <w:t>生态</w:t>
      </w:r>
      <w:r>
        <w:rPr>
          <w:rFonts w:hint="default" w:ascii="Times New Roman" w:hAnsi="Times New Roman" w:eastAsia="宋体" w:cs="Times New Roman"/>
          <w:color w:val="000000" w:themeColor="text1"/>
          <w:sz w:val="24"/>
          <w:szCs w:val="24"/>
        </w:rPr>
        <w:t>环境影响较小。</w:t>
      </w:r>
    </w:p>
    <w:p>
      <w:pPr>
        <w:pStyle w:val="4"/>
        <w:rPr>
          <w:rFonts w:hint="eastAsia"/>
          <w:color w:val="000000" w:themeColor="text1"/>
          <w:lang w:eastAsia="zh-CN"/>
        </w:rPr>
      </w:pPr>
      <w:bookmarkStart w:id="772" w:name="_Toc13032"/>
      <w:bookmarkStart w:id="773" w:name="_Toc16495"/>
      <w:r>
        <w:rPr>
          <w:rFonts w:hint="eastAsia"/>
          <w:color w:val="000000" w:themeColor="text1"/>
          <w:lang w:val="en-US" w:eastAsia="zh-CN"/>
        </w:rPr>
        <w:t>运行</w:t>
      </w:r>
      <w:r>
        <w:rPr>
          <w:rFonts w:hint="eastAsia"/>
          <w:color w:val="000000" w:themeColor="text1"/>
        </w:rPr>
        <w:t>期</w:t>
      </w:r>
      <w:r>
        <w:rPr>
          <w:color w:val="000000" w:themeColor="text1"/>
        </w:rPr>
        <w:t>环境影响</w:t>
      </w:r>
      <w:r>
        <w:rPr>
          <w:rFonts w:hint="eastAsia"/>
          <w:color w:val="000000" w:themeColor="text1"/>
          <w:lang w:val="en-US" w:eastAsia="zh-CN"/>
        </w:rPr>
        <w:t>预测与评价</w:t>
      </w:r>
      <w:bookmarkEnd w:id="772"/>
    </w:p>
    <w:p>
      <w:pPr>
        <w:pStyle w:val="5"/>
        <w:rPr>
          <w:rFonts w:hint="eastAsia"/>
          <w:color w:val="000000" w:themeColor="text1"/>
          <w:lang w:val="en-US" w:eastAsia="zh-CN"/>
        </w:rPr>
      </w:pPr>
      <w:bookmarkStart w:id="774" w:name="_Toc13227"/>
      <w:r>
        <w:rPr>
          <w:rFonts w:hint="eastAsia"/>
          <w:color w:val="000000" w:themeColor="text1"/>
          <w:lang w:val="en-US" w:eastAsia="zh-CN"/>
        </w:rPr>
        <w:t>环境空气</w:t>
      </w:r>
      <w:bookmarkEnd w:id="773"/>
      <w:bookmarkEnd w:id="774"/>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5.2.1.1  预测模式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预测因子</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根据</w:t>
      </w:r>
      <w:r>
        <w:rPr>
          <w:rFonts w:hint="eastAsia" w:ascii="Times New Roman" w:hAnsi="Times New Roman" w:eastAsia="宋体" w:cs="Times New Roman"/>
          <w:b w:val="0"/>
          <w:bCs w:val="0"/>
          <w:color w:val="000000" w:themeColor="text1"/>
          <w:sz w:val="24"/>
          <w:szCs w:val="24"/>
          <w:lang w:val="en-US" w:eastAsia="zh-CN"/>
        </w:rPr>
        <w:t>工程分析可知，本项目排放的主要污染物为颗粒物，主要来自于矿井污风以及矿石转运无组织粉尘。</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 xml:space="preserve">（2）预测模式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依据《环境影响评价技术导则-大气环境》</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HJ2.2-2018</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评价标准</w:t>
      </w:r>
    </w:p>
    <w:p>
      <w:pPr>
        <w:pStyle w:val="25"/>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w:t>
      </w:r>
      <w:r>
        <w:rPr>
          <w:rFonts w:hint="eastAsia" w:ascii="Times New Roman" w:hAnsi="Times New Roman" w:eastAsia="宋体" w:cs="Times New Roman"/>
          <w:b/>
          <w:bCs w:val="0"/>
          <w:color w:val="000000" w:themeColor="text1"/>
          <w:sz w:val="21"/>
          <w:szCs w:val="21"/>
          <w:lang w:val="en-US" w:eastAsia="zh-CN"/>
        </w:rPr>
        <w:t>5.2-1</w:t>
      </w:r>
      <w:r>
        <w:rPr>
          <w:rFonts w:hint="default" w:ascii="Times New Roman" w:hAnsi="Times New Roman" w:eastAsia="宋体" w:cs="Times New Roman"/>
          <w:b/>
          <w:bCs w:val="0"/>
          <w:color w:val="000000" w:themeColor="text1"/>
          <w:sz w:val="21"/>
          <w:szCs w:val="21"/>
        </w:rPr>
        <w:t xml:space="preserve">  污染物评价标准</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745"/>
        <w:gridCol w:w="1935"/>
        <w:gridCol w:w="1743"/>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59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污染物名称</w:t>
            </w:r>
          </w:p>
        </w:tc>
        <w:tc>
          <w:tcPr>
            <w:tcW w:w="174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功能区</w:t>
            </w:r>
          </w:p>
        </w:tc>
        <w:tc>
          <w:tcPr>
            <w:tcW w:w="193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取值时间</w:t>
            </w:r>
          </w:p>
        </w:tc>
        <w:tc>
          <w:tcPr>
            <w:tcW w:w="174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标准值</w:t>
            </w:r>
          </w:p>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(μg/m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tc>
        <w:tc>
          <w:tcPr>
            <w:tcW w:w="193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9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TSP</w:t>
            </w:r>
          </w:p>
        </w:tc>
        <w:tc>
          <w:tcPr>
            <w:tcW w:w="174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二类区</w:t>
            </w:r>
          </w:p>
        </w:tc>
        <w:tc>
          <w:tcPr>
            <w:tcW w:w="193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24小时</w:t>
            </w:r>
          </w:p>
        </w:tc>
        <w:tc>
          <w:tcPr>
            <w:tcW w:w="174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300.0</w:t>
            </w:r>
          </w:p>
        </w:tc>
        <w:tc>
          <w:tcPr>
            <w:tcW w:w="1935"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GB 3095-2012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eastAsiaTheme="majorEastAsia"/>
          <w:color w:val="000000" w:themeColor="text1"/>
          <w:sz w:val="21"/>
          <w:szCs w:val="21"/>
          <w:vertAlign w:val="superscript"/>
          <w:lang w:eastAsia="zh-CN"/>
        </w:rPr>
      </w:pPr>
      <w:r>
        <w:rPr>
          <w:rFonts w:hint="eastAsia" w:ascii="Times New Roman" w:hAnsi="Times New Roman" w:eastAsia="宋体" w:cs="Times New Roman"/>
          <w:color w:val="000000" w:themeColor="text1"/>
          <w:sz w:val="24"/>
          <w:szCs w:val="24"/>
          <w:lang w:val="en-US" w:eastAsia="zh-CN"/>
        </w:rPr>
        <w:t>根据《环境影响评价技术导则 大气环境》（HJ2.2-2018）环境空气质量浓度标准一般选用GB3095中的1h平均质量浓度的二级浓度限值，对日均值（24小时）质量浓度限值按照3倍折算，故本项目TSP环境空气质量浓度评价标准</w:t>
      </w:r>
      <w:r>
        <w:rPr>
          <w:rFonts w:hint="default" w:ascii="Times New Roman" w:hAnsi="Times New Roman" w:cs="Times New Roman" w:eastAsiaTheme="majorEastAsia"/>
          <w:color w:val="000000" w:themeColor="text1"/>
          <w:sz w:val="24"/>
          <w:szCs w:val="24"/>
          <w:lang w:val="en-US" w:eastAsia="zh-CN"/>
        </w:rPr>
        <w:t>按照900</w:t>
      </w:r>
      <w:r>
        <w:rPr>
          <w:rFonts w:hint="default" w:ascii="Times New Roman" w:hAnsi="Times New Roman" w:cs="Times New Roman" w:eastAsiaTheme="majorEastAsia"/>
          <w:color w:val="000000" w:themeColor="text1"/>
          <w:sz w:val="24"/>
          <w:szCs w:val="24"/>
        </w:rPr>
        <w:t>μg/m</w:t>
      </w:r>
      <w:r>
        <w:rPr>
          <w:rFonts w:hint="default" w:ascii="Times New Roman" w:hAnsi="Times New Roman" w:cs="Times New Roman" w:eastAsiaTheme="majorEastAsia"/>
          <w:color w:val="000000" w:themeColor="text1"/>
          <w:sz w:val="24"/>
          <w:szCs w:val="24"/>
          <w:vertAlign w:val="superscript"/>
        </w:rPr>
        <w:t>3</w:t>
      </w:r>
      <w:r>
        <w:rPr>
          <w:rFonts w:hint="eastAsia" w:ascii="Times New Roman" w:hAnsi="Times New Roman" w:cs="Times New Roman" w:eastAsiaTheme="majorEastAsia"/>
          <w:color w:val="000000" w:themeColor="text1"/>
          <w:sz w:val="24"/>
          <w:szCs w:val="24"/>
          <w:vertAlign w:val="baseline"/>
          <w:lang w:eastAsia="zh-CN"/>
        </w:rPr>
        <w:t>进行计算。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（4）污染源参数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主要废气污染源排放参数见下表</w:t>
      </w:r>
      <w:r>
        <w:rPr>
          <w:rFonts w:hint="eastAsia" w:ascii="Times New Roman" w:hAnsi="Times New Roman" w:eastAsia="宋体" w:cs="Times New Roman"/>
          <w:color w:val="000000" w:themeColor="text1"/>
          <w:sz w:val="24"/>
          <w:szCs w:val="24"/>
          <w:lang w:eastAsia="zh-CN"/>
        </w:rPr>
        <w:t>：</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w:t>
      </w:r>
      <w:r>
        <w:rPr>
          <w:rFonts w:hint="eastAsia" w:ascii="Times New Roman" w:hAnsi="Times New Roman" w:eastAsia="宋体" w:cs="Times New Roman"/>
          <w:b/>
          <w:bCs w:val="0"/>
          <w:color w:val="000000" w:themeColor="text1"/>
          <w:sz w:val="21"/>
          <w:szCs w:val="21"/>
          <w:lang w:val="en-US" w:eastAsia="zh-CN"/>
        </w:rPr>
        <w:t>5.2-2</w:t>
      </w:r>
      <w:r>
        <w:rPr>
          <w:rFonts w:hint="default" w:ascii="Times New Roman" w:hAnsi="Times New Roman" w:eastAsia="宋体" w:cs="Times New Roman"/>
          <w:b/>
          <w:bCs w:val="0"/>
          <w:color w:val="000000" w:themeColor="text1"/>
          <w:sz w:val="21"/>
          <w:szCs w:val="21"/>
        </w:rPr>
        <w:t xml:space="preserve">  主要废气污染源参数一览表</w:t>
      </w:r>
      <w:r>
        <w:rPr>
          <w:rFonts w:hint="eastAsia" w:ascii="Times New Roman" w:hAnsi="Times New Roman" w:eastAsia="宋体" w:cs="Times New Roman"/>
          <w:b/>
          <w:bCs w:val="0"/>
          <w:color w:val="000000" w:themeColor="text1"/>
          <w:sz w:val="21"/>
          <w:szCs w:val="21"/>
          <w:lang w:eastAsia="zh-CN"/>
        </w:rPr>
        <w:t>（</w:t>
      </w:r>
      <w:r>
        <w:rPr>
          <w:rFonts w:hint="default" w:ascii="Times New Roman" w:hAnsi="Times New Roman" w:eastAsia="宋体" w:cs="Times New Roman"/>
          <w:b/>
          <w:bCs w:val="0"/>
          <w:color w:val="000000" w:themeColor="text1"/>
          <w:sz w:val="21"/>
          <w:szCs w:val="21"/>
        </w:rPr>
        <w:t>面源</w:t>
      </w:r>
      <w:r>
        <w:rPr>
          <w:rFonts w:hint="eastAsia" w:ascii="Times New Roman" w:hAnsi="Times New Roman" w:eastAsia="宋体" w:cs="Times New Roman"/>
          <w:b/>
          <w:bCs w:val="0"/>
          <w:color w:val="000000" w:themeColor="text1"/>
          <w:sz w:val="21"/>
          <w:szCs w:val="21"/>
          <w:lang w:eastAsia="zh-CN"/>
        </w:rPr>
        <w:t>）</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23"/>
        <w:gridCol w:w="1119"/>
        <w:gridCol w:w="1060"/>
        <w:gridCol w:w="764"/>
        <w:gridCol w:w="662"/>
        <w:gridCol w:w="564"/>
        <w:gridCol w:w="701"/>
        <w:gridCol w:w="763"/>
        <w:gridCol w:w="713"/>
        <w:gridCol w:w="575"/>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1049" w:hRule="atLeast"/>
          <w:jc w:val="center"/>
        </w:trPr>
        <w:tc>
          <w:tcPr>
            <w:tcW w:w="72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面源</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名称</w:t>
            </w:r>
          </w:p>
        </w:tc>
        <w:tc>
          <w:tcPr>
            <w:tcW w:w="2179" w:type="dxa"/>
            <w:gridSpan w:val="2"/>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面源起点坐标</w:t>
            </w:r>
          </w:p>
        </w:tc>
        <w:tc>
          <w:tcPr>
            <w:tcW w:w="76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海拔高度m</w:t>
            </w:r>
          </w:p>
        </w:tc>
        <w:tc>
          <w:tcPr>
            <w:tcW w:w="662"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面源</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长度m</w:t>
            </w:r>
          </w:p>
        </w:tc>
        <w:tc>
          <w:tcPr>
            <w:tcW w:w="56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面源</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宽度m</w:t>
            </w:r>
          </w:p>
        </w:tc>
        <w:tc>
          <w:tcPr>
            <w:tcW w:w="701"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与正北夹角/°</w:t>
            </w:r>
          </w:p>
        </w:tc>
        <w:tc>
          <w:tcPr>
            <w:tcW w:w="76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面源有效排放高度m</w:t>
            </w:r>
          </w:p>
        </w:tc>
        <w:tc>
          <w:tcPr>
            <w:tcW w:w="71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年排放</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小时数h</w:t>
            </w:r>
          </w:p>
        </w:tc>
        <w:tc>
          <w:tcPr>
            <w:tcW w:w="57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排放</w:t>
            </w:r>
          </w:p>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工况</w:t>
            </w:r>
          </w:p>
        </w:tc>
        <w:tc>
          <w:tcPr>
            <w:tcW w:w="131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排放因子源强（kg/h）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72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矿井污风</w:t>
            </w:r>
          </w:p>
        </w:tc>
        <w:tc>
          <w:tcPr>
            <w:tcW w:w="1119" w:type="dxa"/>
            <w:tcBorders>
              <w:tl2br w:val="nil"/>
              <w:tr2bl w:val="nil"/>
            </w:tcBorders>
            <w:vAlign w:val="center"/>
          </w:tcPr>
          <w:p>
            <w:pPr>
              <w:pStyle w:val="42"/>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109.55561</w:t>
            </w:r>
          </w:p>
        </w:tc>
        <w:tc>
          <w:tcPr>
            <w:tcW w:w="1060" w:type="dxa"/>
            <w:tcBorders>
              <w:tl2br w:val="nil"/>
              <w:tr2bl w:val="nil"/>
            </w:tcBorders>
            <w:vAlign w:val="center"/>
          </w:tcPr>
          <w:p>
            <w:pPr>
              <w:pStyle w:val="42"/>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32.61816</w:t>
            </w:r>
          </w:p>
        </w:tc>
        <w:tc>
          <w:tcPr>
            <w:tcW w:w="76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835</w:t>
            </w:r>
          </w:p>
        </w:tc>
        <w:tc>
          <w:tcPr>
            <w:tcW w:w="662"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56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701"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30</w:t>
            </w:r>
          </w:p>
        </w:tc>
        <w:tc>
          <w:tcPr>
            <w:tcW w:w="76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71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7200</w:t>
            </w:r>
          </w:p>
        </w:tc>
        <w:tc>
          <w:tcPr>
            <w:tcW w:w="57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连续</w:t>
            </w:r>
          </w:p>
        </w:tc>
        <w:tc>
          <w:tcPr>
            <w:tcW w:w="1313" w:type="dxa"/>
            <w:tcBorders>
              <w:tl2br w:val="nil"/>
              <w:tr2bl w:val="nil"/>
            </w:tcBorders>
            <w:vAlign w:val="center"/>
          </w:tcPr>
          <w:p>
            <w:pPr>
              <w:pStyle w:val="42"/>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TSP：0.00</w:t>
            </w:r>
            <w:r>
              <w:rPr>
                <w:rFonts w:hint="eastAsia" w:ascii="Times New Roman" w:hAnsi="Times New Roman" w:eastAsia="宋体" w:cs="Times New Roman"/>
                <w:color w:val="000000" w:themeColor="text1"/>
                <w:sz w:val="21"/>
                <w:szCs w:val="21"/>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72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矿石堆场</w:t>
            </w:r>
          </w:p>
        </w:tc>
        <w:tc>
          <w:tcPr>
            <w:tcW w:w="1119"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109.55581</w:t>
            </w:r>
          </w:p>
        </w:tc>
        <w:tc>
          <w:tcPr>
            <w:tcW w:w="1060"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32.61788</w:t>
            </w:r>
          </w:p>
        </w:tc>
        <w:tc>
          <w:tcPr>
            <w:tcW w:w="76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789</w:t>
            </w:r>
          </w:p>
        </w:tc>
        <w:tc>
          <w:tcPr>
            <w:tcW w:w="662"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15</w:t>
            </w:r>
          </w:p>
        </w:tc>
        <w:tc>
          <w:tcPr>
            <w:tcW w:w="564"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10</w:t>
            </w:r>
          </w:p>
        </w:tc>
        <w:tc>
          <w:tcPr>
            <w:tcW w:w="701" w:type="dxa"/>
            <w:tcBorders>
              <w:tl2br w:val="nil"/>
              <w:tr2bl w:val="nil"/>
            </w:tcBorders>
            <w:vAlign w:val="center"/>
          </w:tcPr>
          <w:p>
            <w:pPr>
              <w:pStyle w:val="42"/>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360</w:t>
            </w:r>
          </w:p>
        </w:tc>
        <w:tc>
          <w:tcPr>
            <w:tcW w:w="76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5</w:t>
            </w:r>
          </w:p>
        </w:tc>
        <w:tc>
          <w:tcPr>
            <w:tcW w:w="713"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24</w:t>
            </w:r>
            <w:r>
              <w:rPr>
                <w:rFonts w:hint="default" w:ascii="Times New Roman" w:hAnsi="Times New Roman" w:eastAsia="宋体" w:cs="Times New Roman"/>
                <w:color w:val="000000" w:themeColor="text1"/>
                <w:sz w:val="21"/>
                <w:szCs w:val="21"/>
              </w:rPr>
              <w:t>00</w:t>
            </w:r>
          </w:p>
        </w:tc>
        <w:tc>
          <w:tcPr>
            <w:tcW w:w="575" w:type="dxa"/>
            <w:tcBorders>
              <w:tl2br w:val="nil"/>
              <w:tr2bl w:val="nil"/>
            </w:tcBorders>
            <w:vAlign w:val="center"/>
          </w:tcPr>
          <w:p>
            <w:pPr>
              <w:pStyle w:val="42"/>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连续</w:t>
            </w:r>
          </w:p>
        </w:tc>
        <w:tc>
          <w:tcPr>
            <w:tcW w:w="1313" w:type="dxa"/>
            <w:tcBorders>
              <w:tl2br w:val="nil"/>
              <w:tr2bl w:val="nil"/>
            </w:tcBorders>
            <w:vAlign w:val="center"/>
          </w:tcPr>
          <w:p>
            <w:pPr>
              <w:pStyle w:val="42"/>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TSP：</w:t>
            </w:r>
            <w:r>
              <w:rPr>
                <w:rFonts w:hint="eastAsia" w:ascii="Times New Roman" w:hAnsi="Times New Roman" w:eastAsia="宋体" w:cs="Times New Roman"/>
                <w:color w:val="000000" w:themeColor="text1"/>
                <w:sz w:val="21"/>
                <w:szCs w:val="21"/>
                <w:lang w:val="en-US" w:eastAsia="zh-CN"/>
              </w:rPr>
              <w:t>0.00625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（5）项目参数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估算模式所用参数见表</w:t>
      </w:r>
    </w:p>
    <w:p>
      <w:pPr>
        <w:pStyle w:val="25"/>
        <w:spacing w:beforeLines="0" w:afterLines="0"/>
        <w:rPr>
          <w:b/>
          <w:bCs w:val="0"/>
          <w:color w:val="000000" w:themeColor="text1"/>
          <w:sz w:val="21"/>
          <w:szCs w:val="21"/>
        </w:rPr>
      </w:pPr>
      <w:r>
        <w:rPr>
          <w:rFonts w:hint="default" w:ascii="Times New Roman" w:hAnsi="Times New Roman" w:eastAsia="宋体" w:cs="Times New Roman"/>
          <w:b/>
          <w:bCs w:val="0"/>
          <w:color w:val="000000" w:themeColor="text1"/>
          <w:sz w:val="21"/>
          <w:szCs w:val="21"/>
        </w:rPr>
        <w:t>表</w:t>
      </w:r>
      <w:r>
        <w:rPr>
          <w:rFonts w:hint="eastAsia" w:ascii="Times New Roman" w:hAnsi="Times New Roman" w:eastAsia="宋体" w:cs="Times New Roman"/>
          <w:b/>
          <w:bCs w:val="0"/>
          <w:color w:val="000000" w:themeColor="text1"/>
          <w:sz w:val="21"/>
          <w:szCs w:val="21"/>
          <w:lang w:val="en-US" w:eastAsia="zh-CN"/>
        </w:rPr>
        <w:t xml:space="preserve">5.2-3 </w:t>
      </w:r>
      <w:r>
        <w:rPr>
          <w:rFonts w:hint="default" w:ascii="Times New Roman" w:hAnsi="Times New Roman" w:eastAsia="宋体" w:cs="Times New Roman"/>
          <w:b/>
          <w:bCs w:val="0"/>
          <w:color w:val="000000" w:themeColor="text1"/>
          <w:sz w:val="21"/>
          <w:szCs w:val="21"/>
        </w:rPr>
        <w:t xml:space="preserve"> 估算模型参数表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2788"/>
        <w:gridCol w:w="3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5206" w:type="dxa"/>
            <w:gridSpan w:val="2"/>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参数</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2418" w:type="dxa"/>
            <w:vMerge w:val="restart"/>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城市农村/选项</w:t>
            </w: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城市/农村</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418" w:type="dxa"/>
            <w:vMerge w:val="continue"/>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人口数(城市人口数)</w:t>
            </w:r>
          </w:p>
        </w:tc>
        <w:tc>
          <w:tcPr>
            <w:tcW w:w="3751" w:type="dxa"/>
            <w:tcBorders>
              <w:tl2br w:val="nil"/>
              <w:tr2bl w:val="nil"/>
            </w:tcBorders>
            <w:vAlign w:val="center"/>
          </w:tcPr>
          <w:p>
            <w:pPr>
              <w:pStyle w:val="42"/>
              <w:adjustRightInd w:val="0"/>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5206" w:type="dxa"/>
            <w:gridSpan w:val="2"/>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最高环境温度/℃</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r>
              <w:rPr>
                <w:rFonts w:hint="eastAsia" w:ascii="Times New Roman" w:hAnsi="Times New Roman" w:eastAsia="宋体" w:cs="Times New Roman"/>
                <w:color w:val="000000" w:themeColor="text1"/>
                <w:sz w:val="21"/>
                <w:szCs w:val="21"/>
                <w:lang w:val="en-US" w:eastAsia="zh-CN"/>
              </w:rPr>
              <w:t>1.7</w:t>
            </w:r>
            <w:r>
              <w:rPr>
                <w:rFonts w:hint="default" w:ascii="Times New Roman" w:hAnsi="Times New Roman" w:eastAsia="宋体" w:cs="Times New Roman"/>
                <w:color w:val="000000" w:themeColor="text1"/>
                <w:sz w:val="21"/>
                <w:szCs w:val="21"/>
              </w:rPr>
              <w:t xml:space="preserve"> °C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5206" w:type="dxa"/>
            <w:gridSpan w:val="2"/>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最低环境温度/℃</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 °C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5206" w:type="dxa"/>
            <w:gridSpan w:val="2"/>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土地利用类型</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阔叶林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206" w:type="dxa"/>
            <w:gridSpan w:val="2"/>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区域湿度条件</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2418" w:type="dxa"/>
            <w:vMerge w:val="restart"/>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是否考虑地形</w:t>
            </w: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考虑地形</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418" w:type="dxa"/>
            <w:vMerge w:val="continue"/>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地形数据分辨率(m)</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2418" w:type="dxa"/>
            <w:vMerge w:val="restart"/>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是否考虑海岸线熏烟</w:t>
            </w: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考虑海岸线熏烟</w:t>
            </w:r>
          </w:p>
        </w:tc>
        <w:tc>
          <w:tcPr>
            <w:tcW w:w="3751"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2418" w:type="dxa"/>
            <w:vMerge w:val="continue"/>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海岸线距离/km</w:t>
            </w:r>
          </w:p>
        </w:tc>
        <w:tc>
          <w:tcPr>
            <w:tcW w:w="3751" w:type="dxa"/>
            <w:tcBorders>
              <w:tl2br w:val="nil"/>
              <w:tr2bl w:val="nil"/>
            </w:tcBorders>
            <w:vAlign w:val="center"/>
          </w:tcPr>
          <w:p>
            <w:pPr>
              <w:pStyle w:val="42"/>
              <w:adjustRightInd w:val="0"/>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2418" w:type="dxa"/>
            <w:vMerge w:val="continue"/>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p>
        </w:tc>
        <w:tc>
          <w:tcPr>
            <w:tcW w:w="2788" w:type="dxa"/>
            <w:tcBorders>
              <w:tl2br w:val="nil"/>
              <w:tr2bl w:val="nil"/>
            </w:tcBorders>
            <w:vAlign w:val="center"/>
          </w:tcPr>
          <w:p>
            <w:pPr>
              <w:pStyle w:val="42"/>
              <w:adjustRightInd w:val="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海岸线方向/</w:t>
            </w:r>
            <w:r>
              <w:rPr>
                <w:rFonts w:hint="default" w:ascii="Times New Roman" w:hAnsi="Times New Roman" w:eastAsia="宋体" w:cs="Times New Roman"/>
                <w:color w:val="000000" w:themeColor="text1"/>
                <w:sz w:val="21"/>
                <w:szCs w:val="21"/>
                <w:vertAlign w:val="superscript"/>
              </w:rPr>
              <w:t>o</w:t>
            </w:r>
          </w:p>
        </w:tc>
        <w:tc>
          <w:tcPr>
            <w:tcW w:w="3751" w:type="dxa"/>
            <w:tcBorders>
              <w:tl2br w:val="nil"/>
              <w:tr2bl w:val="nil"/>
            </w:tcBorders>
            <w:vAlign w:val="center"/>
          </w:tcPr>
          <w:p>
            <w:pPr>
              <w:pStyle w:val="42"/>
              <w:adjustRightInd w:val="0"/>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5.2.1.2  预测结果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估算模型计算结果</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1"/>
          <w:szCs w:val="21"/>
          <w:lang w:val="en-US" w:eastAsia="zh-CN"/>
        </w:rPr>
        <w:t xml:space="preserve">表5.2-4 </w:t>
      </w:r>
      <w:r>
        <w:rPr>
          <w:rFonts w:hint="eastAsia" w:ascii="Times New Roman"/>
          <w:b/>
          <w:bCs/>
          <w:color w:val="000000" w:themeColor="text1"/>
          <w:szCs w:val="21"/>
          <w:lang w:val="en-US" w:eastAsia="zh-CN"/>
        </w:rPr>
        <w:t>矿井污风</w:t>
      </w:r>
      <w:r>
        <w:rPr>
          <w:rFonts w:hint="default" w:ascii="Times New Roman" w:hAnsi="Times New Roman" w:eastAsia="宋体" w:cs="Times New Roman"/>
          <w:b/>
          <w:bCs/>
          <w:color w:val="000000" w:themeColor="text1"/>
        </w:rPr>
        <w:t>无组织废气估算模型计算</w:t>
      </w:r>
      <w:r>
        <w:rPr>
          <w:rFonts w:hint="eastAsia" w:ascii="Times New Roman" w:hAnsi="Times New Roman" w:eastAsia="宋体" w:cs="Times New Roman"/>
          <w:b/>
          <w:bCs/>
          <w:color w:val="000000" w:themeColor="text1"/>
          <w:lang w:val="en-US" w:eastAsia="zh-CN"/>
        </w:rPr>
        <w:t>统计</w:t>
      </w:r>
      <w:r>
        <w:rPr>
          <w:rFonts w:hint="default" w:ascii="Times New Roman" w:hAnsi="Times New Roman" w:eastAsia="宋体" w:cs="Times New Roman"/>
          <w:b/>
          <w:bCs/>
          <w:color w:val="000000" w:themeColor="text1"/>
        </w:rPr>
        <w:t>结果</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141"/>
        <w:gridCol w:w="2905"/>
        <w:gridCol w:w="29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b w:val="0"/>
                <w:color w:val="000000"/>
                <w:sz w:val="21"/>
                <w:szCs w:val="21"/>
              </w:rPr>
              <w:t>下风向距离</w:t>
            </w:r>
            <w:r>
              <w:rPr>
                <w:rFonts w:hint="eastAsia" w:ascii="Times New Roman" w:hAnsi="Times New Roman" w:eastAsia="宋体" w:cs="Times New Roman"/>
                <w:b w:val="0"/>
                <w:color w:val="000000"/>
                <w:sz w:val="21"/>
                <w:szCs w:val="21"/>
                <w:lang w:eastAsia="zh-CN"/>
              </w:rPr>
              <w:t>（</w:t>
            </w:r>
            <w:r>
              <w:rPr>
                <w:rFonts w:hint="eastAsia" w:ascii="Times New Roman" w:hAnsi="Times New Roman" w:eastAsia="宋体" w:cs="Times New Roman"/>
                <w:b w:val="0"/>
                <w:color w:val="000000"/>
                <w:sz w:val="21"/>
                <w:szCs w:val="21"/>
                <w:lang w:val="en-US" w:eastAsia="zh-CN"/>
              </w:rPr>
              <w:t>m</w:t>
            </w:r>
            <w:r>
              <w:rPr>
                <w:rFonts w:hint="eastAsia" w:ascii="Times New Roman" w:hAnsi="Times New Roman" w:eastAsia="宋体" w:cs="Times New Roman"/>
                <w:b w:val="0"/>
                <w:color w:val="000000"/>
                <w:sz w:val="21"/>
                <w:szCs w:val="21"/>
                <w:lang w:eastAsia="zh-CN"/>
              </w:rPr>
              <w:t>）</w:t>
            </w:r>
          </w:p>
        </w:tc>
        <w:tc>
          <w:tcPr>
            <w:tcW w:w="5816"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 w:val="0"/>
                <w:color w:val="000000"/>
                <w:sz w:val="21"/>
                <w:szCs w:val="21"/>
                <w:lang w:eastAsia="zh-CN"/>
              </w:rPr>
              <w:t>矩形面源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sz w:val="21"/>
                <w:szCs w:val="21"/>
              </w:rPr>
            </w:pP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eastAsia="宋体" w:cs="Times New Roman"/>
                <w:b w:val="0"/>
                <w:color w:val="000000"/>
                <w:sz w:val="21"/>
                <w:szCs w:val="21"/>
              </w:rPr>
              <w:t>TSP浓度(μg/m³)</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eastAsia="宋体" w:cs="Times New Roman"/>
                <w:b w:val="0"/>
                <w:color w:val="000000"/>
                <w:sz w:val="21"/>
                <w:szCs w:val="21"/>
              </w:rPr>
              <w:t>TSP占标率(%)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37.43</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4.1589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25.0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9.384</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1.0427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5.672</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0.6302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3.416</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0.3790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200.0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1.978</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0.2198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300.0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1.385</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0.1539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400.0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1.053</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0.1170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0.8393</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0.0933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800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0.5021</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0.0558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0.3875</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0.0431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1300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0.2828</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0.0314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w:t>
            </w:r>
            <w:r>
              <w:rPr>
                <w:rFonts w:hint="eastAsia" w:ascii="Times New Roman" w:hAnsi="Times New Roman" w:eastAsia="宋体" w:cs="Times New Roman"/>
                <w:b w:val="0"/>
                <w:color w:val="000000"/>
                <w:sz w:val="21"/>
                <w:szCs w:val="21"/>
                <w:lang w:val="en-US" w:eastAsia="zh-CN"/>
              </w:rPr>
              <w:t>600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0.2190</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0.0243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66"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2000.0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0.1655</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2200.0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0.1466</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2500.0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0.1245</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0.0138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下风向最大浓度</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63.44</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7.0489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下风向最大浓度出现距离</w:t>
            </w:r>
          </w:p>
        </w:tc>
        <w:tc>
          <w:tcPr>
            <w:tcW w:w="5816"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D10%最远距离</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w:t>
            </w:r>
          </w:p>
        </w:tc>
      </w:tr>
    </w:tbl>
    <w:p>
      <w:pPr>
        <w:adjustRightInd w:val="0"/>
        <w:snapToGrid w:val="0"/>
        <w:jc w:val="center"/>
        <w:rPr>
          <w:rFonts w:hint="eastAsia" w:ascii="Times New Roman" w:hAnsi="Times New Roman" w:eastAsia="宋体" w:cs="Times New Roman"/>
          <w:b/>
          <w:bCs/>
          <w:color w:val="000000" w:themeColor="text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1"/>
          <w:szCs w:val="21"/>
          <w:lang w:val="en-US" w:eastAsia="zh-CN"/>
        </w:rPr>
        <w:t xml:space="preserve">表5.2-5 </w:t>
      </w:r>
      <w:r>
        <w:rPr>
          <w:rFonts w:hint="eastAsia" w:ascii="Times New Roman"/>
          <w:b/>
          <w:bCs/>
          <w:color w:val="000000" w:themeColor="text1"/>
          <w:szCs w:val="21"/>
          <w:lang w:val="en-US" w:eastAsia="zh-CN"/>
        </w:rPr>
        <w:t>矿石堆场</w:t>
      </w:r>
      <w:r>
        <w:rPr>
          <w:rFonts w:hint="default" w:ascii="Times New Roman" w:hAnsi="Times New Roman" w:eastAsia="宋体" w:cs="Times New Roman"/>
          <w:b/>
          <w:bCs/>
          <w:color w:val="000000" w:themeColor="text1"/>
        </w:rPr>
        <w:t>无组织废气估算模型计算</w:t>
      </w:r>
      <w:r>
        <w:rPr>
          <w:rFonts w:hint="eastAsia" w:ascii="Times New Roman" w:hAnsi="Times New Roman" w:eastAsia="宋体" w:cs="Times New Roman"/>
          <w:b/>
          <w:bCs/>
          <w:color w:val="000000" w:themeColor="text1"/>
          <w:lang w:val="en-US" w:eastAsia="zh-CN"/>
        </w:rPr>
        <w:t>统计</w:t>
      </w:r>
      <w:r>
        <w:rPr>
          <w:rFonts w:hint="default" w:ascii="Times New Roman" w:hAnsi="Times New Roman" w:eastAsia="宋体" w:cs="Times New Roman"/>
          <w:b/>
          <w:bCs/>
          <w:color w:val="000000" w:themeColor="text1"/>
        </w:rPr>
        <w:t>结果</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141"/>
        <w:gridCol w:w="2905"/>
        <w:gridCol w:w="29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b w:val="0"/>
                <w:color w:val="000000"/>
                <w:sz w:val="21"/>
                <w:szCs w:val="21"/>
              </w:rPr>
              <w:t>下风向距离</w:t>
            </w:r>
            <w:r>
              <w:rPr>
                <w:rFonts w:hint="eastAsia" w:ascii="Times New Roman" w:hAnsi="Times New Roman" w:eastAsia="宋体" w:cs="Times New Roman"/>
                <w:b w:val="0"/>
                <w:color w:val="000000"/>
                <w:sz w:val="21"/>
                <w:szCs w:val="21"/>
                <w:lang w:eastAsia="zh-CN"/>
              </w:rPr>
              <w:t>（</w:t>
            </w:r>
            <w:r>
              <w:rPr>
                <w:rFonts w:hint="eastAsia" w:ascii="Times New Roman" w:hAnsi="Times New Roman" w:eastAsia="宋体" w:cs="Times New Roman"/>
                <w:b w:val="0"/>
                <w:color w:val="000000"/>
                <w:sz w:val="21"/>
                <w:szCs w:val="21"/>
                <w:lang w:val="en-US" w:eastAsia="zh-CN"/>
              </w:rPr>
              <w:t>m</w:t>
            </w:r>
            <w:r>
              <w:rPr>
                <w:rFonts w:hint="eastAsia" w:ascii="Times New Roman" w:hAnsi="Times New Roman" w:eastAsia="宋体" w:cs="Times New Roman"/>
                <w:b w:val="0"/>
                <w:color w:val="000000"/>
                <w:sz w:val="21"/>
                <w:szCs w:val="21"/>
                <w:lang w:eastAsia="zh-CN"/>
              </w:rPr>
              <w:t>）</w:t>
            </w:r>
          </w:p>
        </w:tc>
        <w:tc>
          <w:tcPr>
            <w:tcW w:w="5816"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 w:val="0"/>
                <w:color w:val="000000"/>
                <w:sz w:val="21"/>
                <w:szCs w:val="21"/>
                <w:lang w:eastAsia="zh-CN"/>
              </w:rPr>
              <w:t>矩形面源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sz w:val="21"/>
                <w:szCs w:val="21"/>
              </w:rPr>
            </w:pP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eastAsia="宋体" w:cs="Times New Roman"/>
                <w:b w:val="0"/>
                <w:color w:val="000000"/>
                <w:sz w:val="21"/>
                <w:szCs w:val="21"/>
              </w:rPr>
              <w:t>TSP浓度(μg/m³)</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eastAsia="宋体" w:cs="Times New Roman"/>
                <w:b w:val="0"/>
                <w:color w:val="000000"/>
                <w:sz w:val="21"/>
                <w:szCs w:val="21"/>
              </w:rPr>
              <w:t>TSP占标率(%)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29.46</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3.2733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25.0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25.64</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2.8489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15.90</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1.7667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9.655</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1.0727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200.0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5.608</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0.6231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300.0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3.943</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0.4381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400.0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2.996</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0.3329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2.388</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0.2653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800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1.429</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0.1588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1.1030</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0.1144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1300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0.8048</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0.0894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w:t>
            </w:r>
            <w:r>
              <w:rPr>
                <w:rFonts w:hint="eastAsia" w:ascii="Times New Roman" w:hAnsi="Times New Roman" w:eastAsia="宋体" w:cs="Times New Roman"/>
                <w:b w:val="0"/>
                <w:color w:val="000000"/>
                <w:sz w:val="21"/>
                <w:szCs w:val="21"/>
                <w:lang w:val="en-US" w:eastAsia="zh-CN"/>
              </w:rPr>
              <w:t>600</w:t>
            </w:r>
            <w:r>
              <w:rPr>
                <w:rFonts w:hint="default" w:ascii="Times New Roman" w:hAnsi="Times New Roman" w:eastAsia="宋体" w:cs="Times New Roman"/>
                <w:b w:val="0"/>
                <w:color w:val="000000"/>
                <w:sz w:val="21"/>
                <w:szCs w:val="21"/>
              </w:rPr>
              <w:t>.0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0.6232</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0.0692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66"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2000.0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0.4709</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0.0523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06"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2200.0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0.4172</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0.0463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2500.0</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0.3543</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0.0394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下风向最大浓度</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55.70</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6.1889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下风向最大浓度出现距离</w:t>
            </w:r>
          </w:p>
        </w:tc>
        <w:tc>
          <w:tcPr>
            <w:tcW w:w="5816"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14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D10%最远距离</w:t>
            </w:r>
          </w:p>
        </w:tc>
        <w:tc>
          <w:tcPr>
            <w:tcW w:w="290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w:t>
            </w:r>
          </w:p>
        </w:tc>
        <w:tc>
          <w:tcPr>
            <w:tcW w:w="29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w:t>
            </w:r>
          </w:p>
        </w:tc>
      </w:tr>
    </w:tbl>
    <w:p>
      <w:pPr>
        <w:adjustRightInd w:val="0"/>
        <w:snapToGrid w:val="0"/>
        <w:jc w:val="center"/>
        <w:rPr>
          <w:rFonts w:hint="eastAsia" w:ascii="Times New Roman" w:hAnsi="Times New Roman" w:eastAsia="宋体" w:cs="Times New Roman"/>
          <w:b/>
          <w:bCs/>
          <w:color w:val="000000" w:themeColor="text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评价工作等级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评级工作等级确定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本项目所有污染源的正常工况下污染物的P</w:t>
      </w:r>
      <w:r>
        <w:rPr>
          <w:rFonts w:hint="default" w:ascii="Times New Roman" w:hAnsi="Times New Roman" w:eastAsia="宋体" w:cs="Times New Roman"/>
          <w:color w:val="000000" w:themeColor="text1"/>
          <w:sz w:val="24"/>
          <w:szCs w:val="24"/>
          <w:vertAlign w:val="subscript"/>
        </w:rPr>
        <w:t>max</w:t>
      </w:r>
      <w:r>
        <w:rPr>
          <w:rFonts w:hint="default" w:ascii="Times New Roman" w:hAnsi="Times New Roman" w:eastAsia="宋体" w:cs="Times New Roman"/>
          <w:color w:val="000000" w:themeColor="text1"/>
          <w:sz w:val="24"/>
          <w:szCs w:val="24"/>
        </w:rPr>
        <w:t>和D</w:t>
      </w:r>
      <w:r>
        <w:rPr>
          <w:rFonts w:hint="default" w:ascii="Times New Roman" w:hAnsi="Times New Roman" w:eastAsia="宋体" w:cs="Times New Roman"/>
          <w:color w:val="000000" w:themeColor="text1"/>
          <w:sz w:val="24"/>
          <w:szCs w:val="24"/>
          <w:vertAlign w:val="subscript"/>
        </w:rPr>
        <w:t>10%</w:t>
      </w:r>
      <w:r>
        <w:rPr>
          <w:rFonts w:hint="default" w:ascii="Times New Roman" w:hAnsi="Times New Roman" w:eastAsia="宋体" w:cs="Times New Roman"/>
          <w:color w:val="000000" w:themeColor="text1"/>
          <w:sz w:val="24"/>
          <w:szCs w:val="24"/>
        </w:rPr>
        <w:t>预测结果如下：</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w:t>
      </w:r>
      <w:r>
        <w:rPr>
          <w:rFonts w:hint="eastAsia" w:ascii="Times New Roman" w:hAnsi="Times New Roman" w:eastAsia="宋体" w:cs="Times New Roman"/>
          <w:b/>
          <w:bCs w:val="0"/>
          <w:color w:val="000000" w:themeColor="text1"/>
          <w:sz w:val="21"/>
          <w:szCs w:val="21"/>
          <w:lang w:val="en-US" w:eastAsia="zh-CN"/>
        </w:rPr>
        <w:t>5.2-6</w:t>
      </w:r>
      <w:r>
        <w:rPr>
          <w:rFonts w:hint="default" w:ascii="Times New Roman" w:hAnsi="Times New Roman" w:eastAsia="宋体" w:cs="Times New Roman"/>
          <w:b/>
          <w:bCs w:val="0"/>
          <w:color w:val="000000" w:themeColor="text1"/>
          <w:sz w:val="21"/>
          <w:szCs w:val="21"/>
        </w:rPr>
        <w:t xml:space="preserve">   P</w:t>
      </w:r>
      <w:r>
        <w:rPr>
          <w:rFonts w:hint="default" w:ascii="Times New Roman" w:hAnsi="Times New Roman" w:eastAsia="宋体" w:cs="Times New Roman"/>
          <w:b/>
          <w:bCs w:val="0"/>
          <w:color w:val="000000" w:themeColor="text1"/>
          <w:sz w:val="21"/>
          <w:szCs w:val="21"/>
          <w:vertAlign w:val="subscript"/>
        </w:rPr>
        <w:t>max</w:t>
      </w:r>
      <w:r>
        <w:rPr>
          <w:rFonts w:hint="default" w:ascii="Times New Roman" w:hAnsi="Times New Roman" w:eastAsia="宋体" w:cs="Times New Roman"/>
          <w:b/>
          <w:bCs w:val="0"/>
          <w:color w:val="000000" w:themeColor="text1"/>
          <w:sz w:val="21"/>
          <w:szCs w:val="21"/>
        </w:rPr>
        <w:t>和D</w:t>
      </w:r>
      <w:r>
        <w:rPr>
          <w:rFonts w:hint="default" w:ascii="Times New Roman" w:hAnsi="Times New Roman" w:eastAsia="宋体" w:cs="Times New Roman"/>
          <w:b/>
          <w:bCs w:val="0"/>
          <w:color w:val="000000" w:themeColor="text1"/>
          <w:sz w:val="21"/>
          <w:szCs w:val="21"/>
          <w:vertAlign w:val="subscript"/>
        </w:rPr>
        <w:t>10%</w:t>
      </w:r>
      <w:r>
        <w:rPr>
          <w:rFonts w:hint="default" w:ascii="Times New Roman" w:hAnsi="Times New Roman" w:eastAsia="宋体" w:cs="Times New Roman"/>
          <w:b/>
          <w:bCs w:val="0"/>
          <w:color w:val="000000" w:themeColor="text1"/>
          <w:sz w:val="21"/>
          <w:szCs w:val="21"/>
        </w:rPr>
        <w:t>预测和计算结果一览表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346"/>
        <w:gridCol w:w="2013"/>
        <w:gridCol w:w="1359"/>
        <w:gridCol w:w="1374"/>
        <w:gridCol w:w="1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污染源名称</w:t>
            </w:r>
          </w:p>
        </w:tc>
        <w:tc>
          <w:tcPr>
            <w:tcW w:w="1346"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评价因子</w:t>
            </w:r>
          </w:p>
        </w:tc>
        <w:tc>
          <w:tcPr>
            <w:tcW w:w="2013" w:type="dxa"/>
            <w:tcBorders>
              <w:tl2br w:val="nil"/>
              <w:tr2bl w:val="nil"/>
            </w:tcBorders>
            <w:vAlign w:val="center"/>
          </w:tcPr>
          <w:p>
            <w:pPr>
              <w:pStyle w:val="42"/>
              <w:jc w:val="left"/>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评价标准(μg/m</w:t>
            </w:r>
            <w:r>
              <w:rPr>
                <w:rFonts w:hint="default" w:ascii="Times New Roman" w:hAnsi="Times New Roman" w:cs="Times New Roman"/>
                <w:color w:val="000000" w:themeColor="text1"/>
                <w:szCs w:val="21"/>
                <w:vertAlign w:val="superscript"/>
              </w:rPr>
              <w:t>3</w:t>
            </w:r>
            <w:r>
              <w:rPr>
                <w:rFonts w:hint="default" w:ascii="Times New Roman" w:hAnsi="Times New Roman" w:cs="Times New Roman"/>
                <w:color w:val="000000" w:themeColor="text1"/>
                <w:szCs w:val="21"/>
              </w:rPr>
              <w:t>)</w:t>
            </w:r>
          </w:p>
        </w:tc>
        <w:tc>
          <w:tcPr>
            <w:tcW w:w="1359"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C</w:t>
            </w:r>
            <w:r>
              <w:rPr>
                <w:rFonts w:hint="default" w:ascii="Times New Roman" w:hAnsi="Times New Roman" w:cs="Times New Roman"/>
                <w:color w:val="000000" w:themeColor="text1"/>
                <w:szCs w:val="21"/>
                <w:vertAlign w:val="subscript"/>
              </w:rPr>
              <w:t>max</w:t>
            </w:r>
            <w:r>
              <w:rPr>
                <w:rFonts w:hint="default" w:ascii="Times New Roman" w:hAnsi="Times New Roman" w:cs="Times New Roman"/>
                <w:color w:val="000000" w:themeColor="text1"/>
                <w:szCs w:val="21"/>
              </w:rPr>
              <w:t>(μg/m</w:t>
            </w:r>
            <w:r>
              <w:rPr>
                <w:rFonts w:hint="default" w:ascii="Times New Roman" w:hAnsi="Times New Roman" w:cs="Times New Roman"/>
                <w:color w:val="000000" w:themeColor="text1"/>
                <w:szCs w:val="21"/>
                <w:vertAlign w:val="superscript"/>
              </w:rPr>
              <w:t>3</w:t>
            </w:r>
            <w:r>
              <w:rPr>
                <w:rFonts w:hint="default" w:ascii="Times New Roman" w:hAnsi="Times New Roman" w:cs="Times New Roman"/>
                <w:color w:val="000000" w:themeColor="text1"/>
                <w:szCs w:val="21"/>
              </w:rPr>
              <w:t>)</w:t>
            </w:r>
          </w:p>
        </w:tc>
        <w:tc>
          <w:tcPr>
            <w:tcW w:w="1374" w:type="dxa"/>
            <w:tcBorders>
              <w:tl2br w:val="nil"/>
              <w:tr2bl w:val="nil"/>
            </w:tcBorders>
            <w:vAlign w:val="center"/>
          </w:tcPr>
          <w:p>
            <w:pPr>
              <w:pStyle w:val="42"/>
              <w:rPr>
                <w:rFonts w:hint="default" w:ascii="Times New Roman" w:hAnsi="Times New Roman" w:cs="Times New Roman" w:eastAsiaTheme="minorEastAsia"/>
                <w:color w:val="000000" w:themeColor="text1"/>
                <w:szCs w:val="21"/>
                <w:lang w:eastAsia="zh-CN"/>
              </w:rPr>
            </w:pPr>
            <w:r>
              <w:rPr>
                <w:rFonts w:hint="default" w:ascii="Times New Roman" w:hAnsi="Times New Roman" w:cs="Times New Roman"/>
                <w:color w:val="000000" w:themeColor="text1"/>
                <w:szCs w:val="21"/>
                <w:lang w:eastAsia="zh-CN"/>
              </w:rPr>
              <w:t>最大落地点距离（</w:t>
            </w:r>
            <w:r>
              <w:rPr>
                <w:rFonts w:hint="default" w:ascii="Times New Roman" w:hAnsi="Times New Roman" w:cs="Times New Roman"/>
                <w:color w:val="000000" w:themeColor="text1"/>
                <w:szCs w:val="21"/>
                <w:lang w:val="en-US" w:eastAsia="zh-CN"/>
              </w:rPr>
              <w:t>m</w:t>
            </w:r>
            <w:r>
              <w:rPr>
                <w:rFonts w:hint="default" w:ascii="Times New Roman" w:hAnsi="Times New Roman" w:cs="Times New Roman"/>
                <w:color w:val="000000" w:themeColor="text1"/>
                <w:szCs w:val="21"/>
                <w:lang w:eastAsia="zh-CN"/>
              </w:rPr>
              <w:t>）</w:t>
            </w:r>
          </w:p>
        </w:tc>
        <w:tc>
          <w:tcPr>
            <w:tcW w:w="1373"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P</w:t>
            </w:r>
            <w:r>
              <w:rPr>
                <w:rFonts w:hint="default" w:ascii="Times New Roman" w:hAnsi="Times New Roman" w:cs="Times New Roman"/>
                <w:color w:val="000000" w:themeColor="text1"/>
                <w:szCs w:val="21"/>
                <w:vertAlign w:val="subscript"/>
              </w:rPr>
              <w:t>max</w:t>
            </w:r>
            <w:r>
              <w:rPr>
                <w:rFonts w:hint="default" w:ascii="Times New Roman" w:hAnsi="Times New Roman" w:cs="Times New Roman"/>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92"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矿井污风</w:t>
            </w:r>
          </w:p>
        </w:tc>
        <w:tc>
          <w:tcPr>
            <w:tcW w:w="1346"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TSP</w:t>
            </w:r>
          </w:p>
        </w:tc>
        <w:tc>
          <w:tcPr>
            <w:tcW w:w="2013"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900.0</w:t>
            </w:r>
          </w:p>
        </w:tc>
        <w:tc>
          <w:tcPr>
            <w:tcW w:w="1359" w:type="dxa"/>
            <w:tcBorders>
              <w:tl2br w:val="nil"/>
              <w:tr2bl w:val="nil"/>
            </w:tcBorders>
            <w:vAlign w:val="center"/>
          </w:tcPr>
          <w:p>
            <w:pPr>
              <w:pStyle w:val="42"/>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63.44</w:t>
            </w:r>
          </w:p>
        </w:tc>
        <w:tc>
          <w:tcPr>
            <w:tcW w:w="1374" w:type="dxa"/>
            <w:tcBorders>
              <w:tl2br w:val="nil"/>
              <w:tr2bl w:val="nil"/>
            </w:tcBorders>
            <w:vAlign w:val="center"/>
          </w:tcPr>
          <w:p>
            <w:pPr>
              <w:pStyle w:val="42"/>
              <w:rPr>
                <w:rFonts w:hint="default" w:ascii="Times New Roman" w:hAnsi="Times New Roman" w:cs="Times New Roman"/>
                <w:color w:val="000000" w:themeColor="text1"/>
                <w:szCs w:val="21"/>
                <w:lang w:val="en-US" w:eastAsia="zh-CN"/>
              </w:rPr>
            </w:pPr>
            <w:r>
              <w:rPr>
                <w:rFonts w:hint="eastAsia" w:ascii="Times New Roman" w:hAnsi="Times New Roman" w:cs="Times New Roman"/>
                <w:color w:val="000000" w:themeColor="text1"/>
                <w:szCs w:val="21"/>
                <w:lang w:val="en-US" w:eastAsia="zh-CN"/>
              </w:rPr>
              <w:t>2.0</w:t>
            </w:r>
          </w:p>
        </w:tc>
        <w:tc>
          <w:tcPr>
            <w:tcW w:w="1373" w:type="dxa"/>
            <w:tcBorders>
              <w:tl2br w:val="nil"/>
              <w:tr2bl w:val="nil"/>
            </w:tcBorders>
            <w:vAlign w:val="center"/>
          </w:tcPr>
          <w:p>
            <w:pPr>
              <w:pStyle w:val="42"/>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7.0489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492"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矿石堆场</w:t>
            </w:r>
          </w:p>
        </w:tc>
        <w:tc>
          <w:tcPr>
            <w:tcW w:w="1346"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TSP</w:t>
            </w:r>
          </w:p>
        </w:tc>
        <w:tc>
          <w:tcPr>
            <w:tcW w:w="2013" w:type="dxa"/>
            <w:tcBorders>
              <w:tl2br w:val="nil"/>
              <w:tr2bl w:val="nil"/>
            </w:tcBorders>
            <w:vAlign w:val="center"/>
          </w:tcPr>
          <w:p>
            <w:pPr>
              <w:pStyle w:val="42"/>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900.0</w:t>
            </w:r>
          </w:p>
        </w:tc>
        <w:tc>
          <w:tcPr>
            <w:tcW w:w="1359" w:type="dxa"/>
            <w:tcBorders>
              <w:tl2br w:val="nil"/>
              <w:tr2bl w:val="nil"/>
            </w:tcBorders>
            <w:vAlign w:val="center"/>
          </w:tcPr>
          <w:p>
            <w:pPr>
              <w:pStyle w:val="42"/>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eastAsia="宋体" w:cs="Times New Roman"/>
                <w:b w:val="0"/>
                <w:color w:val="000000"/>
                <w:sz w:val="21"/>
                <w:szCs w:val="21"/>
                <w:lang w:val="en-US" w:eastAsia="zh-CN"/>
              </w:rPr>
              <w:t>55.70</w:t>
            </w:r>
          </w:p>
        </w:tc>
        <w:tc>
          <w:tcPr>
            <w:tcW w:w="1374" w:type="dxa"/>
            <w:tcBorders>
              <w:tl2br w:val="nil"/>
              <w:tr2bl w:val="nil"/>
            </w:tcBorders>
            <w:vAlign w:val="center"/>
          </w:tcPr>
          <w:p>
            <w:pPr>
              <w:pStyle w:val="42"/>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7.0</w:t>
            </w:r>
          </w:p>
        </w:tc>
        <w:tc>
          <w:tcPr>
            <w:tcW w:w="1373" w:type="dxa"/>
            <w:tcBorders>
              <w:tl2br w:val="nil"/>
              <w:tr2bl w:val="nil"/>
            </w:tcBorders>
            <w:vAlign w:val="center"/>
          </w:tcPr>
          <w:p>
            <w:pPr>
              <w:pStyle w:val="42"/>
              <w:rPr>
                <w:rFonts w:hint="eastAsia"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6.1889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本项目正常工况下颗粒物最大落地浓度</w:t>
      </w:r>
      <w:r>
        <w:rPr>
          <w:rFonts w:hint="eastAsia" w:ascii="Times New Roman" w:hAnsi="Times New Roman" w:cs="Times New Roman"/>
          <w:color w:val="000000" w:themeColor="text1"/>
          <w:szCs w:val="21"/>
          <w:lang w:val="en-US" w:eastAsia="zh-CN"/>
        </w:rPr>
        <w:t>63.44</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，占标率</w:t>
      </w:r>
      <w:r>
        <w:rPr>
          <w:rFonts w:hint="eastAsia" w:ascii="Times New Roman" w:hAnsi="Times New Roman" w:cs="Times New Roman"/>
          <w:color w:val="000000" w:themeColor="text1"/>
          <w:szCs w:val="21"/>
          <w:lang w:val="en-US" w:eastAsia="zh-CN"/>
        </w:rPr>
        <w:t>7.0489</w:t>
      </w:r>
      <w:r>
        <w:rPr>
          <w:rFonts w:hint="default" w:ascii="Times New Roman" w:hAnsi="Times New Roman" w:eastAsia="宋体" w:cs="Times New Roman"/>
          <w:color w:val="000000" w:themeColor="text1"/>
          <w:sz w:val="24"/>
          <w:szCs w:val="24"/>
        </w:rPr>
        <w:t>%。根据导则规定，1%</w:t>
      </w:r>
      <w:r>
        <w:rPr>
          <w:rFonts w:hint="default" w:ascii="Arial" w:hAnsi="Arial" w:eastAsia="宋体" w:cs="Arial"/>
          <w:color w:val="000000" w:themeColor="text1"/>
          <w:sz w:val="24"/>
          <w:szCs w:val="24"/>
        </w:rPr>
        <w:t>≤</w:t>
      </w:r>
      <w:r>
        <w:rPr>
          <w:rFonts w:hint="default" w:ascii="Times New Roman" w:hAnsi="Times New Roman" w:eastAsia="宋体" w:cs="Times New Roman"/>
          <w:color w:val="000000" w:themeColor="text1"/>
          <w:sz w:val="24"/>
          <w:szCs w:val="24"/>
        </w:rPr>
        <w:t>Pmax&lt;10%</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评价等级为二级。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5.2.1.3  影响评价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由预测结果可知，本项目废气对环境空气的影响较小，本项目评价等级为二级，只需要污染物排放量进行核算。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无组织排放量核算</w:t>
      </w:r>
    </w:p>
    <w:p>
      <w:pPr>
        <w:pStyle w:val="6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lang w:val="en-US" w:eastAsia="zh-CN"/>
        </w:rPr>
        <w:t>表5.2-</w:t>
      </w:r>
      <w:r>
        <w:rPr>
          <w:rFonts w:hint="eastAsia" w:ascii="Times New Roman" w:eastAsia="宋体" w:cs="Times New Roman"/>
          <w:b/>
          <w:bCs/>
          <w:color w:val="000000" w:themeColor="text1"/>
          <w:sz w:val="21"/>
          <w:szCs w:val="21"/>
          <w:lang w:val="en-US" w:eastAsia="zh-CN"/>
        </w:rPr>
        <w:t>7</w:t>
      </w:r>
      <w:r>
        <w:rPr>
          <w:rFonts w:hint="default" w:ascii="Times New Roman" w:hAnsi="Times New Roman" w:eastAsia="宋体" w:cs="Times New Roman"/>
          <w:b/>
          <w:bCs/>
          <w:color w:val="000000" w:themeColor="text1"/>
          <w:sz w:val="21"/>
          <w:szCs w:val="21"/>
          <w:lang w:val="en-US" w:eastAsia="zh-CN"/>
        </w:rPr>
        <w:t xml:space="preserve"> </w:t>
      </w:r>
      <w:r>
        <w:rPr>
          <w:rFonts w:hint="default" w:ascii="Times New Roman" w:hAnsi="Times New Roman" w:eastAsia="宋体" w:cs="Times New Roman"/>
          <w:b/>
          <w:bCs/>
          <w:color w:val="000000" w:themeColor="text1"/>
          <w:sz w:val="21"/>
          <w:szCs w:val="21"/>
        </w:rPr>
        <w:t xml:space="preserve"> 大气污染物无组织排放量核算表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288"/>
        <w:gridCol w:w="723"/>
        <w:gridCol w:w="2108"/>
        <w:gridCol w:w="1942"/>
        <w:gridCol w:w="1517"/>
        <w:gridCol w:w="8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15" w:type="dxa"/>
            <w:vMerge w:val="restart"/>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序号</w:t>
            </w:r>
          </w:p>
        </w:tc>
        <w:tc>
          <w:tcPr>
            <w:tcW w:w="1288" w:type="dxa"/>
            <w:vMerge w:val="restart"/>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产污环节</w:t>
            </w:r>
          </w:p>
        </w:tc>
        <w:tc>
          <w:tcPr>
            <w:tcW w:w="723" w:type="dxa"/>
            <w:vMerge w:val="restart"/>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污染物</w:t>
            </w:r>
          </w:p>
        </w:tc>
        <w:tc>
          <w:tcPr>
            <w:tcW w:w="2108" w:type="dxa"/>
            <w:vMerge w:val="restart"/>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主要污染防治措施</w:t>
            </w:r>
          </w:p>
        </w:tc>
        <w:tc>
          <w:tcPr>
            <w:tcW w:w="3459" w:type="dxa"/>
            <w:gridSpan w:val="2"/>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国家或地方污染物排放标准</w:t>
            </w:r>
          </w:p>
        </w:tc>
        <w:tc>
          <w:tcPr>
            <w:tcW w:w="864" w:type="dxa"/>
            <w:vMerge w:val="restart"/>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vMerge w:val="continue"/>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p>
        </w:tc>
        <w:tc>
          <w:tcPr>
            <w:tcW w:w="1288" w:type="dxa"/>
            <w:vMerge w:val="continue"/>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p>
        </w:tc>
        <w:tc>
          <w:tcPr>
            <w:tcW w:w="723" w:type="dxa"/>
            <w:vMerge w:val="continue"/>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p>
        </w:tc>
        <w:tc>
          <w:tcPr>
            <w:tcW w:w="2108" w:type="dxa"/>
            <w:vMerge w:val="continue"/>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p>
        </w:tc>
        <w:tc>
          <w:tcPr>
            <w:tcW w:w="1942"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标准名称</w:t>
            </w:r>
          </w:p>
        </w:tc>
        <w:tc>
          <w:tcPr>
            <w:tcW w:w="1517"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浓度限值/（ug/m</w:t>
            </w:r>
            <w:r>
              <w:rPr>
                <w:rFonts w:hint="eastAsia" w:ascii="Times New Roman" w:eastAsia="宋体" w:cs="Times New Roman"/>
                <w:color w:val="000000" w:themeColor="text1"/>
                <w:sz w:val="21"/>
                <w:szCs w:val="21"/>
                <w:vertAlign w:val="superscript"/>
              </w:rPr>
              <w:t>3</w:t>
            </w:r>
            <w:r>
              <w:rPr>
                <w:rFonts w:hint="eastAsia" w:ascii="Times New Roman" w:eastAsia="宋体" w:cs="Times New Roman"/>
                <w:color w:val="000000" w:themeColor="text1"/>
                <w:sz w:val="21"/>
                <w:szCs w:val="21"/>
              </w:rPr>
              <w:t>）</w:t>
            </w:r>
          </w:p>
        </w:tc>
        <w:tc>
          <w:tcPr>
            <w:tcW w:w="864" w:type="dxa"/>
            <w:vMerge w:val="continue"/>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37" w:hRule="atLeast"/>
          <w:jc w:val="center"/>
        </w:trPr>
        <w:tc>
          <w:tcPr>
            <w:tcW w:w="515"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1</w:t>
            </w:r>
          </w:p>
        </w:tc>
        <w:tc>
          <w:tcPr>
            <w:tcW w:w="1288" w:type="dxa"/>
            <w:tcBorders>
              <w:tl2br w:val="nil"/>
              <w:tr2bl w:val="nil"/>
            </w:tcBorders>
            <w:vAlign w:val="center"/>
          </w:tcPr>
          <w:p>
            <w:pPr>
              <w:pStyle w:val="5"/>
              <w:numPr>
                <w:ilvl w:val="2"/>
                <w:numId w:val="0"/>
              </w:numPr>
              <w:adjustRightInd w:val="0"/>
              <w:snapToGrid w:val="0"/>
              <w:spacing w:before="0" w:after="0" w:line="240" w:lineRule="auto"/>
              <w:jc w:val="center"/>
              <w:outlineLvl w:val="2"/>
              <w:rPr>
                <w:rFonts w:eastAsia="宋体"/>
                <w:color w:val="000000" w:themeColor="text1"/>
                <w:sz w:val="21"/>
                <w:szCs w:val="21"/>
              </w:rPr>
            </w:pPr>
            <w:bookmarkStart w:id="775" w:name="_Toc3854"/>
            <w:r>
              <w:rPr>
                <w:rFonts w:hint="eastAsia" w:eastAsia="宋体"/>
                <w:b w:val="0"/>
                <w:bCs/>
                <w:color w:val="000000" w:themeColor="text1"/>
                <w:sz w:val="21"/>
                <w:szCs w:val="21"/>
              </w:rPr>
              <w:t>采矿通风井污风</w:t>
            </w:r>
            <w:bookmarkEnd w:id="775"/>
          </w:p>
        </w:tc>
        <w:tc>
          <w:tcPr>
            <w:tcW w:w="723" w:type="dxa"/>
            <w:vMerge w:val="restart"/>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粉尘</w:t>
            </w:r>
          </w:p>
          <w:p>
            <w:pPr>
              <w:pStyle w:val="60"/>
              <w:snapToGrid w:val="0"/>
              <w:spacing w:line="240" w:lineRule="auto"/>
              <w:ind w:firstLine="0" w:firstLineChars="0"/>
              <w:jc w:val="center"/>
              <w:rPr>
                <w:rFonts w:ascii="Times New Roman" w:eastAsia="宋体" w:cs="Times New Roman"/>
                <w:color w:val="000000" w:themeColor="text1"/>
                <w:sz w:val="21"/>
                <w:szCs w:val="21"/>
              </w:rPr>
            </w:pPr>
          </w:p>
        </w:tc>
        <w:tc>
          <w:tcPr>
            <w:tcW w:w="2108"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湿式凿岩、工作面及装卸矿点喷雾洒水除尘的湿式作业和机械与自然通风输送新鲜风的稀释方式，降低井下粉尘和废气浓度</w:t>
            </w:r>
          </w:p>
        </w:tc>
        <w:tc>
          <w:tcPr>
            <w:tcW w:w="1942"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《大气污染物综合排放标准》（GB-16297-1996）</w:t>
            </w:r>
          </w:p>
        </w:tc>
        <w:tc>
          <w:tcPr>
            <w:tcW w:w="1517"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粉尘无组织排放限值为1mg/m</w:t>
            </w:r>
            <w:r>
              <w:rPr>
                <w:rFonts w:hint="eastAsia" w:ascii="Times New Roman" w:eastAsia="宋体" w:cs="Times New Roman"/>
                <w:color w:val="000000" w:themeColor="text1"/>
                <w:sz w:val="21"/>
                <w:szCs w:val="21"/>
                <w:vertAlign w:val="superscript"/>
              </w:rPr>
              <w:t>3</w:t>
            </w:r>
          </w:p>
        </w:tc>
        <w:tc>
          <w:tcPr>
            <w:tcW w:w="864" w:type="dxa"/>
            <w:tcBorders>
              <w:tl2br w:val="nil"/>
              <w:tr2bl w:val="nil"/>
            </w:tcBorders>
            <w:vAlign w:val="center"/>
          </w:tcPr>
          <w:p>
            <w:pPr>
              <w:pStyle w:val="60"/>
              <w:snapToGrid w:val="0"/>
              <w:spacing w:line="240" w:lineRule="auto"/>
              <w:ind w:firstLine="0" w:firstLineChars="0"/>
              <w:jc w:val="center"/>
              <w:rPr>
                <w:rFonts w:hint="default" w:asci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0.0158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2</w:t>
            </w:r>
          </w:p>
        </w:tc>
        <w:tc>
          <w:tcPr>
            <w:tcW w:w="1288" w:type="dxa"/>
            <w:tcBorders>
              <w:tl2br w:val="nil"/>
              <w:tr2bl w:val="nil"/>
            </w:tcBorders>
            <w:vAlign w:val="center"/>
          </w:tcPr>
          <w:p>
            <w:pPr>
              <w:pStyle w:val="60"/>
              <w:snapToGrid w:val="0"/>
              <w:spacing w:line="240" w:lineRule="auto"/>
              <w:ind w:firstLine="0" w:firstLineChars="0"/>
              <w:jc w:val="center"/>
              <w:rPr>
                <w:rFonts w:hint="eastAsia" w:ascii="Times New Roman" w:eastAsia="宋体" w:cs="Times New Roman"/>
                <w:color w:val="000000" w:themeColor="text1"/>
                <w:sz w:val="21"/>
                <w:szCs w:val="21"/>
                <w:lang w:eastAsia="zh-CN"/>
              </w:rPr>
            </w:pPr>
            <w:r>
              <w:rPr>
                <w:rFonts w:hint="eastAsia" w:ascii="Times New Roman" w:eastAsia="宋体" w:cs="Times New Roman"/>
                <w:color w:val="000000" w:themeColor="text1"/>
                <w:sz w:val="21"/>
                <w:szCs w:val="21"/>
              </w:rPr>
              <w:t>矿石</w:t>
            </w:r>
            <w:r>
              <w:rPr>
                <w:rFonts w:hint="eastAsia" w:ascii="Times New Roman" w:eastAsia="宋体" w:cs="Times New Roman"/>
                <w:color w:val="000000" w:themeColor="text1"/>
                <w:sz w:val="21"/>
                <w:szCs w:val="21"/>
                <w:lang w:val="en-US" w:eastAsia="zh-CN"/>
              </w:rPr>
              <w:t>堆场</w:t>
            </w:r>
          </w:p>
        </w:tc>
        <w:tc>
          <w:tcPr>
            <w:tcW w:w="723" w:type="dxa"/>
            <w:vMerge w:val="continue"/>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p>
        </w:tc>
        <w:tc>
          <w:tcPr>
            <w:tcW w:w="2108"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洒水</w:t>
            </w:r>
            <w:r>
              <w:rPr>
                <w:rFonts w:hint="eastAsia" w:ascii="Times New Roman" w:eastAsia="宋体" w:cs="Times New Roman"/>
                <w:color w:val="000000" w:themeColor="text1"/>
                <w:sz w:val="21"/>
                <w:szCs w:val="21"/>
                <w:lang w:val="en-US" w:eastAsia="zh-CN"/>
              </w:rPr>
              <w:t>降尘、堆棚</w:t>
            </w:r>
            <w:r>
              <w:rPr>
                <w:rFonts w:hint="eastAsia" w:ascii="Times New Roman" w:eastAsia="宋体" w:cs="Times New Roman"/>
                <w:color w:val="000000" w:themeColor="text1"/>
                <w:sz w:val="21"/>
                <w:szCs w:val="21"/>
              </w:rPr>
              <w:t>等措施</w:t>
            </w:r>
          </w:p>
        </w:tc>
        <w:tc>
          <w:tcPr>
            <w:tcW w:w="1942"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《大气污染物综合排放标准》（GB-16297-1996）</w:t>
            </w:r>
          </w:p>
        </w:tc>
        <w:tc>
          <w:tcPr>
            <w:tcW w:w="1517"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粉尘无组织排放限值为1</w:t>
            </w:r>
            <w:r>
              <w:rPr>
                <w:rFonts w:hint="eastAsia" w:ascii="Times New Roman" w:eastAsia="宋体" w:cs="Times New Roman"/>
                <w:color w:val="000000" w:themeColor="text1"/>
                <w:sz w:val="21"/>
                <w:szCs w:val="21"/>
                <w:lang w:val="en-US" w:eastAsia="zh-CN"/>
              </w:rPr>
              <w:t>.0</w:t>
            </w:r>
            <w:r>
              <w:rPr>
                <w:rFonts w:hint="eastAsia" w:ascii="Times New Roman" w:eastAsia="宋体" w:cs="Times New Roman"/>
                <w:color w:val="000000" w:themeColor="text1"/>
                <w:sz w:val="21"/>
                <w:szCs w:val="21"/>
              </w:rPr>
              <w:t>mg/m</w:t>
            </w:r>
            <w:r>
              <w:rPr>
                <w:rFonts w:hint="eastAsia" w:ascii="Times New Roman" w:eastAsia="宋体" w:cs="Times New Roman"/>
                <w:color w:val="000000" w:themeColor="text1"/>
                <w:sz w:val="21"/>
                <w:szCs w:val="21"/>
                <w:vertAlign w:val="superscript"/>
              </w:rPr>
              <w:t>3</w:t>
            </w:r>
          </w:p>
        </w:tc>
        <w:tc>
          <w:tcPr>
            <w:tcW w:w="864" w:type="dxa"/>
            <w:tcBorders>
              <w:tl2br w:val="nil"/>
              <w:tr2bl w:val="nil"/>
            </w:tcBorders>
            <w:vAlign w:val="center"/>
          </w:tcPr>
          <w:p>
            <w:pPr>
              <w:pStyle w:val="60"/>
              <w:snapToGrid w:val="0"/>
              <w:spacing w:line="240" w:lineRule="auto"/>
              <w:ind w:firstLine="0" w:firstLineChars="0"/>
              <w:jc w:val="center"/>
              <w:rPr>
                <w:rFonts w:hint="default" w:ascii="Times New Roman" w:eastAsia="宋体" w:cs="Times New Roman"/>
                <w:color w:val="000000" w:themeColor="text1"/>
                <w:sz w:val="21"/>
                <w:szCs w:val="21"/>
                <w:lang w:val="en-US" w:eastAsia="zh-CN"/>
              </w:rPr>
            </w:pPr>
            <w:r>
              <w:rPr>
                <w:rFonts w:hint="default" w:ascii="Times New Roman" w:eastAsia="宋体" w:cs="Times New Roman"/>
                <w:color w:val="000000" w:themeColor="text1"/>
                <w:sz w:val="21"/>
                <w:szCs w:val="21"/>
                <w:lang w:val="en-US" w:eastAsia="zh-CN"/>
              </w:rPr>
              <w:t>0.01</w:t>
            </w:r>
            <w:r>
              <w:rPr>
                <w:rFonts w:hint="eastAsia" w:ascii="Times New Roman" w:eastAsia="宋体" w:cs="Times New Roman"/>
                <w:color w:val="000000" w:themeColor="text1"/>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tcBorders>
              <w:tl2br w:val="nil"/>
              <w:tr2bl w:val="nil"/>
            </w:tcBorders>
            <w:vAlign w:val="center"/>
          </w:tcPr>
          <w:p>
            <w:pPr>
              <w:pStyle w:val="60"/>
              <w:snapToGrid w:val="0"/>
              <w:spacing w:line="240" w:lineRule="auto"/>
              <w:ind w:firstLine="0" w:firstLineChars="0"/>
              <w:jc w:val="center"/>
              <w:rPr>
                <w:rFonts w:hint="eastAsia" w:ascii="Times New Roman" w:eastAsia="宋体" w:cs="Times New Roman"/>
                <w:color w:val="000000" w:themeColor="text1"/>
                <w:sz w:val="21"/>
                <w:szCs w:val="21"/>
                <w:lang w:eastAsia="zh-CN"/>
              </w:rPr>
            </w:pPr>
            <w:r>
              <w:rPr>
                <w:rFonts w:hint="eastAsia" w:ascii="Times New Roman" w:eastAsia="宋体" w:cs="Times New Roman"/>
                <w:color w:val="000000" w:themeColor="text1"/>
                <w:sz w:val="21"/>
                <w:szCs w:val="21"/>
                <w:lang w:val="en-US" w:eastAsia="zh-CN"/>
              </w:rPr>
              <w:t>3</w:t>
            </w:r>
          </w:p>
        </w:tc>
        <w:tc>
          <w:tcPr>
            <w:tcW w:w="1288"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lang w:val="en-US" w:eastAsia="zh-CN"/>
              </w:rPr>
              <w:t>餐饮</w:t>
            </w:r>
            <w:r>
              <w:rPr>
                <w:rFonts w:hint="eastAsia" w:ascii="Times New Roman" w:eastAsia="宋体" w:cs="Times New Roman"/>
                <w:color w:val="000000" w:themeColor="text1"/>
                <w:sz w:val="21"/>
                <w:szCs w:val="21"/>
              </w:rPr>
              <w:t>油烟</w:t>
            </w:r>
          </w:p>
        </w:tc>
        <w:tc>
          <w:tcPr>
            <w:tcW w:w="723"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油烟</w:t>
            </w:r>
          </w:p>
        </w:tc>
        <w:tc>
          <w:tcPr>
            <w:tcW w:w="2108"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油烟净化器</w:t>
            </w:r>
          </w:p>
        </w:tc>
        <w:tc>
          <w:tcPr>
            <w:tcW w:w="1942"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《饮食业油烟排放标准</w:t>
            </w:r>
            <w:r>
              <w:rPr>
                <w:rFonts w:hint="eastAsia" w:ascii="Times New Roman" w:eastAsia="宋体" w:cs="Times New Roman"/>
                <w:color w:val="000000" w:themeColor="text1"/>
                <w:sz w:val="21"/>
                <w:szCs w:val="21"/>
                <w:lang w:eastAsia="zh-CN"/>
              </w:rPr>
              <w:t>（试行）</w:t>
            </w:r>
            <w:r>
              <w:rPr>
                <w:rFonts w:hint="eastAsia" w:ascii="Times New Roman" w:eastAsia="宋体" w:cs="Times New Roman"/>
                <w:color w:val="000000" w:themeColor="text1"/>
                <w:sz w:val="21"/>
                <w:szCs w:val="21"/>
              </w:rPr>
              <w:t>》（GB18483-2001）</w:t>
            </w:r>
          </w:p>
        </w:tc>
        <w:tc>
          <w:tcPr>
            <w:tcW w:w="1517" w:type="dxa"/>
            <w:tcBorders>
              <w:tl2br w:val="nil"/>
              <w:tr2bl w:val="nil"/>
            </w:tcBorders>
            <w:vAlign w:val="center"/>
          </w:tcPr>
          <w:p>
            <w:pPr>
              <w:pStyle w:val="60"/>
              <w:snapToGrid w:val="0"/>
              <w:spacing w:line="240" w:lineRule="auto"/>
              <w:ind w:firstLine="0" w:firstLineChars="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2.0mg/m</w:t>
            </w:r>
            <w:r>
              <w:rPr>
                <w:rFonts w:hint="eastAsia" w:ascii="Times New Roman" w:eastAsia="宋体" w:cs="Times New Roman"/>
                <w:color w:val="000000" w:themeColor="text1"/>
                <w:sz w:val="21"/>
                <w:szCs w:val="21"/>
                <w:vertAlign w:val="superscript"/>
              </w:rPr>
              <w:t>3</w:t>
            </w:r>
          </w:p>
        </w:tc>
        <w:tc>
          <w:tcPr>
            <w:tcW w:w="864" w:type="dxa"/>
            <w:tcBorders>
              <w:tl2br w:val="nil"/>
              <w:tr2bl w:val="nil"/>
            </w:tcBorders>
            <w:vAlign w:val="center"/>
          </w:tcPr>
          <w:p>
            <w:pPr>
              <w:pStyle w:val="60"/>
              <w:snapToGrid w:val="0"/>
              <w:spacing w:line="240" w:lineRule="auto"/>
              <w:ind w:firstLine="0" w:firstLineChars="0"/>
              <w:jc w:val="center"/>
              <w:rPr>
                <w:rFonts w:hint="eastAsia" w:ascii="Times New Roman" w:eastAsia="华文新魏" w:cs="Times New Roman"/>
                <w:color w:val="000000" w:themeColor="text1"/>
                <w:sz w:val="21"/>
                <w:szCs w:val="21"/>
                <w:lang w:val="en-US" w:eastAsia="zh-CN"/>
              </w:rPr>
            </w:pPr>
            <w:r>
              <w:rPr>
                <w:rFonts w:ascii="Times New Roman" w:cs="Times New Roman"/>
                <w:bCs/>
                <w:color w:val="000000" w:themeColor="text1"/>
                <w:sz w:val="21"/>
                <w:szCs w:val="21"/>
              </w:rPr>
              <w:t>0.00</w:t>
            </w:r>
            <w:r>
              <w:rPr>
                <w:rFonts w:hint="eastAsia" w:ascii="Times New Roman" w:cs="Times New Roman"/>
                <w:bCs/>
                <w:color w:val="000000" w:themeColor="text1"/>
                <w:sz w:val="21"/>
                <w:szCs w:val="21"/>
                <w:lang w:val="en-US" w:eastAsia="zh-CN"/>
              </w:rPr>
              <w:t>25</w:t>
            </w:r>
          </w:p>
        </w:tc>
      </w:tr>
    </w:tbl>
    <w:p>
      <w:pPr>
        <w:pStyle w:val="60"/>
        <w:snapToGrid w:val="0"/>
        <w:spacing w:line="360" w:lineRule="auto"/>
        <w:jc w:val="left"/>
        <w:rPr>
          <w:rFonts w:hint="default" w:ascii="Times New Roman" w:eastAsia="宋体" w:cs="Times New Roman"/>
          <w:b w:val="0"/>
          <w:bCs w:val="0"/>
          <w:color w:val="000000" w:themeColor="text1"/>
          <w:sz w:val="24"/>
          <w:szCs w:val="24"/>
          <w:lang w:val="en-US" w:eastAsia="zh-CN"/>
        </w:rPr>
      </w:pPr>
      <w:r>
        <w:rPr>
          <w:rFonts w:hint="eastAsia" w:ascii="Times New Roman" w:eastAsia="宋体" w:cs="Times New Roman"/>
          <w:b w:val="0"/>
          <w:bCs w:val="0"/>
          <w:color w:val="000000" w:themeColor="text1"/>
          <w:sz w:val="24"/>
          <w:szCs w:val="24"/>
          <w:lang w:eastAsia="zh-CN"/>
        </w:rPr>
        <w:t>（</w:t>
      </w:r>
      <w:r>
        <w:rPr>
          <w:rFonts w:hint="eastAsia" w:ascii="Times New Roman" w:eastAsia="宋体" w:cs="Times New Roman"/>
          <w:b w:val="0"/>
          <w:bCs w:val="0"/>
          <w:color w:val="000000" w:themeColor="text1"/>
          <w:sz w:val="24"/>
          <w:szCs w:val="24"/>
          <w:lang w:val="en-US" w:eastAsia="zh-CN"/>
        </w:rPr>
        <w:t>2</w:t>
      </w:r>
      <w:r>
        <w:rPr>
          <w:rFonts w:hint="eastAsia" w:ascii="Times New Roman" w:eastAsia="宋体" w:cs="Times New Roman"/>
          <w:b w:val="0"/>
          <w:bCs w:val="0"/>
          <w:color w:val="000000" w:themeColor="text1"/>
          <w:sz w:val="24"/>
          <w:szCs w:val="24"/>
          <w:lang w:eastAsia="zh-CN"/>
        </w:rPr>
        <w:t>）</w:t>
      </w:r>
      <w:r>
        <w:rPr>
          <w:rFonts w:hint="eastAsia" w:ascii="Times New Roman" w:eastAsia="宋体" w:cs="Times New Roman"/>
          <w:b w:val="0"/>
          <w:bCs w:val="0"/>
          <w:color w:val="000000" w:themeColor="text1"/>
          <w:sz w:val="24"/>
          <w:szCs w:val="24"/>
          <w:lang w:val="en-US" w:eastAsia="zh-CN"/>
        </w:rPr>
        <w:t>年排放量核算</w:t>
      </w:r>
    </w:p>
    <w:p>
      <w:pPr>
        <w:pStyle w:val="60"/>
        <w:snapToGrid w:val="0"/>
        <w:spacing w:line="360" w:lineRule="auto"/>
        <w:jc w:val="center"/>
        <w:rPr>
          <w:rFonts w:ascii="Times New Roman" w:eastAsia="宋体" w:cs="Times New Roman"/>
          <w:b/>
          <w:bCs/>
          <w:color w:val="000000" w:themeColor="text1"/>
          <w:sz w:val="21"/>
          <w:szCs w:val="21"/>
        </w:rPr>
      </w:pPr>
      <w:r>
        <w:rPr>
          <w:rFonts w:hint="eastAsia" w:ascii="Times New Roman" w:eastAsia="宋体" w:cs="Times New Roman"/>
          <w:b/>
          <w:bCs/>
          <w:color w:val="000000" w:themeColor="text1"/>
          <w:sz w:val="21"/>
          <w:szCs w:val="21"/>
        </w:rPr>
        <w:t>表5.2-</w:t>
      </w:r>
      <w:r>
        <w:rPr>
          <w:rFonts w:hint="eastAsia" w:ascii="Times New Roman" w:eastAsia="宋体" w:cs="Times New Roman"/>
          <w:b/>
          <w:bCs/>
          <w:color w:val="000000" w:themeColor="text1"/>
          <w:sz w:val="21"/>
          <w:szCs w:val="21"/>
          <w:lang w:val="en-US" w:eastAsia="zh-CN"/>
        </w:rPr>
        <w:t xml:space="preserve">8 </w:t>
      </w:r>
      <w:r>
        <w:rPr>
          <w:rFonts w:hint="eastAsia" w:ascii="Times New Roman" w:eastAsia="宋体" w:cs="Times New Roman"/>
          <w:b/>
          <w:bCs/>
          <w:color w:val="000000" w:themeColor="text1"/>
          <w:sz w:val="21"/>
          <w:szCs w:val="21"/>
        </w:rPr>
        <w:t xml:space="preserve"> 大气污染物年排放量核算表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3781"/>
        <w:gridCol w:w="29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90" w:type="dxa"/>
            <w:tcBorders>
              <w:tl2br w:val="nil"/>
              <w:tr2bl w:val="nil"/>
            </w:tcBorders>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序号</w:t>
            </w:r>
          </w:p>
        </w:tc>
        <w:tc>
          <w:tcPr>
            <w:tcW w:w="3781" w:type="dxa"/>
            <w:tcBorders>
              <w:tl2br w:val="nil"/>
              <w:tr2bl w:val="nil"/>
            </w:tcBorders>
            <w:vAlign w:val="top"/>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污染物</w:t>
            </w:r>
          </w:p>
        </w:tc>
        <w:tc>
          <w:tcPr>
            <w:tcW w:w="2986" w:type="dxa"/>
            <w:tcBorders>
              <w:tl2br w:val="nil"/>
              <w:tr2bl w:val="nil"/>
            </w:tcBorders>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90" w:type="dxa"/>
            <w:tcBorders>
              <w:tl2br w:val="nil"/>
              <w:tr2bl w:val="nil"/>
            </w:tcBorders>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1</w:t>
            </w:r>
          </w:p>
        </w:tc>
        <w:tc>
          <w:tcPr>
            <w:tcW w:w="3781" w:type="dxa"/>
            <w:tcBorders>
              <w:tl2br w:val="nil"/>
              <w:tr2bl w:val="nil"/>
            </w:tcBorders>
            <w:vAlign w:val="top"/>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颗粒物</w:t>
            </w:r>
          </w:p>
        </w:tc>
        <w:tc>
          <w:tcPr>
            <w:tcW w:w="2986" w:type="dxa"/>
            <w:tcBorders>
              <w:tl2br w:val="nil"/>
              <w:tr2bl w:val="nil"/>
            </w:tcBorders>
          </w:tcPr>
          <w:p>
            <w:pPr>
              <w:pStyle w:val="60"/>
              <w:snapToGrid w:val="0"/>
              <w:spacing w:line="240" w:lineRule="auto"/>
              <w:ind w:firstLine="420" w:firstLineChars="200"/>
              <w:jc w:val="center"/>
              <w:rPr>
                <w:rFonts w:hint="eastAsia" w:ascii="Times New Roman" w:eastAsia="宋体" w:cs="Times New Roman"/>
                <w:color w:val="000000" w:themeColor="text1"/>
                <w:sz w:val="21"/>
                <w:szCs w:val="21"/>
                <w:lang w:val="en-US" w:eastAsia="zh-CN"/>
              </w:rPr>
            </w:pPr>
            <w:r>
              <w:rPr>
                <w:rFonts w:hint="default" w:ascii="Times New Roman" w:eastAsia="宋体" w:cs="Times New Roman"/>
                <w:color w:val="000000" w:themeColor="text1"/>
                <w:sz w:val="21"/>
                <w:szCs w:val="21"/>
                <w:lang w:val="en-US"/>
              </w:rPr>
              <w:t>0.0</w:t>
            </w:r>
            <w:r>
              <w:rPr>
                <w:rFonts w:hint="eastAsia" w:ascii="Times New Roman" w:eastAsia="宋体" w:cs="Times New Roman"/>
                <w:color w:val="000000" w:themeColor="text1"/>
                <w:sz w:val="21"/>
                <w:szCs w:val="21"/>
                <w:lang w:val="en-US" w:eastAsia="zh-CN"/>
              </w:rPr>
              <w:t>308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0" w:type="dxa"/>
            <w:tcBorders>
              <w:tl2br w:val="nil"/>
              <w:tr2bl w:val="nil"/>
            </w:tcBorders>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2</w:t>
            </w:r>
          </w:p>
        </w:tc>
        <w:tc>
          <w:tcPr>
            <w:tcW w:w="3781" w:type="dxa"/>
            <w:tcBorders>
              <w:tl2br w:val="nil"/>
              <w:tr2bl w:val="nil"/>
            </w:tcBorders>
          </w:tcPr>
          <w:p>
            <w:pPr>
              <w:pStyle w:val="60"/>
              <w:snapToGrid w:val="0"/>
              <w:spacing w:line="240" w:lineRule="auto"/>
              <w:ind w:firstLine="420" w:firstLineChars="200"/>
              <w:jc w:val="center"/>
              <w:rPr>
                <w:rFonts w:ascii="Times New Roman" w:eastAsia="宋体" w:cs="Times New Roman"/>
                <w:color w:val="000000" w:themeColor="text1"/>
                <w:sz w:val="21"/>
                <w:szCs w:val="21"/>
              </w:rPr>
            </w:pPr>
            <w:r>
              <w:rPr>
                <w:rFonts w:hint="eastAsia" w:ascii="Times New Roman" w:eastAsia="宋体" w:cs="Times New Roman"/>
                <w:color w:val="000000" w:themeColor="text1"/>
                <w:sz w:val="21"/>
                <w:szCs w:val="21"/>
              </w:rPr>
              <w:t>油烟</w:t>
            </w:r>
          </w:p>
        </w:tc>
        <w:tc>
          <w:tcPr>
            <w:tcW w:w="2986" w:type="dxa"/>
            <w:tcBorders>
              <w:tl2br w:val="nil"/>
              <w:tr2bl w:val="nil"/>
            </w:tcBorders>
          </w:tcPr>
          <w:p>
            <w:pPr>
              <w:pStyle w:val="60"/>
              <w:snapToGrid w:val="0"/>
              <w:spacing w:line="240" w:lineRule="auto"/>
              <w:ind w:firstLine="420" w:firstLineChars="200"/>
              <w:jc w:val="center"/>
              <w:rPr>
                <w:rFonts w:hint="eastAsia" w:asci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rPr>
              <w:t>0.00</w:t>
            </w:r>
            <w:r>
              <w:rPr>
                <w:rFonts w:hint="eastAsia" w:ascii="Times New Roman" w:eastAsia="宋体" w:cs="Times New Roman"/>
                <w:color w:val="000000" w:themeColor="text1"/>
                <w:sz w:val="21"/>
                <w:szCs w:val="21"/>
                <w:lang w:val="en-US" w:eastAsia="zh-CN"/>
              </w:rPr>
              <w:t>25</w:t>
            </w:r>
          </w:p>
        </w:tc>
      </w:tr>
    </w:tbl>
    <w:p>
      <w:pPr>
        <w:pStyle w:val="60"/>
        <w:jc w:val="center"/>
        <w:rPr>
          <w:rFonts w:ascii="Times New Roman" w:eastAsia="宋体" w:cs="Times New Roman"/>
          <w:color w:val="000000" w:themeColor="text1"/>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b w:val="0"/>
          <w:bCs w:val="0"/>
          <w:color w:val="FF0000"/>
          <w:sz w:val="24"/>
          <w:szCs w:val="24"/>
        </w:rPr>
      </w:pPr>
      <w:r>
        <w:rPr>
          <w:rFonts w:hint="eastAsia" w:ascii="Times New Roman" w:hAnsi="Times New Roman" w:eastAsia="宋体" w:cs="Times New Roman"/>
          <w:b w:val="0"/>
          <w:bCs w:val="0"/>
          <w:color w:val="FF0000"/>
          <w:sz w:val="24"/>
          <w:szCs w:val="24"/>
          <w:lang w:val="en-US" w:eastAsia="zh-CN"/>
        </w:rPr>
        <w:t>5.2.1.4  环境影响防治措施</w:t>
      </w:r>
    </w:p>
    <w:p>
      <w:pPr>
        <w:pageBreakBefore w:val="0"/>
        <w:widowControl w:val="0"/>
        <w:numPr>
          <w:ilvl w:val="0"/>
          <w:numId w:val="0"/>
        </w:numPr>
        <w:kinsoku/>
        <w:wordWrap/>
        <w:overflowPunct/>
        <w:topLinePunct w:val="0"/>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采矿通风井污风</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风井排出污风通过通风机口集中排放，其主要污染物是采矿粉尘。项目爆破环节会产生大量粉尘与废气（其主要成分为CO、NOx），由于本项目爆破时间短、炸药填充量少且项目采用硐采形式。因此爆破产生的粉尘排放量较小。</w:t>
      </w:r>
      <w:r>
        <w:rPr>
          <w:rFonts w:hint="eastAsia" w:ascii="Times New Roman" w:hAnsi="Times New Roman" w:eastAsia="宋体" w:cs="Times New Roman"/>
          <w:color w:val="FF0000"/>
          <w:sz w:val="24"/>
          <w:szCs w:val="24"/>
          <w:lang w:eastAsia="zh-CN"/>
        </w:rPr>
        <w:t>本项目通过</w:t>
      </w:r>
      <w:r>
        <w:rPr>
          <w:rFonts w:hint="default" w:ascii="Times New Roman" w:hAnsi="Times New Roman" w:eastAsia="宋体" w:cs="Times New Roman"/>
          <w:color w:val="FF0000"/>
          <w:sz w:val="24"/>
          <w:szCs w:val="24"/>
        </w:rPr>
        <w:t>通过湿式凿岩、工作面喷雾洒水除尘的湿式作业方式、机械与自然通风输送新鲜风的稀释方式</w:t>
      </w:r>
      <w:r>
        <w:rPr>
          <w:rFonts w:hint="eastAsia" w:ascii="Times New Roman" w:hAnsi="Times New Roman" w:eastAsia="宋体" w:cs="Times New Roman"/>
          <w:color w:val="FF0000"/>
          <w:sz w:val="24"/>
          <w:szCs w:val="24"/>
          <w:lang w:eastAsia="zh-CN"/>
        </w:rPr>
        <w:t>来减少采矿污风的产生量。</w:t>
      </w:r>
      <w:r>
        <w:rPr>
          <w:rFonts w:hint="default" w:ascii="Times New Roman" w:hAnsi="Times New Roman" w:eastAsia="宋体" w:cs="Times New Roman"/>
          <w:color w:val="FF0000"/>
          <w:sz w:val="24"/>
          <w:szCs w:val="24"/>
        </w:rPr>
        <w:t>环评要求建设单位需保证硐内加强通风，待炮烟排除后方可进入作业。</w:t>
      </w:r>
    </w:p>
    <w:p>
      <w:pPr>
        <w:pageBreakBefore w:val="0"/>
        <w:widowControl w:val="0"/>
        <w:numPr>
          <w:ilvl w:val="0"/>
          <w:numId w:val="0"/>
        </w:numPr>
        <w:kinsoku/>
        <w:wordWrap/>
        <w:overflowPunct/>
        <w:topLinePunct w:val="0"/>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矿石堆场</w:t>
      </w:r>
      <w:r>
        <w:rPr>
          <w:rFonts w:hint="default" w:ascii="Times New Roman" w:hAnsi="Times New Roman" w:eastAsia="宋体" w:cs="Times New Roman"/>
          <w:color w:val="FF0000"/>
          <w:sz w:val="24"/>
          <w:szCs w:val="24"/>
        </w:rPr>
        <w:t>扬尘</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矿山开采出的矿山由矿车运出后，先在出矿硐口堆放，然后由卡车运出矿区。为了进一步控制原料运输过程对周边空气质量的影响，</w:t>
      </w:r>
      <w:r>
        <w:rPr>
          <w:rFonts w:hint="eastAsia" w:ascii="Times New Roman" w:hAnsi="Times New Roman" w:eastAsia="宋体" w:cs="Times New Roman"/>
          <w:color w:val="FF0000"/>
          <w:sz w:val="24"/>
          <w:szCs w:val="24"/>
          <w:lang w:val="en-US" w:eastAsia="zh-CN"/>
        </w:rPr>
        <w:t>根据</w:t>
      </w:r>
      <w:r>
        <w:rPr>
          <w:rFonts w:hint="default" w:ascii="Times New Roman" w:hAnsi="Times New Roman" w:eastAsia="宋体" w:cs="Times New Roman"/>
          <w:color w:val="FF0000"/>
          <w:sz w:val="24"/>
          <w:szCs w:val="24"/>
        </w:rPr>
        <w:t>《陕西省矿产资源开发</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保生态治污染</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行动方案（2016-2020年）》</w:t>
      </w:r>
      <w:r>
        <w:rPr>
          <w:rFonts w:hint="eastAsia" w:ascii="Times New Roman" w:hAnsi="Times New Roman" w:eastAsia="宋体" w:cs="Times New Roman"/>
          <w:color w:val="FF0000"/>
          <w:sz w:val="24"/>
          <w:szCs w:val="24"/>
          <w:lang w:eastAsia="zh-CN"/>
        </w:rPr>
        <w:t>等文件，</w:t>
      </w:r>
      <w:r>
        <w:rPr>
          <w:rFonts w:hint="default" w:ascii="Times New Roman" w:hAnsi="Times New Roman" w:eastAsia="宋体" w:cs="Times New Roman"/>
          <w:color w:val="FF0000"/>
          <w:sz w:val="24"/>
          <w:szCs w:val="24"/>
        </w:rPr>
        <w:t>本次环评提出以下要求：</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1 \* GB3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color w:val="FF0000"/>
          <w:sz w:val="24"/>
          <w:szCs w:val="24"/>
        </w:rPr>
        <w:fldChar w:fldCharType="end"/>
      </w:r>
      <w:r>
        <w:rPr>
          <w:rFonts w:hint="eastAsia" w:ascii="Times New Roman" w:hAnsi="Times New Roman" w:eastAsia="宋体" w:cs="Times New Roman"/>
          <w:color w:val="FF0000"/>
          <w:sz w:val="24"/>
          <w:szCs w:val="24"/>
          <w:lang w:val="en-US" w:eastAsia="zh-CN"/>
        </w:rPr>
        <w:t>在矿石临时转运场所建设堆棚，可有效减少粉尘排放量</w:t>
      </w:r>
      <w:r>
        <w:rPr>
          <w:rFonts w:hint="default" w:ascii="Times New Roman" w:hAnsi="Times New Roman" w:eastAsia="宋体" w:cs="Times New Roman"/>
          <w:color w:val="FF0000"/>
          <w:sz w:val="24"/>
          <w:szCs w:val="24"/>
        </w:rPr>
        <w:t>。</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2 \* GB3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color w:val="FF0000"/>
          <w:sz w:val="24"/>
          <w:szCs w:val="24"/>
        </w:rPr>
        <w:fldChar w:fldCharType="end"/>
      </w:r>
      <w:r>
        <w:rPr>
          <w:rFonts w:hint="eastAsia" w:ascii="Times New Roman" w:hAnsi="Times New Roman" w:eastAsia="宋体" w:cs="Times New Roman"/>
          <w:color w:val="FF0000"/>
          <w:sz w:val="24"/>
          <w:szCs w:val="24"/>
          <w:lang w:val="en-US" w:eastAsia="zh-CN"/>
        </w:rPr>
        <w:t>在装卸过程中进行洒水降尘</w:t>
      </w:r>
      <w:r>
        <w:rPr>
          <w:rFonts w:hint="default" w:ascii="Times New Roman" w:hAnsi="Times New Roman" w:eastAsia="宋体" w:cs="Times New Roman"/>
          <w:color w:val="FF0000"/>
          <w:sz w:val="24"/>
          <w:szCs w:val="24"/>
        </w:rPr>
        <w:t>。</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b w:val="0"/>
          <w:bCs w:val="0"/>
          <w:color w:val="FF0000"/>
          <w:sz w:val="24"/>
          <w:szCs w:val="24"/>
          <w:lang w:eastAsia="zh-CN"/>
        </w:rPr>
      </w:pP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3</w:t>
      </w: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矿石运输道路扬尘</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减少矿石转运扬尘需要采取的措施有：</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1 \* GB3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color w:val="FF0000"/>
          <w:sz w:val="24"/>
          <w:szCs w:val="24"/>
        </w:rPr>
        <w:fldChar w:fldCharType="end"/>
      </w:r>
      <w:r>
        <w:rPr>
          <w:rFonts w:hint="default" w:ascii="Times New Roman" w:hAnsi="Times New Roman" w:eastAsia="宋体" w:cs="Times New Roman"/>
          <w:b w:val="0"/>
          <w:bCs w:val="0"/>
          <w:color w:val="FF0000"/>
          <w:sz w:val="24"/>
          <w:szCs w:val="24"/>
          <w:lang w:val="en-US" w:eastAsia="zh-CN"/>
        </w:rPr>
        <w:t>本项目矿区内道路全部硬化。</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 2 \* GB3 \* MERGEFORMAT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color w:val="FF0000"/>
          <w:sz w:val="24"/>
          <w:szCs w:val="24"/>
        </w:rPr>
        <w:fldChar w:fldCharType="end"/>
      </w:r>
      <w:r>
        <w:rPr>
          <w:rFonts w:hint="default" w:ascii="Times New Roman" w:hAnsi="Times New Roman" w:eastAsia="宋体" w:cs="Times New Roman"/>
          <w:b w:val="0"/>
          <w:bCs w:val="0"/>
          <w:color w:val="FF0000"/>
          <w:sz w:val="24"/>
          <w:szCs w:val="24"/>
          <w:lang w:val="en-US" w:eastAsia="zh-CN"/>
        </w:rPr>
        <w:t>加强道路清扫增加道路清洁程度，定期洒水降尘。</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b w:val="0"/>
          <w:bCs w:val="0"/>
          <w:color w:val="FF0000"/>
          <w:sz w:val="24"/>
          <w:szCs w:val="24"/>
          <w:lang w:val="en-US" w:eastAsia="zh-CN"/>
        </w:rPr>
        <w:fldChar w:fldCharType="begin"/>
      </w:r>
      <w:r>
        <w:rPr>
          <w:rFonts w:hint="default" w:ascii="Times New Roman" w:hAnsi="Times New Roman" w:eastAsia="宋体" w:cs="Times New Roman"/>
          <w:b w:val="0"/>
          <w:bCs w:val="0"/>
          <w:color w:val="FF0000"/>
          <w:sz w:val="24"/>
          <w:szCs w:val="24"/>
          <w:lang w:val="en-US" w:eastAsia="zh-CN"/>
        </w:rPr>
        <w:instrText xml:space="preserve"> = 3 \* GB3 \* MERGEFORMAT </w:instrText>
      </w:r>
      <w:r>
        <w:rPr>
          <w:rFonts w:hint="default" w:ascii="Times New Roman" w:hAnsi="Times New Roman" w:eastAsia="宋体" w:cs="Times New Roman"/>
          <w:b w:val="0"/>
          <w:bCs w:val="0"/>
          <w:color w:val="FF0000"/>
          <w:sz w:val="24"/>
          <w:szCs w:val="24"/>
          <w:lang w:val="en-US" w:eastAsia="zh-CN"/>
        </w:rPr>
        <w:fldChar w:fldCharType="separate"/>
      </w:r>
      <w:r>
        <w:rPr>
          <w:rFonts w:hint="default" w:ascii="Times New Roman" w:hAnsi="Times New Roman" w:eastAsia="宋体" w:cs="Times New Roman"/>
          <w:color w:val="FF0000"/>
          <w:sz w:val="24"/>
          <w:szCs w:val="24"/>
        </w:rPr>
        <w:t>③</w:t>
      </w:r>
      <w:r>
        <w:rPr>
          <w:rFonts w:hint="default" w:ascii="Times New Roman" w:hAnsi="Times New Roman" w:eastAsia="宋体" w:cs="Times New Roman"/>
          <w:b w:val="0"/>
          <w:bCs w:val="0"/>
          <w:color w:val="FF0000"/>
          <w:sz w:val="24"/>
          <w:szCs w:val="24"/>
          <w:lang w:val="en-US" w:eastAsia="zh-CN"/>
        </w:rPr>
        <w:fldChar w:fldCharType="end"/>
      </w:r>
      <w:r>
        <w:rPr>
          <w:rFonts w:hint="eastAsia" w:ascii="Times New Roman" w:hAnsi="Times New Roman" w:eastAsia="宋体" w:cs="Times New Roman"/>
          <w:b w:val="0"/>
          <w:bCs w:val="0"/>
          <w:color w:val="FF0000"/>
          <w:sz w:val="24"/>
          <w:szCs w:val="24"/>
          <w:lang w:val="en-US" w:eastAsia="zh-CN"/>
        </w:rPr>
        <w:t>要求运输车辆减速慢行，车辆全覆盖，防止矿石散落。</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b w:val="0"/>
          <w:bCs w:val="0"/>
          <w:color w:val="FF0000"/>
          <w:sz w:val="24"/>
          <w:szCs w:val="24"/>
          <w:lang w:eastAsia="zh-CN"/>
        </w:rPr>
      </w:pP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4</w:t>
      </w: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非道路移动机械和运输车辆尾气</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为减少运营期车辆尾气排放，环评提出以下要求：</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fldChar w:fldCharType="begin"/>
      </w:r>
      <w:r>
        <w:rPr>
          <w:rFonts w:hint="default" w:ascii="Times New Roman" w:hAnsi="Times New Roman" w:eastAsia="宋体" w:cs="Times New Roman"/>
          <w:b w:val="0"/>
          <w:bCs w:val="0"/>
          <w:color w:val="FF0000"/>
          <w:sz w:val="24"/>
          <w:szCs w:val="24"/>
          <w:lang w:val="en-US" w:eastAsia="zh-CN"/>
        </w:rPr>
        <w:instrText xml:space="preserve"> = 1 \* GB3 \* MERGEFORMAT </w:instrText>
      </w:r>
      <w:r>
        <w:rPr>
          <w:rFonts w:hint="default" w:ascii="Times New Roman" w:hAnsi="Times New Roman" w:eastAsia="宋体" w:cs="Times New Roman"/>
          <w:b w:val="0"/>
          <w:bCs w:val="0"/>
          <w:color w:val="FF0000"/>
          <w:sz w:val="24"/>
          <w:szCs w:val="24"/>
          <w:lang w:val="en-US" w:eastAsia="zh-CN"/>
        </w:rPr>
        <w:fldChar w:fldCharType="separate"/>
      </w:r>
      <w:r>
        <w:rPr>
          <w:rFonts w:hint="default" w:ascii="Times New Roman" w:hAnsi="Times New Roman" w:eastAsia="宋体" w:cs="Times New Roman"/>
          <w:b w:val="0"/>
          <w:bCs w:val="0"/>
          <w:color w:val="FF0000"/>
          <w:sz w:val="24"/>
          <w:szCs w:val="24"/>
        </w:rPr>
        <w:t>①</w:t>
      </w:r>
      <w:r>
        <w:rPr>
          <w:rFonts w:hint="default" w:ascii="Times New Roman" w:hAnsi="Times New Roman" w:eastAsia="宋体" w:cs="Times New Roman"/>
          <w:b w:val="0"/>
          <w:bCs w:val="0"/>
          <w:color w:val="FF0000"/>
          <w:sz w:val="24"/>
          <w:szCs w:val="24"/>
          <w:lang w:val="en-US" w:eastAsia="zh-CN"/>
        </w:rPr>
        <w:fldChar w:fldCharType="end"/>
      </w:r>
      <w:r>
        <w:rPr>
          <w:rFonts w:hint="default" w:ascii="Times New Roman" w:hAnsi="Times New Roman" w:eastAsia="宋体" w:cs="Times New Roman"/>
          <w:b w:val="0"/>
          <w:bCs w:val="0"/>
          <w:color w:val="FF0000"/>
          <w:sz w:val="24"/>
          <w:szCs w:val="24"/>
          <w:lang w:val="en-US" w:eastAsia="zh-CN"/>
        </w:rPr>
        <w:t>按照国家政策，尽量选用新能源机械设备，禁止私自改装车辆，淘汰尾气排放不达标的车辆。</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FF0000"/>
          <w:sz w:val="24"/>
          <w:szCs w:val="24"/>
          <w:lang w:val="en-US" w:eastAsia="zh-CN"/>
        </w:rPr>
        <w:fldChar w:fldCharType="begin"/>
      </w:r>
      <w:r>
        <w:rPr>
          <w:rFonts w:hint="default" w:ascii="Times New Roman" w:hAnsi="Times New Roman" w:eastAsia="宋体" w:cs="Times New Roman"/>
          <w:b w:val="0"/>
          <w:bCs w:val="0"/>
          <w:color w:val="FF0000"/>
          <w:sz w:val="24"/>
          <w:szCs w:val="24"/>
          <w:lang w:val="en-US" w:eastAsia="zh-CN"/>
        </w:rPr>
        <w:instrText xml:space="preserve"> = 2 \* GB3 \* MERGEFORMAT </w:instrText>
      </w:r>
      <w:r>
        <w:rPr>
          <w:rFonts w:hint="default" w:ascii="Times New Roman" w:hAnsi="Times New Roman" w:eastAsia="宋体" w:cs="Times New Roman"/>
          <w:b w:val="0"/>
          <w:bCs w:val="0"/>
          <w:color w:val="FF0000"/>
          <w:sz w:val="24"/>
          <w:szCs w:val="24"/>
          <w:lang w:val="en-US" w:eastAsia="zh-CN"/>
        </w:rPr>
        <w:fldChar w:fldCharType="separate"/>
      </w:r>
      <w:r>
        <w:rPr>
          <w:rFonts w:hint="default" w:ascii="Times New Roman" w:hAnsi="Times New Roman" w:eastAsia="宋体" w:cs="Times New Roman"/>
          <w:b w:val="0"/>
          <w:bCs w:val="0"/>
          <w:color w:val="FF0000"/>
          <w:sz w:val="24"/>
          <w:szCs w:val="24"/>
        </w:rPr>
        <w:t>②</w:t>
      </w:r>
      <w:r>
        <w:rPr>
          <w:rFonts w:hint="default" w:ascii="Times New Roman" w:hAnsi="Times New Roman" w:eastAsia="宋体" w:cs="Times New Roman"/>
          <w:b w:val="0"/>
          <w:bCs w:val="0"/>
          <w:color w:val="FF0000"/>
          <w:sz w:val="24"/>
          <w:szCs w:val="24"/>
          <w:lang w:val="en-US" w:eastAsia="zh-CN"/>
        </w:rPr>
        <w:fldChar w:fldCharType="end"/>
      </w:r>
      <w:r>
        <w:rPr>
          <w:rFonts w:hint="default" w:ascii="Times New Roman" w:hAnsi="Times New Roman" w:eastAsia="宋体" w:cs="Times New Roman"/>
          <w:b w:val="0"/>
          <w:bCs w:val="0"/>
          <w:color w:val="FF0000"/>
          <w:sz w:val="24"/>
          <w:szCs w:val="24"/>
          <w:lang w:val="en-US" w:eastAsia="zh-CN"/>
        </w:rPr>
        <w:t>定期对非道路移动机械和运输车辆进行检修，保障车辆正常运行。</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b w:val="0"/>
          <w:bCs w:val="0"/>
          <w:color w:val="FF0000"/>
          <w:sz w:val="24"/>
          <w:szCs w:val="24"/>
          <w:lang w:val="en-US" w:eastAsia="zh-CN"/>
        </w:rPr>
        <w:fldChar w:fldCharType="begin"/>
      </w:r>
      <w:r>
        <w:rPr>
          <w:rFonts w:hint="default" w:ascii="Times New Roman" w:hAnsi="Times New Roman" w:eastAsia="宋体" w:cs="Times New Roman"/>
          <w:b w:val="0"/>
          <w:bCs w:val="0"/>
          <w:color w:val="FF0000"/>
          <w:sz w:val="24"/>
          <w:szCs w:val="24"/>
          <w:lang w:val="en-US" w:eastAsia="zh-CN"/>
        </w:rPr>
        <w:instrText xml:space="preserve"> = 3 \* GB3 \* MERGEFORMAT </w:instrText>
      </w:r>
      <w:r>
        <w:rPr>
          <w:rFonts w:hint="default" w:ascii="Times New Roman" w:hAnsi="Times New Roman" w:eastAsia="宋体" w:cs="Times New Roman"/>
          <w:b w:val="0"/>
          <w:bCs w:val="0"/>
          <w:color w:val="FF0000"/>
          <w:sz w:val="24"/>
          <w:szCs w:val="24"/>
          <w:lang w:val="en-US" w:eastAsia="zh-CN"/>
        </w:rPr>
        <w:fldChar w:fldCharType="separate"/>
      </w:r>
      <w:r>
        <w:rPr>
          <w:rFonts w:hint="default" w:ascii="Times New Roman" w:hAnsi="Times New Roman" w:eastAsia="宋体" w:cs="Times New Roman"/>
          <w:b w:val="0"/>
          <w:bCs w:val="0"/>
          <w:color w:val="FF0000"/>
          <w:sz w:val="24"/>
          <w:szCs w:val="24"/>
        </w:rPr>
        <w:t>③</w:t>
      </w:r>
      <w:r>
        <w:rPr>
          <w:rFonts w:hint="default" w:ascii="Times New Roman" w:hAnsi="Times New Roman" w:eastAsia="宋体" w:cs="Times New Roman"/>
          <w:b w:val="0"/>
          <w:bCs w:val="0"/>
          <w:color w:val="FF0000"/>
          <w:sz w:val="24"/>
          <w:szCs w:val="24"/>
          <w:lang w:val="en-US" w:eastAsia="zh-CN"/>
        </w:rPr>
        <w:fldChar w:fldCharType="end"/>
      </w:r>
      <w:r>
        <w:rPr>
          <w:rFonts w:hint="eastAsia" w:ascii="Times New Roman" w:hAnsi="Times New Roman" w:eastAsia="宋体" w:cs="Times New Roman"/>
          <w:b w:val="0"/>
          <w:bCs w:val="0"/>
          <w:color w:val="FF0000"/>
          <w:sz w:val="24"/>
          <w:szCs w:val="24"/>
          <w:lang w:val="en-US" w:eastAsia="zh-CN"/>
        </w:rPr>
        <w:t>选用合格的燃油，保障油品充分燃烧。</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5</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餐饮油烟</w:t>
      </w:r>
    </w:p>
    <w:p>
      <w:pPr>
        <w:pStyle w:val="41"/>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cs="Times New Roman"/>
          <w:color w:val="000000" w:themeColor="text1"/>
          <w:sz w:val="24"/>
          <w:szCs w:val="24"/>
          <w:lang w:val="en-US" w:eastAsia="zh-CN"/>
        </w:rPr>
        <w:t>餐饮</w:t>
      </w:r>
      <w:r>
        <w:rPr>
          <w:rFonts w:hint="default" w:ascii="Times New Roman" w:hAnsi="Times New Roman" w:eastAsia="宋体" w:cs="Times New Roman"/>
          <w:color w:val="000000" w:themeColor="text1"/>
          <w:sz w:val="24"/>
          <w:szCs w:val="24"/>
        </w:rPr>
        <w:t>油烟设置油烟净化器，除油烟效率为60%以上，经过油烟净化器后，</w:t>
      </w:r>
      <w:bookmarkStart w:id="776" w:name="_Hlk532644733"/>
      <w:r>
        <w:rPr>
          <w:rFonts w:hint="default" w:ascii="Times New Roman" w:hAnsi="Times New Roman" w:eastAsia="宋体" w:cs="Times New Roman"/>
          <w:color w:val="000000" w:themeColor="text1"/>
          <w:sz w:val="24"/>
          <w:szCs w:val="24"/>
        </w:rPr>
        <w:t>油烟排放浓度为</w:t>
      </w:r>
      <w:r>
        <w:rPr>
          <w:rFonts w:hint="eastAsia" w:ascii="Times New Roman" w:cs="Times New Roman"/>
          <w:color w:val="000000" w:themeColor="text1"/>
          <w:sz w:val="24"/>
          <w:szCs w:val="24"/>
          <w:lang w:val="en-US" w:eastAsia="zh-CN"/>
        </w:rPr>
        <w:t>0.8428</w:t>
      </w:r>
      <w:r>
        <w:rPr>
          <w:rFonts w:hint="default" w:ascii="Times New Roman" w:hAnsi="Times New Roman" w:eastAsia="宋体" w:cs="Times New Roman"/>
          <w:color w:val="000000" w:themeColor="text1"/>
          <w:sz w:val="24"/>
          <w:szCs w:val="24"/>
        </w:rPr>
        <w:t>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，排放量为</w:t>
      </w:r>
      <w:r>
        <w:rPr>
          <w:rFonts w:hint="default" w:ascii="Times New Roman" w:hAnsi="Times New Roman" w:eastAsia="宋体" w:cs="Times New Roman"/>
          <w:bCs/>
          <w:color w:val="000000" w:themeColor="text1"/>
          <w:sz w:val="24"/>
          <w:szCs w:val="24"/>
        </w:rPr>
        <w:t>0.00</w:t>
      </w:r>
      <w:r>
        <w:rPr>
          <w:rFonts w:hint="eastAsia" w:ascii="Times New Roman" w:cs="Times New Roman"/>
          <w:bCs/>
          <w:color w:val="000000" w:themeColor="text1"/>
          <w:sz w:val="24"/>
          <w:szCs w:val="24"/>
          <w:lang w:val="en-US" w:eastAsia="zh-CN"/>
        </w:rPr>
        <w:t>25</w:t>
      </w:r>
      <w:r>
        <w:rPr>
          <w:rFonts w:hint="default" w:ascii="Times New Roman" w:hAnsi="Times New Roman" w:eastAsia="宋体" w:cs="Times New Roman"/>
          <w:bCs/>
          <w:color w:val="000000" w:themeColor="text1"/>
          <w:sz w:val="24"/>
          <w:szCs w:val="24"/>
        </w:rPr>
        <w:t>t/a</w:t>
      </w:r>
      <w:bookmarkEnd w:id="776"/>
      <w:r>
        <w:rPr>
          <w:rFonts w:hint="default" w:ascii="Times New Roman" w:hAnsi="Times New Roman" w:eastAsia="宋体" w:cs="Times New Roman"/>
          <w:bCs/>
          <w:color w:val="000000" w:themeColor="text1"/>
          <w:sz w:val="24"/>
          <w:szCs w:val="24"/>
        </w:rPr>
        <w:t>，</w:t>
      </w:r>
      <w:r>
        <w:rPr>
          <w:rFonts w:hint="default" w:ascii="Times New Roman" w:hAnsi="Times New Roman" w:eastAsia="宋体" w:cs="Times New Roman"/>
          <w:color w:val="000000" w:themeColor="text1"/>
          <w:sz w:val="24"/>
          <w:szCs w:val="24"/>
        </w:rPr>
        <w:t>符合《饮食业油烟排放标准</w:t>
      </w:r>
      <w:r>
        <w:rPr>
          <w:rFonts w:hint="eastAsia" w:ascii="Times New Roman"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》（GB18483-2001）表2中油烟最高允许排放浓度2.0mg/m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的要求，</w:t>
      </w:r>
      <w:r>
        <w:rPr>
          <w:rFonts w:hint="eastAsia"/>
          <w:color w:val="000000" w:themeColor="text1"/>
          <w:sz w:val="24"/>
        </w:rPr>
        <w:t>烟气引至房顶</w:t>
      </w:r>
      <w:r>
        <w:rPr>
          <w:rFonts w:hint="eastAsia"/>
          <w:color w:val="000000" w:themeColor="text1"/>
          <w:sz w:val="24"/>
          <w:lang w:eastAsia="zh-CN"/>
        </w:rPr>
        <w:t>高空</w:t>
      </w:r>
      <w:r>
        <w:rPr>
          <w:rFonts w:hint="eastAsia"/>
          <w:color w:val="000000" w:themeColor="text1"/>
          <w:sz w:val="24"/>
        </w:rPr>
        <w:t>排放，</w:t>
      </w:r>
      <w:r>
        <w:rPr>
          <w:rFonts w:hint="default" w:ascii="Times New Roman" w:hAnsi="Times New Roman" w:eastAsia="宋体" w:cs="Times New Roman"/>
          <w:color w:val="000000" w:themeColor="text1"/>
          <w:sz w:val="24"/>
          <w:szCs w:val="24"/>
        </w:rPr>
        <w:t>对周围大气环境影响较小。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bookmarkStart w:id="777" w:name="_Toc475602496"/>
      <w:r>
        <w:rPr>
          <w:rFonts w:hint="eastAsia" w:ascii="Times New Roman" w:hAnsi="Times New Roman" w:eastAsia="宋体" w:cs="Times New Roman"/>
          <w:b w:val="0"/>
          <w:bCs w:val="0"/>
          <w:color w:val="000000" w:themeColor="text1"/>
          <w:sz w:val="24"/>
          <w:szCs w:val="24"/>
          <w:lang w:val="en-US" w:eastAsia="zh-CN"/>
        </w:rPr>
        <w:t>5.2.1.5  大气环境影响评价自查表</w:t>
      </w:r>
    </w:p>
    <w:p>
      <w:pPr>
        <w:pStyle w:val="5"/>
        <w:numPr>
          <w:ilvl w:val="2"/>
          <w:numId w:val="0"/>
        </w:numPr>
        <w:ind w:leftChars="0"/>
        <w:jc w:val="center"/>
        <w:rPr>
          <w:rFonts w:hint="default" w:ascii="Times New Roman" w:hAnsi="Times New Roman" w:eastAsia="宋体" w:cs="Times New Roman"/>
          <w:b/>
          <w:bCs/>
          <w:color w:val="000000" w:themeColor="text1"/>
          <w:sz w:val="21"/>
          <w:szCs w:val="21"/>
          <w:lang w:val="en-US" w:eastAsia="zh-CN"/>
        </w:rPr>
      </w:pPr>
      <w:bookmarkStart w:id="778" w:name="_Toc19794"/>
      <w:r>
        <w:rPr>
          <w:rFonts w:hint="default" w:ascii="Times New Roman" w:hAnsi="Times New Roman" w:eastAsia="宋体" w:cs="Times New Roman"/>
          <w:b/>
          <w:bCs/>
          <w:color w:val="000000" w:themeColor="text1"/>
          <w:sz w:val="21"/>
          <w:szCs w:val="21"/>
          <w:lang w:val="en-US" w:eastAsia="zh-CN"/>
        </w:rPr>
        <w:t>表</w:t>
      </w:r>
      <w:r>
        <w:rPr>
          <w:rFonts w:hint="eastAsia" w:ascii="Times New Roman" w:hAnsi="Times New Roman" w:eastAsia="宋体" w:cs="Times New Roman"/>
          <w:b/>
          <w:bCs/>
          <w:color w:val="000000" w:themeColor="text1"/>
          <w:sz w:val="21"/>
          <w:szCs w:val="21"/>
          <w:lang w:val="en-US" w:eastAsia="zh-CN"/>
        </w:rPr>
        <w:t>5.2-9</w:t>
      </w:r>
      <w:r>
        <w:rPr>
          <w:rFonts w:hint="default" w:ascii="Times New Roman" w:hAnsi="Times New Roman" w:eastAsia="宋体" w:cs="Times New Roman"/>
          <w:b/>
          <w:bCs/>
          <w:color w:val="000000" w:themeColor="text1"/>
          <w:sz w:val="21"/>
          <w:szCs w:val="21"/>
          <w:lang w:val="en-US" w:eastAsia="zh-CN"/>
        </w:rPr>
        <w:t xml:space="preserve">  建设项目大气环境影响评价自查表</w:t>
      </w:r>
      <w:bookmarkEnd w:id="778"/>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326"/>
        <w:gridCol w:w="787"/>
        <w:gridCol w:w="79"/>
        <w:gridCol w:w="186"/>
        <w:gridCol w:w="487"/>
        <w:gridCol w:w="112"/>
        <w:gridCol w:w="12"/>
        <w:gridCol w:w="120"/>
        <w:gridCol w:w="610"/>
        <w:gridCol w:w="244"/>
        <w:gridCol w:w="38"/>
        <w:gridCol w:w="572"/>
        <w:gridCol w:w="121"/>
        <w:gridCol w:w="389"/>
        <w:gridCol w:w="7"/>
        <w:gridCol w:w="1"/>
        <w:gridCol w:w="113"/>
        <w:gridCol w:w="491"/>
        <w:gridCol w:w="99"/>
        <w:gridCol w:w="399"/>
        <w:gridCol w:w="115"/>
        <w:gridCol w:w="339"/>
        <w:gridCol w:w="497"/>
        <w:gridCol w:w="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2212" w:type="dxa"/>
            <w:gridSpan w:val="2"/>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工作内容</w:t>
            </w:r>
          </w:p>
        </w:tc>
        <w:tc>
          <w:tcPr>
            <w:tcW w:w="6745" w:type="dxa"/>
            <w:gridSpan w:val="2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8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评价等级与范围</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评价等级</w:t>
            </w:r>
          </w:p>
        </w:tc>
        <w:tc>
          <w:tcPr>
            <w:tcW w:w="1663" w:type="dxa"/>
            <w:gridSpan w:val="6"/>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一级</w:t>
            </w:r>
            <w:r>
              <w:rPr>
                <w:rFonts w:cs="Times New Roman" w:asciiTheme="majorEastAsia" w:hAnsiTheme="majorEastAsia" w:eastAsiaTheme="majorEastAsia"/>
                <w:color w:val="000000" w:themeColor="text1"/>
                <w:szCs w:val="21"/>
              </w:rPr>
              <w:t>□</w:t>
            </w:r>
          </w:p>
        </w:tc>
        <w:tc>
          <w:tcPr>
            <w:tcW w:w="2102"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二级</w:t>
            </w:r>
            <w:r>
              <w:rPr>
                <w:rFonts w:cs="Times New Roman" w:asciiTheme="majorEastAsia" w:hAnsiTheme="majorEastAsia" w:eastAsiaTheme="majorEastAsia"/>
                <w:color w:val="000000" w:themeColor="text1"/>
                <w:szCs w:val="21"/>
              </w:rPr>
              <w:sym w:font="Wingdings 2" w:char="0052"/>
            </w:r>
          </w:p>
        </w:tc>
        <w:tc>
          <w:tcPr>
            <w:tcW w:w="2980"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三级</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评价范围</w:t>
            </w:r>
          </w:p>
        </w:tc>
        <w:tc>
          <w:tcPr>
            <w:tcW w:w="1663" w:type="dxa"/>
            <w:gridSpan w:val="6"/>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边长=50km</w:t>
            </w:r>
            <w:r>
              <w:rPr>
                <w:rFonts w:cs="Times New Roman" w:asciiTheme="majorEastAsia" w:hAnsiTheme="majorEastAsia" w:eastAsiaTheme="majorEastAsia"/>
                <w:color w:val="000000" w:themeColor="text1"/>
                <w:szCs w:val="21"/>
              </w:rPr>
              <w:t>□</w:t>
            </w:r>
          </w:p>
        </w:tc>
        <w:tc>
          <w:tcPr>
            <w:tcW w:w="2102"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边长5~50km</w:t>
            </w:r>
            <w:r>
              <w:rPr>
                <w:rFonts w:cs="Times New Roman" w:asciiTheme="majorEastAsia" w:hAnsiTheme="majorEastAsia" w:eastAsiaTheme="majorEastAsia"/>
                <w:color w:val="000000" w:themeColor="text1"/>
                <w:szCs w:val="21"/>
              </w:rPr>
              <w:sym w:font="Wingdings 2" w:char="00A3"/>
            </w:r>
          </w:p>
        </w:tc>
        <w:tc>
          <w:tcPr>
            <w:tcW w:w="2980"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边长=5km</w:t>
            </w:r>
            <w:r>
              <w:rPr>
                <w:rFonts w:cs="Times New Roman" w:asciiTheme="majorEastAsia" w:hAnsiTheme="majorEastAsia" w:eastAsiaTheme="maj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88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评价因子</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SO</w:t>
            </w:r>
            <w:r>
              <w:rPr>
                <w:rFonts w:ascii="Times New Roman" w:hAnsi="Times New Roman" w:cs="Times New Roman"/>
                <w:color w:val="000000" w:themeColor="text1"/>
                <w:szCs w:val="21"/>
                <w:vertAlign w:val="subscript"/>
              </w:rPr>
              <w:t>2</w:t>
            </w:r>
            <w:r>
              <w:rPr>
                <w:rFonts w:ascii="Times New Roman" w:hAnsi="Times New Roman" w:cs="Times New Roman"/>
                <w:color w:val="000000" w:themeColor="text1"/>
                <w:szCs w:val="21"/>
              </w:rPr>
              <w:t>+NO</w:t>
            </w:r>
            <w:r>
              <w:rPr>
                <w:rFonts w:ascii="Times New Roman" w:hAnsi="Times New Roman" w:cs="Times New Roman"/>
                <w:color w:val="000000" w:themeColor="text1"/>
                <w:szCs w:val="21"/>
                <w:vertAlign w:val="subscript"/>
              </w:rPr>
              <w:t>x</w:t>
            </w:r>
            <w:r>
              <w:rPr>
                <w:rFonts w:ascii="Times New Roman" w:hAnsi="Times New Roman" w:cs="Times New Roman"/>
                <w:color w:val="000000" w:themeColor="text1"/>
                <w:szCs w:val="21"/>
              </w:rPr>
              <w:t>排放量</w:t>
            </w:r>
          </w:p>
        </w:tc>
        <w:tc>
          <w:tcPr>
            <w:tcW w:w="1663" w:type="dxa"/>
            <w:gridSpan w:val="6"/>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≥2000t/a</w:t>
            </w:r>
            <w:r>
              <w:rPr>
                <w:rFonts w:cs="Times New Roman" w:asciiTheme="majorEastAsia" w:hAnsiTheme="majorEastAsia" w:eastAsiaTheme="majorEastAsia"/>
                <w:color w:val="000000" w:themeColor="text1"/>
                <w:szCs w:val="21"/>
              </w:rPr>
              <w:sym w:font="Wingdings 2" w:char="00A3"/>
            </w:r>
          </w:p>
        </w:tc>
        <w:tc>
          <w:tcPr>
            <w:tcW w:w="2102"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500~2000t/a</w:t>
            </w:r>
            <w:r>
              <w:rPr>
                <w:rFonts w:cs="Times New Roman" w:asciiTheme="majorEastAsia" w:hAnsiTheme="majorEastAsia" w:eastAsiaTheme="majorEastAsia"/>
                <w:color w:val="000000" w:themeColor="text1"/>
                <w:szCs w:val="21"/>
              </w:rPr>
              <w:sym w:font="Wingdings 2" w:char="00A3"/>
            </w:r>
          </w:p>
        </w:tc>
        <w:tc>
          <w:tcPr>
            <w:tcW w:w="2980"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＜500t/a</w:t>
            </w:r>
            <w:r>
              <w:rPr>
                <w:rFonts w:cs="Times New Roman" w:asciiTheme="majorEastAsia" w:hAnsiTheme="majorEastAsia" w:eastAsiaTheme="maj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评价因子</w:t>
            </w:r>
          </w:p>
        </w:tc>
        <w:tc>
          <w:tcPr>
            <w:tcW w:w="3765" w:type="dxa"/>
            <w:gridSpan w:val="1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基本污染物（</w:t>
            </w:r>
            <w:r>
              <w:rPr>
                <w:rFonts w:hint="eastAsia" w:ascii="Times New Roman" w:hAnsi="Times New Roman" w:cs="Times New Roman"/>
                <w:color w:val="000000" w:themeColor="text1"/>
                <w:szCs w:val="21"/>
              </w:rPr>
              <w:t xml:space="preserve"> </w:t>
            </w:r>
            <w:r>
              <w:rPr>
                <w:rFonts w:hint="default" w:ascii="Times New Roman" w:hAnsi="Times New Roman" w:eastAsia="宋体" w:cs="Times New Roman"/>
                <w:color w:val="000000" w:themeColor="text1"/>
                <w:sz w:val="21"/>
                <w:szCs w:val="21"/>
              </w:rPr>
              <w:t>SO</w:t>
            </w:r>
            <w:r>
              <w:rPr>
                <w:rFonts w:hint="default" w:ascii="Times New Roman" w:hAnsi="Times New Roman" w:eastAsia="宋体" w:cs="Times New Roman"/>
                <w:color w:val="000000" w:themeColor="text1"/>
                <w:sz w:val="21"/>
                <w:szCs w:val="21"/>
                <w:vertAlign w:val="subscript"/>
              </w:rPr>
              <w:t>2</w:t>
            </w:r>
            <w:r>
              <w:rPr>
                <w:rFonts w:hint="eastAsia" w:ascii="Times New Roman" w:hAnsi="Times New Roman" w:eastAsia="宋体" w:cs="Times New Roman"/>
                <w:color w:val="000000" w:themeColor="text1"/>
                <w:sz w:val="21"/>
                <w:szCs w:val="21"/>
                <w:vertAlign w:val="baseline"/>
                <w:lang w:eastAsia="zh-CN"/>
              </w:rPr>
              <w:t>、</w:t>
            </w:r>
            <w:r>
              <w:rPr>
                <w:rFonts w:hint="default" w:ascii="Times New Roman" w:hAnsi="Times New Roman" w:eastAsia="宋体" w:cs="Times New Roman"/>
                <w:color w:val="000000" w:themeColor="text1"/>
                <w:sz w:val="21"/>
                <w:szCs w:val="21"/>
              </w:rPr>
              <w:t>NO</w:t>
            </w:r>
            <w:r>
              <w:rPr>
                <w:rFonts w:hint="default" w:ascii="Times New Roman" w:hAnsi="Times New Roman" w:eastAsia="宋体" w:cs="Times New Roman"/>
                <w:color w:val="000000" w:themeColor="text1"/>
                <w:sz w:val="21"/>
                <w:szCs w:val="21"/>
                <w:vertAlign w:val="subscript"/>
              </w:rPr>
              <w:t>2</w:t>
            </w:r>
            <w:r>
              <w:rPr>
                <w:rFonts w:hint="eastAsia" w:ascii="Times New Roman" w:hAnsi="Times New Roman" w:eastAsia="宋体" w:cs="Times New Roman"/>
                <w:color w:val="000000" w:themeColor="text1"/>
                <w:sz w:val="21"/>
                <w:szCs w:val="21"/>
                <w:vertAlign w:val="baseline"/>
                <w:lang w:eastAsia="zh-CN"/>
              </w:rPr>
              <w:t>、</w:t>
            </w:r>
            <w:r>
              <w:rPr>
                <w:rFonts w:hint="default" w:ascii="Times New Roman" w:hAnsi="Times New Roman" w:eastAsia="宋体" w:cs="Times New Roman"/>
                <w:color w:val="000000" w:themeColor="text1"/>
                <w:sz w:val="21"/>
                <w:szCs w:val="21"/>
              </w:rPr>
              <w:t>PM</w:t>
            </w:r>
            <w:r>
              <w:rPr>
                <w:rFonts w:hint="default" w:ascii="Times New Roman" w:hAnsi="Times New Roman" w:eastAsia="宋体" w:cs="Times New Roman"/>
                <w:color w:val="000000" w:themeColor="text1"/>
                <w:sz w:val="21"/>
                <w:szCs w:val="21"/>
                <w:vertAlign w:val="subscript"/>
              </w:rPr>
              <w:t>10</w:t>
            </w:r>
            <w:r>
              <w:rPr>
                <w:rFonts w:hint="eastAsia" w:ascii="Times New Roman" w:hAnsi="Times New Roman" w:eastAsia="宋体" w:cs="Times New Roman"/>
                <w:color w:val="000000" w:themeColor="text1"/>
                <w:sz w:val="21"/>
                <w:szCs w:val="21"/>
                <w:vertAlign w:val="baseline"/>
                <w:lang w:eastAsia="zh-CN"/>
              </w:rPr>
              <w:t>、</w:t>
            </w:r>
            <w:r>
              <w:rPr>
                <w:rFonts w:hint="default" w:ascii="Times New Roman" w:hAnsi="Times New Roman" w:eastAsia="宋体" w:cs="Times New Roman"/>
                <w:color w:val="000000" w:themeColor="text1"/>
                <w:sz w:val="21"/>
                <w:szCs w:val="21"/>
              </w:rPr>
              <w:t>PM</w:t>
            </w:r>
            <w:r>
              <w:rPr>
                <w:rFonts w:hint="default" w:ascii="Times New Roman" w:hAnsi="Times New Roman" w:eastAsia="宋体" w:cs="Times New Roman"/>
                <w:color w:val="000000" w:themeColor="text1"/>
                <w:sz w:val="21"/>
                <w:szCs w:val="21"/>
                <w:vertAlign w:val="subscript"/>
              </w:rPr>
              <w:t>2.5</w:t>
            </w:r>
            <w:r>
              <w:rPr>
                <w:rFonts w:hint="eastAsia" w:ascii="Times New Roman" w:hAnsi="Times New Roman" w:eastAsia="宋体" w:cs="Times New Roman"/>
                <w:color w:val="000000" w:themeColor="text1"/>
                <w:sz w:val="21"/>
                <w:szCs w:val="21"/>
                <w:vertAlign w:val="baseline"/>
                <w:lang w:eastAsia="zh-CN"/>
              </w:rPr>
              <w:t>、</w:t>
            </w:r>
            <w:r>
              <w:rPr>
                <w:rFonts w:hint="default" w:ascii="Times New Roman" w:hAnsi="Times New Roman" w:eastAsia="宋体" w:cs="Times New Roman"/>
                <w:color w:val="000000" w:themeColor="text1"/>
                <w:sz w:val="21"/>
                <w:szCs w:val="21"/>
              </w:rPr>
              <w:t>CO</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O</w:t>
            </w:r>
            <w:r>
              <w:rPr>
                <w:rFonts w:hint="default" w:ascii="Times New Roman" w:hAnsi="Times New Roman" w:eastAsia="宋体" w:cs="Times New Roman"/>
                <w:color w:val="000000" w:themeColor="text1"/>
                <w:sz w:val="21"/>
                <w:szCs w:val="21"/>
                <w:vertAlign w:val="subscript"/>
              </w:rPr>
              <w:t>3</w:t>
            </w: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其他污染物（</w:t>
            </w:r>
            <w:r>
              <w:rPr>
                <w:rFonts w:hint="eastAsia" w:ascii="Times New Roman" w:hAnsi="Times New Roman" w:cs="Times New Roman"/>
                <w:color w:val="000000" w:themeColor="text1"/>
                <w:szCs w:val="21"/>
              </w:rPr>
              <w:t xml:space="preserve"> 颗粒物 </w:t>
            </w:r>
            <w:r>
              <w:rPr>
                <w:rFonts w:ascii="Times New Roman" w:hAnsi="Times New Roman" w:cs="Times New Roman"/>
                <w:color w:val="000000" w:themeColor="text1"/>
                <w:szCs w:val="21"/>
              </w:rPr>
              <w:t>）</w:t>
            </w:r>
          </w:p>
        </w:tc>
        <w:tc>
          <w:tcPr>
            <w:tcW w:w="2980"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包括二次PM2.5</w:t>
            </w:r>
            <w:r>
              <w:rPr>
                <w:rFonts w:cs="Times New Roman" w:asciiTheme="majorEastAsia" w:hAnsiTheme="majorEastAsia" w:eastAsiaTheme="majorEastAsia"/>
                <w:color w:val="000000" w:themeColor="text1"/>
                <w:szCs w:val="21"/>
              </w:rPr>
              <w:t>□</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不包括二次PM2.5</w:t>
            </w:r>
            <w:r>
              <w:rPr>
                <w:rFonts w:cs="Times New Roman" w:asciiTheme="majorEastAsia" w:hAnsiTheme="majorEastAsia" w:eastAsiaTheme="maj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88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评价标准</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评价标准</w:t>
            </w:r>
          </w:p>
        </w:tc>
        <w:tc>
          <w:tcPr>
            <w:tcW w:w="1052" w:type="dxa"/>
            <w:gridSpan w:val="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国家标准</w:t>
            </w:r>
            <w:r>
              <w:rPr>
                <w:rFonts w:cs="Times New Roman" w:asciiTheme="majorEastAsia" w:hAnsiTheme="majorEastAsia" w:eastAsiaTheme="majorEastAsia"/>
                <w:color w:val="000000" w:themeColor="text1"/>
                <w:szCs w:val="21"/>
              </w:rPr>
              <w:sym w:font="Wingdings 2" w:char="0052"/>
            </w:r>
          </w:p>
        </w:tc>
        <w:tc>
          <w:tcPr>
            <w:tcW w:w="1341" w:type="dxa"/>
            <w:gridSpan w:val="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地方标准</w:t>
            </w:r>
            <w:r>
              <w:rPr>
                <w:rFonts w:cs="Times New Roman" w:asciiTheme="majorEastAsia" w:hAnsiTheme="majorEastAsia" w:eastAsiaTheme="majorEastAsia"/>
                <w:color w:val="000000" w:themeColor="text1"/>
                <w:szCs w:val="21"/>
              </w:rPr>
              <w:sym w:font="Wingdings 2" w:char="00A3"/>
            </w:r>
          </w:p>
        </w:tc>
        <w:tc>
          <w:tcPr>
            <w:tcW w:w="1976"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附录D</w:t>
            </w:r>
            <w:r>
              <w:rPr>
                <w:rFonts w:cs="Times New Roman" w:asciiTheme="majorEastAsia" w:hAnsiTheme="majorEastAsia" w:eastAsiaTheme="majorEastAsia"/>
                <w:color w:val="000000" w:themeColor="text1"/>
                <w:szCs w:val="21"/>
              </w:rPr>
              <w:t>□</w:t>
            </w:r>
          </w:p>
        </w:tc>
        <w:tc>
          <w:tcPr>
            <w:tcW w:w="2376" w:type="dxa"/>
            <w:gridSpan w:val="6"/>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其他标准</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8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现状评价</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环境功能区</w:t>
            </w:r>
          </w:p>
        </w:tc>
        <w:tc>
          <w:tcPr>
            <w:tcW w:w="1651" w:type="dxa"/>
            <w:gridSpan w:val="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一类区</w:t>
            </w:r>
            <w:r>
              <w:rPr>
                <w:rFonts w:cs="Times New Roman" w:asciiTheme="majorEastAsia" w:hAnsiTheme="majorEastAsia" w:eastAsiaTheme="majorEastAsia"/>
                <w:color w:val="000000" w:themeColor="text1"/>
                <w:szCs w:val="21"/>
              </w:rPr>
              <w:t>□</w:t>
            </w:r>
          </w:p>
        </w:tc>
        <w:tc>
          <w:tcPr>
            <w:tcW w:w="2106"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二类区</w:t>
            </w:r>
            <w:r>
              <w:rPr>
                <w:rFonts w:cs="Times New Roman" w:asciiTheme="majorEastAsia" w:hAnsiTheme="majorEastAsia" w:eastAsiaTheme="majorEastAsia"/>
                <w:color w:val="000000" w:themeColor="text1"/>
                <w:szCs w:val="21"/>
              </w:rPr>
              <w:sym w:font="Wingdings 2" w:char="0052"/>
            </w:r>
          </w:p>
        </w:tc>
        <w:tc>
          <w:tcPr>
            <w:tcW w:w="2988"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一类区和二类区</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评价基准年</w:t>
            </w:r>
          </w:p>
        </w:tc>
        <w:tc>
          <w:tcPr>
            <w:tcW w:w="6745" w:type="dxa"/>
            <w:gridSpan w:val="2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202</w:t>
            </w:r>
            <w:r>
              <w:rPr>
                <w:rFonts w:hint="eastAsia" w:ascii="Times New Roman" w:hAnsi="Times New Roman" w:cs="Times New Roman"/>
                <w:color w:val="000000" w:themeColor="text1"/>
                <w:szCs w:val="21"/>
                <w:lang w:val="en-US" w:eastAsia="zh-CN"/>
              </w:rPr>
              <w:t>1</w:t>
            </w:r>
            <w:r>
              <w:rPr>
                <w:rFonts w:ascii="Times New Roman" w:hAnsi="Times New Roman" w:cs="Times New Roman"/>
                <w:color w:val="000000" w:themeColor="text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环境空气质量现状调查数据来源</w:t>
            </w:r>
          </w:p>
        </w:tc>
        <w:tc>
          <w:tcPr>
            <w:tcW w:w="1651" w:type="dxa"/>
            <w:gridSpan w:val="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长期例行监测数据</w:t>
            </w:r>
            <w:r>
              <w:rPr>
                <w:rFonts w:cs="Times New Roman" w:asciiTheme="majorEastAsia" w:hAnsiTheme="majorEastAsia" w:eastAsiaTheme="majorEastAsia"/>
                <w:color w:val="000000" w:themeColor="text1"/>
                <w:szCs w:val="21"/>
              </w:rPr>
              <w:t>□</w:t>
            </w:r>
          </w:p>
        </w:tc>
        <w:tc>
          <w:tcPr>
            <w:tcW w:w="2106"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主管部门发布的数据</w:t>
            </w:r>
            <w:r>
              <w:rPr>
                <w:rFonts w:cs="Times New Roman" w:asciiTheme="majorEastAsia" w:hAnsiTheme="majorEastAsia" w:eastAsiaTheme="majorEastAsia"/>
                <w:color w:val="000000" w:themeColor="text1"/>
                <w:szCs w:val="21"/>
              </w:rPr>
              <w:sym w:font="Wingdings 2" w:char="0052"/>
            </w:r>
          </w:p>
        </w:tc>
        <w:tc>
          <w:tcPr>
            <w:tcW w:w="2988"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现状补充监测</w:t>
            </w:r>
            <w:r>
              <w:rPr>
                <w:rFonts w:cs="Times New Roman" w:asciiTheme="majorEastAsia" w:hAnsiTheme="majorEastAsia" w:eastAsiaTheme="maj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现状评价</w:t>
            </w:r>
          </w:p>
        </w:tc>
        <w:tc>
          <w:tcPr>
            <w:tcW w:w="375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达标区</w:t>
            </w:r>
            <w:r>
              <w:rPr>
                <w:rFonts w:cs="Times New Roman" w:asciiTheme="majorEastAsia" w:hAnsiTheme="majorEastAsia" w:eastAsiaTheme="majorEastAsia"/>
                <w:color w:val="000000" w:themeColor="text1"/>
                <w:szCs w:val="21"/>
              </w:rPr>
              <w:sym w:font="Wingdings 2" w:char="0052"/>
            </w:r>
          </w:p>
        </w:tc>
        <w:tc>
          <w:tcPr>
            <w:tcW w:w="2988"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不达标区</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88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污染源</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调查</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调查内容</w:t>
            </w:r>
          </w:p>
        </w:tc>
        <w:tc>
          <w:tcPr>
            <w:tcW w:w="1783" w:type="dxa"/>
            <w:gridSpan w:val="7"/>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本项目正常排放源</w:t>
            </w:r>
            <w:r>
              <w:rPr>
                <w:rFonts w:cs="Times New Roman" w:asciiTheme="majorEastAsia" w:hAnsiTheme="majorEastAsia" w:eastAsiaTheme="majorEastAsia"/>
                <w:color w:val="000000" w:themeColor="text1"/>
                <w:szCs w:val="21"/>
              </w:rPr>
              <w:sym w:font="Wingdings 2" w:char="0052"/>
            </w:r>
          </w:p>
          <w:p>
            <w:pPr>
              <w:jc w:val="center"/>
              <w:rPr>
                <w:rFonts w:cs="Times New Roman" w:asciiTheme="majorEastAsia" w:hAnsiTheme="majorEastAsia" w:eastAsiaTheme="majorEastAsia"/>
                <w:color w:val="000000" w:themeColor="text1"/>
                <w:szCs w:val="21"/>
              </w:rPr>
            </w:pPr>
            <w:r>
              <w:rPr>
                <w:rFonts w:ascii="Times New Roman" w:hAnsi="Times New Roman" w:cs="Times New Roman"/>
                <w:color w:val="000000" w:themeColor="text1"/>
                <w:szCs w:val="21"/>
              </w:rPr>
              <w:t>本项目非正常排放源</w:t>
            </w:r>
            <w:r>
              <w:rPr>
                <w:rFonts w:cs="Times New Roman" w:asciiTheme="majorEastAsia" w:hAnsiTheme="majorEastAsia" w:eastAsiaTheme="majorEastAsia"/>
                <w:color w:val="000000" w:themeColor="text1"/>
                <w:szCs w:val="21"/>
              </w:rPr>
              <w:sym w:font="Wingdings 2" w:char="00A3"/>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现有污染源</w:t>
            </w:r>
            <w:r>
              <w:rPr>
                <w:rFonts w:cs="Times New Roman" w:asciiTheme="majorEastAsia" w:hAnsiTheme="majorEastAsia" w:eastAsiaTheme="majorEastAsia"/>
                <w:color w:val="000000" w:themeColor="text1"/>
                <w:szCs w:val="21"/>
              </w:rPr>
              <w:sym w:font="Wingdings 2" w:char="0052"/>
            </w:r>
          </w:p>
        </w:tc>
        <w:tc>
          <w:tcPr>
            <w:tcW w:w="1464" w:type="dxa"/>
            <w:gridSpan w:val="4"/>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拟替代的污染源</w:t>
            </w:r>
            <w:r>
              <w:rPr>
                <w:rFonts w:cs="Times New Roman" w:asciiTheme="majorEastAsia" w:hAnsiTheme="majorEastAsia" w:eastAsiaTheme="majorEastAsia"/>
                <w:color w:val="000000" w:themeColor="text1"/>
                <w:szCs w:val="21"/>
              </w:rPr>
              <w:t>□</w:t>
            </w:r>
          </w:p>
        </w:tc>
        <w:tc>
          <w:tcPr>
            <w:tcW w:w="2074"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其他在建、拟建项目</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污染源</w:t>
            </w:r>
            <w:r>
              <w:rPr>
                <w:rFonts w:cs="Times New Roman" w:asciiTheme="majorEastAsia" w:hAnsiTheme="majorEastAsia" w:eastAsiaTheme="majorEastAsia"/>
                <w:color w:val="000000" w:themeColor="text1"/>
                <w:szCs w:val="21"/>
              </w:rPr>
              <w:t>□</w:t>
            </w:r>
          </w:p>
        </w:tc>
        <w:tc>
          <w:tcPr>
            <w:tcW w:w="1424" w:type="dxa"/>
            <w:gridSpan w:val="2"/>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区域污染源</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88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大气环境影响预测与评价</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预测模型</w:t>
            </w:r>
          </w:p>
        </w:tc>
        <w:tc>
          <w:tcPr>
            <w:tcW w:w="866" w:type="dxa"/>
            <w:gridSpan w:val="2"/>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AERMOD</w:t>
            </w:r>
            <w:r>
              <w:rPr>
                <w:rFonts w:cs="Times New Roman" w:asciiTheme="majorEastAsia" w:hAnsiTheme="majorEastAsia" w:eastAsiaTheme="majorEastAsia"/>
                <w:color w:val="000000" w:themeColor="text1"/>
                <w:szCs w:val="21"/>
              </w:rPr>
              <w:t>□</w:t>
            </w:r>
          </w:p>
        </w:tc>
        <w:tc>
          <w:tcPr>
            <w:tcW w:w="673" w:type="dxa"/>
            <w:gridSpan w:val="2"/>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ADMS</w:t>
            </w:r>
            <w:r>
              <w:rPr>
                <w:rFonts w:cs="Times New Roman" w:asciiTheme="majorEastAsia" w:hAnsiTheme="majorEastAsia" w:eastAsiaTheme="majorEastAsia"/>
                <w:color w:val="000000" w:themeColor="text1"/>
                <w:szCs w:val="21"/>
              </w:rPr>
              <w:t>□</w:t>
            </w:r>
          </w:p>
        </w:tc>
        <w:tc>
          <w:tcPr>
            <w:tcW w:w="1136" w:type="dxa"/>
            <w:gridSpan w:val="6"/>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AUSTAL2000</w:t>
            </w:r>
            <w:r>
              <w:rPr>
                <w:rFonts w:cs="Times New Roman" w:asciiTheme="majorEastAsia" w:hAnsiTheme="majorEastAsia" w:eastAsiaTheme="majorEastAsia"/>
                <w:color w:val="000000" w:themeColor="text1"/>
                <w:szCs w:val="21"/>
              </w:rPr>
              <w:t>□</w:t>
            </w:r>
          </w:p>
        </w:tc>
        <w:tc>
          <w:tcPr>
            <w:tcW w:w="1203" w:type="dxa"/>
            <w:gridSpan w:val="6"/>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EDMS/AEDT</w:t>
            </w:r>
            <w:r>
              <w:rPr>
                <w:rFonts w:cs="Times New Roman" w:asciiTheme="majorEastAsia" w:hAnsiTheme="majorEastAsia" w:eastAsiaTheme="majorEastAsia"/>
                <w:color w:val="000000" w:themeColor="text1"/>
                <w:szCs w:val="21"/>
              </w:rPr>
              <w:t>□</w:t>
            </w:r>
          </w:p>
        </w:tc>
        <w:tc>
          <w:tcPr>
            <w:tcW w:w="989" w:type="dxa"/>
            <w:gridSpan w:val="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CALPUFF</w:t>
            </w:r>
            <w:r>
              <w:rPr>
                <w:rFonts w:cs="Times New Roman" w:asciiTheme="majorEastAsia" w:hAnsiTheme="majorEastAsia" w:eastAsiaTheme="majorEastAsia"/>
                <w:color w:val="000000" w:themeColor="text1"/>
                <w:szCs w:val="21"/>
              </w:rPr>
              <w:t>□</w:t>
            </w:r>
          </w:p>
        </w:tc>
        <w:tc>
          <w:tcPr>
            <w:tcW w:w="951" w:type="dxa"/>
            <w:gridSpan w:val="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网格模型</w:t>
            </w:r>
            <w:r>
              <w:rPr>
                <w:rFonts w:cs="Times New Roman" w:asciiTheme="majorEastAsia" w:hAnsiTheme="majorEastAsia" w:eastAsiaTheme="majorEastAsia"/>
                <w:color w:val="000000" w:themeColor="text1"/>
                <w:szCs w:val="21"/>
              </w:rPr>
              <w:t>□</w:t>
            </w:r>
          </w:p>
        </w:tc>
        <w:tc>
          <w:tcPr>
            <w:tcW w:w="927"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其他</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预测范围</w:t>
            </w:r>
          </w:p>
        </w:tc>
        <w:tc>
          <w:tcPr>
            <w:tcW w:w="1651" w:type="dxa"/>
            <w:gridSpan w:val="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边长≥50km</w:t>
            </w:r>
            <w:r>
              <w:rPr>
                <w:rFonts w:cs="Times New Roman" w:asciiTheme="majorEastAsia" w:hAnsiTheme="majorEastAsia" w:eastAsiaTheme="majorEastAsia"/>
                <w:color w:val="000000" w:themeColor="text1"/>
                <w:szCs w:val="21"/>
              </w:rPr>
              <w:t>□</w:t>
            </w:r>
          </w:p>
        </w:tc>
        <w:tc>
          <w:tcPr>
            <w:tcW w:w="2113"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边长5~50km</w:t>
            </w:r>
            <w:r>
              <w:rPr>
                <w:rFonts w:cs="Times New Roman" w:asciiTheme="majorEastAsia" w:hAnsiTheme="majorEastAsia" w:eastAsiaTheme="majorEastAsia"/>
                <w:color w:val="000000" w:themeColor="text1"/>
                <w:szCs w:val="21"/>
              </w:rPr>
              <w:t>□</w:t>
            </w:r>
          </w:p>
        </w:tc>
        <w:tc>
          <w:tcPr>
            <w:tcW w:w="2981"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边长=5km</w:t>
            </w:r>
            <w:r>
              <w:rPr>
                <w:rFonts w:cs="Times New Roman" w:asciiTheme="majorEastAsia" w:hAnsiTheme="majorEastAsia" w:eastAsiaTheme="majorEastAsia"/>
                <w:color w:val="000000" w:themeColor="text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预测因子</w:t>
            </w:r>
          </w:p>
        </w:tc>
        <w:tc>
          <w:tcPr>
            <w:tcW w:w="375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预测因子（</w:t>
            </w: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w:t>
            </w:r>
          </w:p>
        </w:tc>
        <w:tc>
          <w:tcPr>
            <w:tcW w:w="2988" w:type="dxa"/>
            <w:gridSpan w:val="10"/>
            <w:tcBorders>
              <w:tl2br w:val="nil"/>
              <w:tr2bl w:val="nil"/>
            </w:tcBorders>
            <w:vAlign w:val="center"/>
          </w:tcPr>
          <w:p>
            <w:pPr>
              <w:jc w:val="center"/>
              <w:rPr>
                <w:rFonts w:ascii="Times New Roman" w:hAnsi="Times New Roman" w:cs="Times New Roman"/>
                <w:b/>
                <w:color w:val="000000" w:themeColor="text1"/>
                <w:szCs w:val="21"/>
              </w:rPr>
            </w:pPr>
            <w:r>
              <w:rPr>
                <w:rFonts w:ascii="Times New Roman" w:hAnsi="Times New Roman" w:cs="Times New Roman"/>
                <w:color w:val="000000" w:themeColor="text1"/>
                <w:szCs w:val="21"/>
              </w:rPr>
              <w:t>包括二次PM2.5</w:t>
            </w:r>
            <w:r>
              <w:rPr>
                <w:rFonts w:cs="Times New Roman" w:asciiTheme="majorEastAsia" w:hAnsiTheme="majorEastAsia" w:eastAsiaTheme="majorEastAsia"/>
                <w:color w:val="000000" w:themeColor="text1"/>
                <w:szCs w:val="21"/>
              </w:rPr>
              <w:t>□</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不包括二次PM2.5</w:t>
            </w:r>
            <w:r>
              <w:rPr>
                <w:rFonts w:cs="Times New Roman" w:asciiTheme="majorEastAsia" w:hAnsiTheme="majorEastAsia" w:eastAsiaTheme="majorEastAsia"/>
                <w:color w:val="000000" w:themeColor="text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正常排放短期浓度贡献值</w:t>
            </w:r>
          </w:p>
        </w:tc>
        <w:tc>
          <w:tcPr>
            <w:tcW w:w="375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本项目</w:t>
            </w:r>
            <w:r>
              <w:rPr>
                <w:rFonts w:ascii="Times New Roman" w:hAnsi="Times New Roman" w:cs="Times New Roman"/>
                <w:color w:val="000000" w:themeColor="text1"/>
                <w:szCs w:val="21"/>
              </w:rPr>
              <w:t>最大占标率≤100%</w:t>
            </w:r>
            <w:r>
              <w:rPr>
                <w:rFonts w:cs="Times New Roman" w:asciiTheme="majorEastAsia" w:hAnsiTheme="majorEastAsia" w:eastAsiaTheme="majorEastAsia"/>
                <w:color w:val="000000" w:themeColor="text1"/>
                <w:szCs w:val="21"/>
              </w:rPr>
              <w:sym w:font="Wingdings 2" w:char="00A3"/>
            </w:r>
          </w:p>
        </w:tc>
        <w:tc>
          <w:tcPr>
            <w:tcW w:w="2988"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本项目</w:t>
            </w:r>
            <w:r>
              <w:rPr>
                <w:rFonts w:ascii="Times New Roman" w:hAnsi="Times New Roman" w:cs="Times New Roman"/>
                <w:color w:val="000000" w:themeColor="text1"/>
                <w:szCs w:val="21"/>
              </w:rPr>
              <w:t>最大占标率＞100%</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正常排放年均浓度贡献值</w:t>
            </w:r>
          </w:p>
        </w:tc>
        <w:tc>
          <w:tcPr>
            <w:tcW w:w="787"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一类区</w:t>
            </w:r>
          </w:p>
        </w:tc>
        <w:tc>
          <w:tcPr>
            <w:tcW w:w="297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本项目</w:t>
            </w:r>
            <w:r>
              <w:rPr>
                <w:rFonts w:ascii="Times New Roman" w:hAnsi="Times New Roman" w:cs="Times New Roman"/>
                <w:color w:val="000000" w:themeColor="text1"/>
                <w:szCs w:val="21"/>
              </w:rPr>
              <w:t>最大占标率≤10%</w:t>
            </w:r>
            <w:r>
              <w:rPr>
                <w:rFonts w:cs="Times New Roman" w:asciiTheme="majorEastAsia" w:hAnsiTheme="majorEastAsia" w:eastAsiaTheme="majorEastAsia"/>
                <w:color w:val="000000" w:themeColor="text1"/>
                <w:szCs w:val="21"/>
              </w:rPr>
              <w:t>□</w:t>
            </w:r>
          </w:p>
        </w:tc>
        <w:tc>
          <w:tcPr>
            <w:tcW w:w="2981"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本项目</w:t>
            </w:r>
            <w:r>
              <w:rPr>
                <w:rFonts w:ascii="Times New Roman" w:hAnsi="Times New Roman" w:cs="Times New Roman"/>
                <w:color w:val="000000" w:themeColor="text1"/>
                <w:szCs w:val="21"/>
              </w:rPr>
              <w:t>最大占标率＞10%</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787"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二类区</w:t>
            </w:r>
          </w:p>
        </w:tc>
        <w:tc>
          <w:tcPr>
            <w:tcW w:w="297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本项目</w:t>
            </w:r>
            <w:r>
              <w:rPr>
                <w:rFonts w:ascii="Times New Roman" w:hAnsi="Times New Roman" w:cs="Times New Roman"/>
                <w:color w:val="000000" w:themeColor="text1"/>
                <w:szCs w:val="21"/>
              </w:rPr>
              <w:t>最大占标率≤30%</w:t>
            </w:r>
            <w:r>
              <w:rPr>
                <w:rFonts w:cs="Times New Roman" w:asciiTheme="majorEastAsia" w:hAnsiTheme="majorEastAsia" w:eastAsiaTheme="majorEastAsia"/>
                <w:color w:val="000000" w:themeColor="text1"/>
                <w:szCs w:val="21"/>
              </w:rPr>
              <w:sym w:font="Wingdings 2" w:char="00A3"/>
            </w:r>
          </w:p>
        </w:tc>
        <w:tc>
          <w:tcPr>
            <w:tcW w:w="2981"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本项目</w:t>
            </w:r>
            <w:r>
              <w:rPr>
                <w:rFonts w:ascii="Times New Roman" w:hAnsi="Times New Roman" w:cs="Times New Roman"/>
                <w:color w:val="000000" w:themeColor="text1"/>
                <w:szCs w:val="21"/>
              </w:rPr>
              <w:t>最大占标率＞30%</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非正常排放1h浓度贡献值</w:t>
            </w:r>
          </w:p>
        </w:tc>
        <w:tc>
          <w:tcPr>
            <w:tcW w:w="1539" w:type="dxa"/>
            <w:gridSpan w:val="4"/>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非正常持续时长</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lang w:val="en-US" w:eastAsia="zh-CN"/>
              </w:rPr>
              <w:t xml:space="preserve"> </w:t>
            </w:r>
            <w:r>
              <w:rPr>
                <w:rFonts w:ascii="Times New Roman" w:hAnsi="Times New Roman" w:cs="Times New Roman"/>
                <w:color w:val="000000" w:themeColor="text1"/>
                <w:szCs w:val="21"/>
              </w:rPr>
              <w:t>）h</w:t>
            </w:r>
          </w:p>
        </w:tc>
        <w:tc>
          <w:tcPr>
            <w:tcW w:w="2225"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非正常</w:t>
            </w:r>
            <w:r>
              <w:rPr>
                <w:rFonts w:ascii="Times New Roman" w:hAnsi="Times New Roman" w:cs="Times New Roman"/>
                <w:color w:val="000000" w:themeColor="text1"/>
                <w:szCs w:val="21"/>
              </w:rPr>
              <w:t>占标率≤100%</w:t>
            </w:r>
            <w:r>
              <w:rPr>
                <w:rFonts w:cs="Times New Roman" w:asciiTheme="majorEastAsia" w:hAnsiTheme="majorEastAsia" w:eastAsiaTheme="majorEastAsia"/>
                <w:color w:val="000000" w:themeColor="text1"/>
                <w:szCs w:val="21"/>
              </w:rPr>
              <w:sym w:font="Wingdings 2" w:char="00A3"/>
            </w:r>
          </w:p>
        </w:tc>
        <w:tc>
          <w:tcPr>
            <w:tcW w:w="2981"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非正常</w:t>
            </w:r>
            <w:r>
              <w:rPr>
                <w:rFonts w:ascii="Times New Roman" w:hAnsi="Times New Roman" w:cs="Times New Roman"/>
                <w:color w:val="000000" w:themeColor="text1"/>
                <w:szCs w:val="21"/>
              </w:rPr>
              <w:t>占标率＞100%</w:t>
            </w:r>
            <w:r>
              <w:rPr>
                <w:rFonts w:cs="Times New Roman" w:asciiTheme="majorEastAsia" w:hAnsiTheme="majorEastAsia" w:eastAsiaTheme="majorEastAsia"/>
                <w:color w:val="000000" w:themeColor="text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9"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保证率日平均浓度和年平均浓度叠加值</w:t>
            </w:r>
          </w:p>
        </w:tc>
        <w:tc>
          <w:tcPr>
            <w:tcW w:w="375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叠加</w:t>
            </w:r>
            <w:r>
              <w:rPr>
                <w:rFonts w:ascii="Times New Roman" w:hAnsi="Times New Roman" w:cs="Times New Roman"/>
                <w:color w:val="000000" w:themeColor="text1"/>
                <w:szCs w:val="21"/>
              </w:rPr>
              <w:t>达标</w:t>
            </w:r>
            <w:r>
              <w:rPr>
                <w:rFonts w:cs="Times New Roman" w:asciiTheme="majorEastAsia" w:hAnsiTheme="majorEastAsia" w:eastAsiaTheme="majorEastAsia"/>
                <w:color w:val="000000" w:themeColor="text1"/>
                <w:szCs w:val="21"/>
              </w:rPr>
              <w:t>□</w:t>
            </w:r>
          </w:p>
        </w:tc>
        <w:tc>
          <w:tcPr>
            <w:tcW w:w="2988"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w:t>
            </w:r>
            <w:r>
              <w:rPr>
                <w:rFonts w:ascii="Times New Roman" w:hAnsi="Times New Roman" w:cs="Times New Roman"/>
                <w:color w:val="000000" w:themeColor="text1"/>
                <w:szCs w:val="21"/>
                <w:vertAlign w:val="subscript"/>
              </w:rPr>
              <w:t>叠加</w:t>
            </w:r>
            <w:r>
              <w:rPr>
                <w:rFonts w:ascii="Times New Roman" w:hAnsi="Times New Roman" w:cs="Times New Roman"/>
                <w:color w:val="000000" w:themeColor="text1"/>
                <w:szCs w:val="21"/>
              </w:rPr>
              <w:t>不达标</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区域环境质量的整体变化情况</w:t>
            </w:r>
          </w:p>
        </w:tc>
        <w:tc>
          <w:tcPr>
            <w:tcW w:w="3757" w:type="dxa"/>
            <w:gridSpan w:val="1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k≤-20%</w:t>
            </w:r>
            <w:r>
              <w:rPr>
                <w:rFonts w:cs="Times New Roman" w:asciiTheme="majorEastAsia" w:hAnsiTheme="majorEastAsia" w:eastAsiaTheme="majorEastAsia"/>
                <w:color w:val="000000" w:themeColor="text1"/>
                <w:szCs w:val="21"/>
              </w:rPr>
              <w:t>□</w:t>
            </w:r>
          </w:p>
        </w:tc>
        <w:tc>
          <w:tcPr>
            <w:tcW w:w="2988" w:type="dxa"/>
            <w:gridSpan w:val="10"/>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k＞-20%</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88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环境监测计划</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污染源监测</w:t>
            </w:r>
          </w:p>
        </w:tc>
        <w:tc>
          <w:tcPr>
            <w:tcW w:w="2637"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监测因子：（</w:t>
            </w: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Cs w:val="21"/>
                <w:lang w:val="en-US" w:eastAsia="zh-CN"/>
              </w:rPr>
              <w:t>颗粒物</w:t>
            </w: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w:t>
            </w:r>
          </w:p>
        </w:tc>
        <w:tc>
          <w:tcPr>
            <w:tcW w:w="1831"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有组织废气监测</w:t>
            </w:r>
            <w:r>
              <w:rPr>
                <w:rFonts w:cs="Times New Roman" w:asciiTheme="majorEastAsia" w:hAnsiTheme="majorEastAsia" w:eastAsiaTheme="majorEastAsia"/>
                <w:color w:val="000000" w:themeColor="text1"/>
                <w:szCs w:val="21"/>
              </w:rPr>
              <w:sym w:font="Wingdings 2" w:char="00A3"/>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无组织废气监测</w:t>
            </w:r>
            <w:r>
              <w:rPr>
                <w:rFonts w:cs="Times New Roman" w:asciiTheme="majorEastAsia" w:hAnsiTheme="majorEastAsia" w:eastAsiaTheme="majorEastAsia"/>
                <w:color w:val="000000" w:themeColor="text1"/>
                <w:szCs w:val="21"/>
              </w:rPr>
              <w:sym w:font="Wingdings 2" w:char="0052"/>
            </w:r>
          </w:p>
        </w:tc>
        <w:tc>
          <w:tcPr>
            <w:tcW w:w="2277" w:type="dxa"/>
            <w:gridSpan w:val="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无监测</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环境质量监测</w:t>
            </w:r>
          </w:p>
        </w:tc>
        <w:tc>
          <w:tcPr>
            <w:tcW w:w="2637"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监测因子：（</w:t>
            </w: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w:t>
            </w:r>
          </w:p>
        </w:tc>
        <w:tc>
          <w:tcPr>
            <w:tcW w:w="1831" w:type="dxa"/>
            <w:gridSpan w:val="9"/>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监测点位数（</w:t>
            </w: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w:t>
            </w:r>
          </w:p>
        </w:tc>
        <w:tc>
          <w:tcPr>
            <w:tcW w:w="2277" w:type="dxa"/>
            <w:gridSpan w:val="5"/>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无监测</w:t>
            </w:r>
            <w:r>
              <w:rPr>
                <w:rFonts w:cs="Times New Roman" w:asciiTheme="majorEastAsia" w:hAnsiTheme="majorEastAsia" w:eastAsiaTheme="maj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86"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评价结论</w:t>
            </w: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环境影响</w:t>
            </w:r>
          </w:p>
        </w:tc>
        <w:tc>
          <w:tcPr>
            <w:tcW w:w="6745" w:type="dxa"/>
            <w:gridSpan w:val="2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可以接受</w:t>
            </w:r>
            <w:r>
              <w:rPr>
                <w:rFonts w:cs="Times New Roman" w:asciiTheme="majorEastAsia" w:hAnsiTheme="majorEastAsia" w:eastAsiaTheme="majorEastAsia"/>
                <w:color w:val="000000" w:themeColor="text1"/>
                <w:szCs w:val="21"/>
              </w:rPr>
              <w:sym w:font="Wingdings 2" w:char="0052"/>
            </w:r>
            <w:r>
              <w:rPr>
                <w:rFonts w:hint="eastAsia" w:cs="Times New Roman" w:asciiTheme="majorEastAsia" w:hAnsiTheme="majorEastAsia" w:eastAsiaTheme="majorEastAsia"/>
                <w:color w:val="000000" w:themeColor="text1"/>
                <w:szCs w:val="21"/>
              </w:rPr>
              <w:t xml:space="preserve">     </w:t>
            </w:r>
            <w:r>
              <w:rPr>
                <w:rFonts w:ascii="Times New Roman" w:hAnsi="Times New Roman" w:cs="Times New Roman"/>
                <w:color w:val="000000" w:themeColor="text1"/>
                <w:szCs w:val="21"/>
              </w:rPr>
              <w:t>不可以接受</w:t>
            </w:r>
            <w:r>
              <w:rPr>
                <w:rFonts w:cs="Times New Roman" w:asciiTheme="majorEastAsia" w:hAnsiTheme="majorEastAsia" w:eastAsiaTheme="maj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大气环境防护距离</w:t>
            </w:r>
          </w:p>
        </w:tc>
        <w:tc>
          <w:tcPr>
            <w:tcW w:w="6745" w:type="dxa"/>
            <w:gridSpan w:val="2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距（</w:t>
            </w:r>
            <w:r>
              <w:rPr>
                <w:rFonts w:hint="eastAsia" w:ascii="Times New Roman" w:hAnsi="Times New Roman" w:cs="Times New Roman"/>
                <w:color w:val="000000" w:themeColor="text1"/>
                <w:szCs w:val="21"/>
                <w:lang w:val="en-US" w:eastAsia="zh-CN"/>
              </w:rPr>
              <w:t>/</w:t>
            </w:r>
            <w:r>
              <w:rPr>
                <w:rFonts w:ascii="Times New Roman" w:hAnsi="Times New Roman" w:cs="Times New Roman"/>
                <w:color w:val="000000" w:themeColor="text1"/>
                <w:szCs w:val="21"/>
              </w:rPr>
              <w:t>）厂界最远（</w:t>
            </w:r>
            <w:r>
              <w:rPr>
                <w:rFonts w:hint="eastAsia" w:ascii="Times New Roman" w:hAnsi="Times New Roman" w:cs="Times New Roman"/>
                <w:color w:val="000000" w:themeColor="text1"/>
                <w:szCs w:val="21"/>
                <w:lang w:val="en-US" w:eastAsia="zh-CN"/>
              </w:rPr>
              <w:t>/</w:t>
            </w:r>
            <w:r>
              <w:rPr>
                <w:rFonts w:ascii="Times New Roman" w:hAnsi="Times New Roman" w:cs="Times New Roman"/>
                <w:color w:val="000000" w:themeColor="text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886"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326"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污染源年排放量</w:t>
            </w:r>
          </w:p>
        </w:tc>
        <w:tc>
          <w:tcPr>
            <w:tcW w:w="1539" w:type="dxa"/>
            <w:gridSpan w:val="4"/>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SO</w:t>
            </w:r>
            <w:r>
              <w:rPr>
                <w:rFonts w:ascii="Times New Roman" w:hAnsi="Times New Roman" w:cs="Times New Roman"/>
                <w:color w:val="000000" w:themeColor="text1"/>
                <w:szCs w:val="21"/>
                <w:vertAlign w:val="subscript"/>
              </w:rPr>
              <w:t>2</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lang w:val="en-US" w:eastAsia="zh-CN"/>
              </w:rPr>
              <w:t>/</w:t>
            </w:r>
            <w:r>
              <w:rPr>
                <w:rFonts w:ascii="Times New Roman" w:hAnsi="Times New Roman" w:cs="Times New Roman"/>
                <w:color w:val="000000" w:themeColor="text1"/>
                <w:szCs w:val="21"/>
              </w:rPr>
              <w:t>）t/a</w:t>
            </w:r>
          </w:p>
        </w:tc>
        <w:tc>
          <w:tcPr>
            <w:tcW w:w="1829"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NO</w:t>
            </w:r>
            <w:r>
              <w:rPr>
                <w:rFonts w:ascii="Times New Roman" w:hAnsi="Times New Roman" w:cs="Times New Roman"/>
                <w:color w:val="000000" w:themeColor="text1"/>
                <w:szCs w:val="21"/>
                <w:vertAlign w:val="subscript"/>
              </w:rPr>
              <w:t>x</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lang w:val="en-US" w:eastAsia="zh-CN"/>
              </w:rPr>
              <w:t>/</w:t>
            </w:r>
            <w:r>
              <w:rPr>
                <w:rFonts w:ascii="Times New Roman" w:hAnsi="Times New Roman" w:cs="Times New Roman"/>
                <w:color w:val="000000" w:themeColor="text1"/>
                <w:szCs w:val="21"/>
              </w:rPr>
              <w:t>）t/a</w:t>
            </w:r>
          </w:p>
        </w:tc>
        <w:tc>
          <w:tcPr>
            <w:tcW w:w="1614" w:type="dxa"/>
            <w:gridSpan w:val="8"/>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颗粒物：（</w:t>
            </w:r>
            <w:r>
              <w:rPr>
                <w:rFonts w:hint="eastAsia" w:ascii="Times New Roman" w:eastAsia="宋体" w:cs="Times New Roman"/>
                <w:color w:val="000000" w:themeColor="text1"/>
                <w:sz w:val="21"/>
                <w:szCs w:val="21"/>
                <w:lang w:val="en-US" w:eastAsia="zh-CN"/>
              </w:rPr>
              <w:t>0.0308</w:t>
            </w:r>
            <w:r>
              <w:rPr>
                <w:rFonts w:ascii="Times New Roman" w:hAnsi="Times New Roman" w:cs="Times New Roman"/>
                <w:color w:val="000000" w:themeColor="text1"/>
                <w:szCs w:val="21"/>
              </w:rPr>
              <w:t>）t/a</w:t>
            </w:r>
          </w:p>
        </w:tc>
        <w:tc>
          <w:tcPr>
            <w:tcW w:w="1763" w:type="dxa"/>
            <w:gridSpan w:val="3"/>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VOCs：（</w:t>
            </w:r>
            <w:r>
              <w:rPr>
                <w:rFonts w:hint="eastAsia" w:ascii="Times New Roman" w:hAnsi="Times New Roman" w:cs="Times New Roman"/>
                <w:color w:val="000000" w:themeColor="text1"/>
                <w:szCs w:val="21"/>
                <w:lang w:val="en-US" w:eastAsia="zh-CN"/>
              </w:rPr>
              <w:t>/</w:t>
            </w:r>
            <w:r>
              <w:rPr>
                <w:rFonts w:ascii="Times New Roman" w:hAnsi="Times New Roman" w:cs="Times New Roman"/>
                <w:color w:val="000000" w:themeColor="text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8957" w:type="dxa"/>
            <w:gridSpan w:val="25"/>
            <w:tcBorders>
              <w:tl2br w:val="nil"/>
              <w:tr2bl w:val="nil"/>
            </w:tcBorders>
            <w:vAlign w:val="center"/>
          </w:tcPr>
          <w:p>
            <w:pPr>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注：</w:t>
            </w:r>
            <w:r>
              <w:rPr>
                <w:rFonts w:hint="eastAsia" w:ascii="Times New Roman" w:hAnsi="Times New Roman" w:cs="Times New Roman"/>
                <w:color w:val="000000" w:themeColor="text1"/>
                <w:szCs w:val="21"/>
                <w:lang w:eastAsia="zh-CN"/>
              </w:rPr>
              <w:t>“</w:t>
            </w:r>
            <w:r>
              <w:rPr>
                <w:rFonts w:cs="Times New Roman" w:asciiTheme="majorEastAsia" w:hAnsiTheme="majorEastAsia" w:eastAsiaTheme="majorEastAsia"/>
                <w:color w:val="000000" w:themeColor="text1"/>
                <w:szCs w:val="21"/>
              </w:rPr>
              <w:t>□</w:t>
            </w:r>
            <w:r>
              <w:rPr>
                <w:rFonts w:hint="eastAsia" w:ascii="Times New Roman" w:hAnsi="Times New Roman" w:cs="Times New Roman"/>
                <w:color w:val="000000" w:themeColor="text1"/>
                <w:szCs w:val="21"/>
                <w:lang w:eastAsia="zh-CN"/>
              </w:rPr>
              <w:t>”</w:t>
            </w:r>
            <w:r>
              <w:rPr>
                <w:rFonts w:ascii="Times New Roman" w:hAnsi="Times New Roman" w:cs="Times New Roman"/>
                <w:color w:val="000000" w:themeColor="text1"/>
                <w:szCs w:val="21"/>
              </w:rPr>
              <w:t>为勾选项，填</w:t>
            </w:r>
            <w:r>
              <w:rPr>
                <w:rFonts w:hint="eastAsia" w:ascii="Times New Roman" w:hAnsi="Times New Roman" w:cs="Times New Roman"/>
                <w:color w:val="000000" w:themeColor="text1"/>
                <w:szCs w:val="21"/>
                <w:lang w:eastAsia="zh-CN"/>
              </w:rPr>
              <w:t>“</w:t>
            </w:r>
            <w:r>
              <w:rPr>
                <w:rFonts w:cs="Times New Roman" w:asciiTheme="minorEastAsia" w:hAnsiTheme="minorEastAsia"/>
                <w:color w:val="000000" w:themeColor="text1"/>
                <w:szCs w:val="21"/>
              </w:rPr>
              <w:t>√</w:t>
            </w:r>
            <w:r>
              <w:rPr>
                <w:rFonts w:hint="eastAsia" w:ascii="Times New Roman" w:hAnsi="Times New Roman" w:cs="Times New Roman"/>
                <w:color w:val="000000" w:themeColor="text1"/>
                <w:szCs w:val="21"/>
                <w:lang w:eastAsia="zh-CN"/>
              </w:rPr>
              <w:t>”</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lang w:eastAsia="zh-CN"/>
              </w:rPr>
              <w:t>“</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lang w:eastAsia="zh-CN"/>
              </w:rPr>
              <w:t>”</w:t>
            </w:r>
            <w:r>
              <w:rPr>
                <w:rFonts w:ascii="Times New Roman" w:hAnsi="Times New Roman" w:cs="Times New Roman"/>
                <w:color w:val="000000" w:themeColor="text1"/>
                <w:szCs w:val="21"/>
              </w:rPr>
              <w:t>为内容填写项</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val="en-US" w:eastAsia="zh-CN"/>
        </w:rPr>
        <w:t>5.2.1.6  大气环境防护距离</w:t>
      </w:r>
    </w:p>
    <w:bookmarkEnd w:id="777"/>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根据《环境影响评价技术导则</w:t>
      </w:r>
      <w:r>
        <w:rPr>
          <w:rFonts w:hint="eastAsia" w:ascii="Times New Roman" w:hAnsi="Times New Roman" w:eastAsia="宋体" w:cs="Times New Roman"/>
          <w:color w:val="000000" w:themeColor="text1"/>
          <w:sz w:val="24"/>
          <w:szCs w:val="24"/>
          <w:lang w:val="en-US" w:eastAsia="zh-CN"/>
        </w:rPr>
        <w:t xml:space="preserve"> </w:t>
      </w:r>
      <w:r>
        <w:rPr>
          <w:rFonts w:hint="default" w:ascii="Times New Roman" w:hAnsi="Times New Roman" w:eastAsia="宋体" w:cs="Times New Roman"/>
          <w:color w:val="000000" w:themeColor="text1"/>
          <w:sz w:val="24"/>
          <w:szCs w:val="24"/>
        </w:rPr>
        <w:t>大气环境》（HJ2.2-2018）规定，对于项目厂界浓度满足大气污染物厂界浓度限值，但是厂界外大气污染物短期贡献浓度超过环境质量浓度限值的，可以自厂界外设置一定范围的大气环境防护区域，以确保大气环境防护区域外的污染物贡献浓度满足环境质量标准。为保护人群健康，减少正常排放条件下大气污染物对居住区的环境影响，在污染源与居住区之间应设置环境防护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本次评价根据《环境影响评价技术导则 大气环境》（HJ2.2-2018）中大气环境防护距离计算方法，以及无组织排放污染物的排放参数计算本工程的大气环境防护距离为0m，故工程实施后，无需设置大气环境防护距离。</w:t>
      </w:r>
    </w:p>
    <w:p>
      <w:pPr>
        <w:pStyle w:val="5"/>
        <w:rPr>
          <w:rFonts w:hint="default"/>
          <w:color w:val="000000" w:themeColor="text1"/>
          <w:lang w:val="en-US" w:eastAsia="zh-CN"/>
        </w:rPr>
      </w:pPr>
      <w:bookmarkStart w:id="779" w:name="_Toc9454"/>
      <w:bookmarkStart w:id="780" w:name="_Toc11097"/>
      <w:r>
        <w:rPr>
          <w:rFonts w:hint="eastAsia"/>
          <w:color w:val="000000" w:themeColor="text1"/>
          <w:lang w:val="en-US" w:eastAsia="zh-CN"/>
        </w:rPr>
        <w:t>地表水环境影响分析</w:t>
      </w:r>
      <w:bookmarkEnd w:id="779"/>
    </w:p>
    <w:bookmarkEnd w:id="780"/>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根据工程分析，</w:t>
      </w:r>
      <w:r>
        <w:rPr>
          <w:rFonts w:hint="eastAsia" w:ascii="Times New Roman" w:hAnsi="Times New Roman" w:eastAsia="宋体" w:cs="Times New Roman"/>
          <w:color w:val="000000" w:themeColor="text1"/>
          <w:sz w:val="24"/>
          <w:szCs w:val="24"/>
          <w:lang w:val="en-US" w:eastAsia="zh-CN"/>
        </w:rPr>
        <w:t>运行</w:t>
      </w:r>
      <w:r>
        <w:rPr>
          <w:rFonts w:hint="default" w:ascii="Times New Roman" w:hAnsi="Times New Roman" w:eastAsia="宋体" w:cs="Times New Roman"/>
          <w:color w:val="000000" w:themeColor="text1"/>
          <w:sz w:val="24"/>
          <w:szCs w:val="24"/>
        </w:rPr>
        <w:t>期废水污染源主要为生产废水、生活污水。生产废水包括矿坑涌水、</w:t>
      </w:r>
      <w:r>
        <w:rPr>
          <w:rFonts w:hint="eastAsia" w:ascii="Times New Roman" w:hAnsi="Times New Roman" w:eastAsia="宋体" w:cs="Times New Roman"/>
          <w:color w:val="000000" w:themeColor="text1"/>
          <w:sz w:val="24"/>
          <w:szCs w:val="24"/>
          <w:lang w:eastAsia="zh-CN"/>
        </w:rPr>
        <w:t>井下除尘废水</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b w:val="0"/>
          <w:bCs w:val="0"/>
          <w:color w:val="000000" w:themeColor="text1"/>
          <w:sz w:val="24"/>
          <w:szCs w:val="24"/>
          <w:lang w:val="en-US" w:eastAsia="zh-CN"/>
        </w:rPr>
        <w:t>矿石堆场废水</w:t>
      </w:r>
      <w:r>
        <w:rPr>
          <w:rFonts w:hint="default" w:ascii="Times New Roman" w:hAnsi="Times New Roman" w:eastAsia="宋体" w:cs="Times New Roman"/>
          <w:color w:val="000000" w:themeColor="text1"/>
          <w:sz w:val="24"/>
          <w:szCs w:val="24"/>
        </w:rPr>
        <w:t>等。</w:t>
      </w:r>
    </w:p>
    <w:p>
      <w:pPr>
        <w:pStyle w:val="5"/>
        <w:keepNext/>
        <w:keepLines/>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rPr>
      </w:pPr>
      <w:bookmarkStart w:id="781" w:name="_Toc7121"/>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1</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矿坑涌水</w:t>
      </w:r>
      <w:bookmarkEnd w:id="781"/>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项目在开采过程中几乎无涌水产生，仅在雨季（每年 6～9月）偶尔有涌水产生，最多时涌水量为</w:t>
      </w:r>
      <w:r>
        <w:rPr>
          <w:rFonts w:hint="eastAsia"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/d。涌水直接流出硐口至沉淀池，沉淀后回用于井下开采工作，不外排。为保证回用水水质，环评要求在正式开采矿石后，</w:t>
      </w:r>
      <w:r>
        <w:rPr>
          <w:rFonts w:hint="default" w:ascii="Times New Roman" w:hAnsi="Times New Roman" w:eastAsia="宋体" w:cs="Times New Roman"/>
          <w:color w:val="000000" w:themeColor="text1"/>
          <w:sz w:val="24"/>
          <w:szCs w:val="24"/>
          <w:lang w:eastAsia="zh-CN"/>
        </w:rPr>
        <w:t>对</w:t>
      </w:r>
      <w:r>
        <w:rPr>
          <w:rFonts w:hint="default" w:ascii="Times New Roman" w:hAnsi="Times New Roman" w:eastAsia="宋体" w:cs="Times New Roman"/>
          <w:color w:val="000000" w:themeColor="text1"/>
          <w:sz w:val="24"/>
          <w:szCs w:val="24"/>
        </w:rPr>
        <w:t>每个矿井涌水进行监测，一旦产生酸性废水立即集中收集后用石灰石进行中和沉淀处理，处理后回用，不外排。</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val="0"/>
          <w:color w:val="000000" w:themeColor="text1"/>
          <w:sz w:val="24"/>
          <w:szCs w:val="24"/>
        </w:rPr>
      </w:pPr>
      <w:bookmarkStart w:id="782" w:name="_Toc24373"/>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2</w:t>
      </w: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井下</w:t>
      </w:r>
      <w:r>
        <w:rPr>
          <w:rFonts w:hint="default" w:ascii="Times New Roman" w:hAnsi="Times New Roman" w:eastAsia="宋体" w:cs="Times New Roman"/>
          <w:b w:val="0"/>
          <w:bCs w:val="0"/>
          <w:color w:val="000000" w:themeColor="text1"/>
          <w:sz w:val="24"/>
          <w:szCs w:val="24"/>
        </w:rPr>
        <w:t>除尘废水</w:t>
      </w:r>
      <w:bookmarkEnd w:id="782"/>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根据源强分析可知，本项目除尘废水产生量</w:t>
      </w:r>
      <w:r>
        <w:rPr>
          <w:rFonts w:hint="eastAsia" w:ascii="Times New Roman" w:hAnsi="Times New Roman" w:eastAsia="宋体" w:cs="Times New Roman"/>
          <w:color w:val="000000" w:themeColor="text1"/>
          <w:sz w:val="24"/>
          <w:szCs w:val="24"/>
          <w:lang w:val="en-US" w:eastAsia="zh-CN"/>
        </w:rPr>
        <w:t>约</w:t>
      </w:r>
      <w:r>
        <w:rPr>
          <w:rFonts w:hint="default" w:ascii="Times New Roman" w:hAnsi="Times New Roman" w:eastAsia="宋体" w:cs="Times New Roman"/>
          <w:color w:val="000000" w:themeColor="text1"/>
          <w:sz w:val="24"/>
          <w:szCs w:val="24"/>
        </w:rPr>
        <w:t>为</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/d，采矿废水通过自流或机械排水方式收集至平硐口的沉淀池处理后全部回用，不外排</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由于本项目矿坑涌水偶尔产生，且产生量较少，矿坑涌水直接进入硐口沉淀池，</w:t>
      </w:r>
      <w:r>
        <w:rPr>
          <w:rFonts w:hint="default" w:ascii="Times New Roman" w:hAnsi="Times New Roman" w:eastAsia="宋体" w:cs="Times New Roman"/>
          <w:color w:val="000000" w:themeColor="text1"/>
          <w:sz w:val="24"/>
          <w:szCs w:val="24"/>
        </w:rPr>
        <w:t>评价要求各</w:t>
      </w:r>
      <w:r>
        <w:rPr>
          <w:rFonts w:hint="eastAsia" w:ascii="Times New Roman" w:hAnsi="Times New Roman" w:eastAsia="宋体" w:cs="Times New Roman"/>
          <w:color w:val="000000" w:themeColor="text1"/>
          <w:sz w:val="24"/>
          <w:szCs w:val="24"/>
          <w:lang w:val="en-US" w:eastAsia="zh-CN"/>
        </w:rPr>
        <w:t>硐口新建沉淀池，</w:t>
      </w:r>
      <w:r>
        <w:rPr>
          <w:rFonts w:hint="default" w:ascii="Times New Roman" w:hAnsi="Times New Roman" w:eastAsia="宋体" w:cs="Times New Roman"/>
          <w:color w:val="000000" w:themeColor="text1"/>
          <w:sz w:val="24"/>
          <w:szCs w:val="24"/>
        </w:rPr>
        <w:t>沉淀池容积不小于</w:t>
      </w:r>
      <w:r>
        <w:rPr>
          <w:rFonts w:hint="eastAsia"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。因此不会对矿区地表水的水质造成影响。</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val="0"/>
          <w:color w:val="000000" w:themeColor="text1"/>
          <w:sz w:val="24"/>
          <w:szCs w:val="24"/>
          <w:lang w:val="en-US" w:eastAsia="zh-CN"/>
        </w:rPr>
      </w:pPr>
      <w:bookmarkStart w:id="783" w:name="_Toc31058"/>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3</w:t>
      </w: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矿石堆场废水</w:t>
      </w:r>
      <w:bookmarkEnd w:id="783"/>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color w:val="000000" w:themeColor="text1"/>
          <w:sz w:val="24"/>
          <w:szCs w:val="24"/>
          <w:lang w:eastAsia="zh-CN"/>
        </w:rPr>
      </w:pPr>
      <w:bookmarkStart w:id="784" w:name="_Toc10444"/>
      <w:r>
        <w:rPr>
          <w:rFonts w:hint="eastAsia" w:ascii="Times New Roman" w:hAnsi="Times New Roman" w:eastAsia="宋体" w:cs="Times New Roman"/>
          <w:b w:val="0"/>
          <w:bCs w:val="0"/>
          <w:color w:val="000000" w:themeColor="text1"/>
          <w:sz w:val="24"/>
          <w:szCs w:val="24"/>
          <w:lang w:val="en-US" w:eastAsia="zh-CN"/>
        </w:rPr>
        <w:t>矿石堆场洒水降尘废水产生量约为1</w:t>
      </w:r>
      <w:r>
        <w:rPr>
          <w:rFonts w:hint="default" w:ascii="Times New Roman" w:hAnsi="Times New Roman" w:eastAsia="宋体" w:cs="Times New Roman"/>
          <w:b w:val="0"/>
          <w:bCs w:val="0"/>
          <w:color w:val="000000" w:themeColor="text1"/>
          <w:sz w:val="24"/>
          <w:szCs w:val="24"/>
        </w:rPr>
        <w:t>m</w:t>
      </w:r>
      <w:r>
        <w:rPr>
          <w:rFonts w:hint="default" w:ascii="Times New Roman" w:hAnsi="Times New Roman" w:eastAsia="宋体" w:cs="Times New Roman"/>
          <w:b w:val="0"/>
          <w:bCs w:val="0"/>
          <w:color w:val="000000" w:themeColor="text1"/>
          <w:sz w:val="24"/>
          <w:szCs w:val="24"/>
          <w:vertAlign w:val="superscript"/>
        </w:rPr>
        <w:t>3</w:t>
      </w:r>
      <w:r>
        <w:rPr>
          <w:rFonts w:hint="default" w:ascii="Times New Roman" w:hAnsi="Times New Roman" w:eastAsia="宋体" w:cs="Times New Roman"/>
          <w:b w:val="0"/>
          <w:bCs w:val="0"/>
          <w:color w:val="000000" w:themeColor="text1"/>
          <w:sz w:val="24"/>
          <w:szCs w:val="24"/>
        </w:rPr>
        <w:t>/d，</w:t>
      </w:r>
      <w:r>
        <w:rPr>
          <w:rFonts w:hint="eastAsia" w:ascii="Times New Roman" w:hAnsi="Times New Roman" w:eastAsia="宋体" w:cs="Times New Roman"/>
          <w:b w:val="0"/>
          <w:bCs w:val="0"/>
          <w:color w:val="000000" w:themeColor="text1"/>
          <w:sz w:val="24"/>
          <w:szCs w:val="24"/>
          <w:lang w:val="en-US" w:eastAsia="zh-CN"/>
        </w:rPr>
        <w:t>通过自流方式进入</w:t>
      </w:r>
      <w:r>
        <w:rPr>
          <w:rFonts w:hint="default" w:ascii="Times New Roman" w:hAnsi="Times New Roman" w:eastAsia="宋体" w:cs="Times New Roman"/>
          <w:b w:val="0"/>
          <w:bCs w:val="0"/>
          <w:color w:val="000000" w:themeColor="text1"/>
          <w:sz w:val="24"/>
          <w:szCs w:val="24"/>
        </w:rPr>
        <w:t>平硐口的沉淀池处理后全部回用，不外排</w:t>
      </w:r>
      <w:bookmarkEnd w:id="784"/>
      <w:bookmarkStart w:id="785" w:name="_Toc24800"/>
      <w:r>
        <w:rPr>
          <w:rFonts w:hint="eastAsia" w:ascii="Times New Roman" w:hAnsi="Times New Roman" w:eastAsia="宋体" w:cs="Times New Roman"/>
          <w:b w:val="0"/>
          <w:bCs w:val="0"/>
          <w:color w:val="000000" w:themeColor="text1"/>
          <w:sz w:val="24"/>
          <w:szCs w:val="24"/>
          <w:lang w:eastAsia="zh-CN"/>
        </w:rPr>
        <w:t>。</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val="0"/>
          <w:color w:val="000000" w:themeColor="text1"/>
          <w:sz w:val="24"/>
          <w:szCs w:val="24"/>
        </w:rPr>
      </w:pP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4</w:t>
      </w:r>
      <w:r>
        <w:rPr>
          <w:rFonts w:hint="eastAsia"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生活污水</w:t>
      </w:r>
      <w:bookmarkEnd w:id="785"/>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生活污水中的主要污染物为COD、BOD</w:t>
      </w:r>
      <w:r>
        <w:rPr>
          <w:rFonts w:hint="default" w:ascii="Times New Roman" w:hAnsi="Times New Roman" w:eastAsia="宋体" w:cs="Times New Roman"/>
          <w:color w:val="000000" w:themeColor="text1"/>
          <w:sz w:val="24"/>
          <w:szCs w:val="24"/>
          <w:vertAlign w:val="subscript"/>
        </w:rPr>
        <w:t>5</w:t>
      </w:r>
      <w:r>
        <w:rPr>
          <w:rFonts w:hint="default" w:ascii="Times New Roman" w:hAnsi="Times New Roman" w:eastAsia="宋体" w:cs="Times New Roman"/>
          <w:color w:val="000000" w:themeColor="text1"/>
          <w:sz w:val="24"/>
          <w:szCs w:val="24"/>
        </w:rPr>
        <w:t>、氨氮、SS等；生活废水产生量为</w:t>
      </w:r>
      <w:r>
        <w:rPr>
          <w:rFonts w:hint="eastAsia" w:ascii="Times New Roman" w:hAnsi="Times New Roman" w:eastAsia="宋体" w:cs="Times New Roman"/>
          <w:color w:val="000000" w:themeColor="text1"/>
          <w:sz w:val="24"/>
          <w:szCs w:val="24"/>
          <w:lang w:val="en-US" w:eastAsia="zh-CN"/>
        </w:rPr>
        <w:t>0.504</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/d，评价要求</w:t>
      </w:r>
      <w:r>
        <w:rPr>
          <w:rFonts w:hint="eastAsia" w:ascii="Times New Roman" w:hAnsi="Times New Roman" w:eastAsia="宋体" w:cs="Times New Roman"/>
          <w:color w:val="000000" w:themeColor="text1"/>
          <w:sz w:val="24"/>
          <w:szCs w:val="24"/>
          <w:lang w:val="en-US" w:eastAsia="zh-CN"/>
        </w:rPr>
        <w:t>生活废水全部进入化粪池，定期清掏用于肥田。</w:t>
      </w:r>
    </w:p>
    <w:p>
      <w:pPr>
        <w:pStyle w:val="22"/>
        <w:adjustRightInd w:val="0"/>
        <w:snapToGrid w:val="0"/>
        <w:spacing w:after="0" w:line="360" w:lineRule="auto"/>
        <w:ind w:left="0" w:leftChars="0" w:firstLine="480"/>
        <w:rPr>
          <w:rFonts w:hint="default" w:ascii="Times New Roman" w:hAnsi="Times New Roman" w:eastAsia="宋体" w:cs="Times New Roman"/>
          <w:color w:val="000000" w:themeColor="text1"/>
          <w:kern w:val="0"/>
          <w:sz w:val="24"/>
          <w:szCs w:val="24"/>
        </w:rPr>
      </w:pPr>
      <w:r>
        <w:rPr>
          <w:rFonts w:hint="default" w:ascii="Times New Roman" w:hAnsi="Times New Roman" w:eastAsia="宋体" w:cs="Times New Roman"/>
          <w:color w:val="000000" w:themeColor="text1"/>
          <w:kern w:val="0"/>
          <w:sz w:val="24"/>
          <w:szCs w:val="24"/>
        </w:rPr>
        <w:t>综上所述，采矿废水和生活废水经过合理的处置，对水环境影响较小。</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color w:val="000000" w:themeColor="text1"/>
          <w:sz w:val="24"/>
          <w:szCs w:val="24"/>
          <w:lang w:val="en-US" w:eastAsia="zh-CN"/>
        </w:rPr>
      </w:pPr>
      <w:r>
        <w:rPr>
          <w:rFonts w:hint="default"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5</w:t>
      </w:r>
      <w:r>
        <w:rPr>
          <w:rFonts w:hint="default" w:ascii="Times New Roman" w:hAnsi="Times New Roman" w:eastAsia="宋体" w:cs="Times New Roman"/>
          <w:b w:val="0"/>
          <w:bCs/>
          <w:color w:val="000000" w:themeColor="text1"/>
          <w:sz w:val="24"/>
          <w:szCs w:val="24"/>
          <w:lang w:eastAsia="zh-CN"/>
        </w:rPr>
        <w:t>）</w:t>
      </w:r>
      <w:r>
        <w:rPr>
          <w:rFonts w:hint="eastAsia" w:ascii="Times New Roman" w:hAnsi="Times New Roman" w:eastAsia="宋体" w:cs="Times New Roman"/>
          <w:b w:val="0"/>
          <w:bCs/>
          <w:color w:val="000000" w:themeColor="text1"/>
          <w:sz w:val="24"/>
          <w:szCs w:val="24"/>
          <w:lang w:val="en-US" w:eastAsia="zh-CN"/>
        </w:rPr>
        <w:t>地表水环境影响评价自查表</w:t>
      </w:r>
    </w:p>
    <w:p>
      <w:pPr>
        <w:pStyle w:val="12"/>
        <w:adjustRightInd w:val="0"/>
        <w:snapToGrid w:val="0"/>
        <w:spacing w:after="0" w:line="360" w:lineRule="auto"/>
        <w:ind w:firstLine="0" w:firstLineChars="0"/>
        <w:jc w:val="center"/>
        <w:rPr>
          <w:rFonts w:ascii="Times New Roman" w:hAnsi="Times New Roman" w:eastAsia="宋体" w:cs="Times New Roman"/>
          <w:b/>
          <w:color w:val="FF0000"/>
          <w:szCs w:val="21"/>
        </w:rPr>
      </w:pPr>
      <w:r>
        <w:rPr>
          <w:rFonts w:hint="eastAsia" w:ascii="Times New Roman" w:hAnsi="Times New Roman" w:eastAsia="宋体" w:cs="Times New Roman"/>
          <w:b/>
          <w:color w:val="FF0000"/>
          <w:szCs w:val="21"/>
        </w:rPr>
        <w:t>表</w:t>
      </w:r>
      <w:r>
        <w:rPr>
          <w:rFonts w:hint="eastAsia" w:ascii="Times New Roman" w:hAnsi="Times New Roman" w:eastAsia="宋体" w:cs="Times New Roman"/>
          <w:b/>
          <w:color w:val="FF0000"/>
          <w:szCs w:val="21"/>
          <w:lang w:val="en-US" w:eastAsia="zh-CN"/>
        </w:rPr>
        <w:t>5.2-10</w:t>
      </w:r>
      <w:r>
        <w:rPr>
          <w:rFonts w:hint="eastAsia" w:ascii="Times New Roman" w:hAnsi="Times New Roman" w:eastAsia="宋体" w:cs="Times New Roman"/>
          <w:b/>
          <w:color w:val="FF0000"/>
          <w:szCs w:val="21"/>
        </w:rPr>
        <w:t xml:space="preserve">  建设项目地表水环境影响评价自查表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276"/>
        <w:gridCol w:w="1362"/>
        <w:gridCol w:w="135"/>
        <w:gridCol w:w="185"/>
        <w:gridCol w:w="368"/>
        <w:gridCol w:w="444"/>
        <w:gridCol w:w="500"/>
        <w:gridCol w:w="391"/>
        <w:gridCol w:w="1105"/>
        <w:gridCol w:w="278"/>
        <w:gridCol w:w="222"/>
        <w:gridCol w:w="691"/>
        <w:gridCol w:w="308"/>
        <w:gridCol w:w="399"/>
        <w:gridCol w:w="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3004" w:type="dxa"/>
            <w:gridSpan w:val="3"/>
            <w:tcBorders>
              <w:tl2br w:val="nil"/>
              <w:tr2bl w:val="nil"/>
            </w:tcBorders>
            <w:vAlign w:val="center"/>
          </w:tcPr>
          <w:p>
            <w:pPr>
              <w:jc w:val="center"/>
              <w:rPr>
                <w:color w:val="FF0000"/>
                <w:sz w:val="21"/>
                <w:szCs w:val="21"/>
              </w:rPr>
            </w:pPr>
            <w:r>
              <w:rPr>
                <w:rFonts w:hint="eastAsia"/>
                <w:color w:val="FF0000"/>
                <w:sz w:val="21"/>
                <w:szCs w:val="21"/>
              </w:rPr>
              <w:t>工作内容</w:t>
            </w:r>
          </w:p>
        </w:tc>
        <w:tc>
          <w:tcPr>
            <w:tcW w:w="5953" w:type="dxa"/>
            <w:gridSpan w:val="13"/>
            <w:tcBorders>
              <w:tl2br w:val="nil"/>
              <w:tr2bl w:val="nil"/>
            </w:tcBorders>
            <w:vAlign w:val="center"/>
          </w:tcPr>
          <w:p>
            <w:pPr>
              <w:jc w:val="center"/>
              <w:rPr>
                <w:color w:val="FF0000"/>
                <w:sz w:val="21"/>
                <w:szCs w:val="21"/>
              </w:rPr>
            </w:pPr>
            <w:r>
              <w:rPr>
                <w:rFonts w:hint="eastAsia"/>
                <w:color w:val="FF0000"/>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66" w:type="dxa"/>
            <w:vMerge w:val="restart"/>
            <w:tcBorders>
              <w:tl2br w:val="nil"/>
              <w:tr2bl w:val="nil"/>
            </w:tcBorders>
            <w:vAlign w:val="center"/>
          </w:tcPr>
          <w:p>
            <w:pPr>
              <w:jc w:val="center"/>
              <w:rPr>
                <w:color w:val="FF0000"/>
                <w:sz w:val="21"/>
                <w:szCs w:val="21"/>
              </w:rPr>
            </w:pPr>
            <w:r>
              <w:rPr>
                <w:rFonts w:hint="eastAsia"/>
                <w:color w:val="FF0000"/>
                <w:sz w:val="21"/>
                <w:szCs w:val="21"/>
              </w:rPr>
              <w:t>影响识别</w:t>
            </w:r>
          </w:p>
        </w:tc>
        <w:tc>
          <w:tcPr>
            <w:tcW w:w="1276" w:type="dxa"/>
            <w:tcBorders>
              <w:tl2br w:val="nil"/>
              <w:tr2bl w:val="nil"/>
            </w:tcBorders>
            <w:vAlign w:val="center"/>
          </w:tcPr>
          <w:p>
            <w:pPr>
              <w:jc w:val="center"/>
              <w:rPr>
                <w:color w:val="FF0000"/>
                <w:sz w:val="21"/>
                <w:szCs w:val="21"/>
              </w:rPr>
            </w:pPr>
            <w:r>
              <w:rPr>
                <w:rFonts w:hint="eastAsia"/>
                <w:color w:val="FF0000"/>
                <w:sz w:val="21"/>
                <w:szCs w:val="21"/>
              </w:rPr>
              <w:t>影响类型</w:t>
            </w:r>
          </w:p>
        </w:tc>
        <w:tc>
          <w:tcPr>
            <w:tcW w:w="1362" w:type="dxa"/>
            <w:tcBorders>
              <w:tl2br w:val="nil"/>
              <w:tr2bl w:val="nil"/>
            </w:tcBorders>
            <w:vAlign w:val="center"/>
          </w:tcPr>
          <w:p>
            <w:pPr>
              <w:jc w:val="center"/>
              <w:rPr>
                <w:color w:val="FF0000"/>
                <w:sz w:val="21"/>
                <w:szCs w:val="21"/>
              </w:rPr>
            </w:pPr>
            <w:r>
              <w:rPr>
                <w:rFonts w:hint="eastAsia"/>
                <w:color w:val="FF0000"/>
                <w:sz w:val="21"/>
                <w:szCs w:val="21"/>
              </w:rPr>
              <w:t>评价等级</w:t>
            </w:r>
          </w:p>
        </w:tc>
        <w:tc>
          <w:tcPr>
            <w:tcW w:w="5953" w:type="dxa"/>
            <w:gridSpan w:val="13"/>
            <w:tcBorders>
              <w:tl2br w:val="nil"/>
              <w:tr2bl w:val="nil"/>
            </w:tcBorders>
            <w:vAlign w:val="center"/>
          </w:tcPr>
          <w:p>
            <w:pPr>
              <w:rPr>
                <w:color w:val="FF0000"/>
                <w:sz w:val="21"/>
                <w:szCs w:val="21"/>
              </w:rPr>
            </w:pPr>
            <w:r>
              <w:rPr>
                <w:rFonts w:hint="eastAsia"/>
                <w:color w:val="FF0000"/>
                <w:sz w:val="21"/>
                <w:szCs w:val="21"/>
              </w:rPr>
              <w:t xml:space="preserve">水污染影响型 </w:t>
            </w:r>
            <w:r>
              <w:rPr>
                <w:rFonts w:hint="eastAsia"/>
                <w:color w:val="FF0000"/>
                <w:sz w:val="21"/>
                <w:szCs w:val="21"/>
              </w:rPr>
              <w:sym w:font="Wingdings 2" w:char="0052"/>
            </w:r>
            <w:r>
              <w:rPr>
                <w:rFonts w:hint="eastAsia"/>
                <w:color w:val="FF0000"/>
                <w:sz w:val="21"/>
                <w:szCs w:val="21"/>
              </w:rPr>
              <w:t xml:space="preserve">；水文要素影响型 </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水环境保护目标</w:t>
            </w:r>
          </w:p>
        </w:tc>
        <w:tc>
          <w:tcPr>
            <w:tcW w:w="7315" w:type="dxa"/>
            <w:gridSpan w:val="14"/>
            <w:tcBorders>
              <w:tl2br w:val="nil"/>
              <w:tr2bl w:val="nil"/>
            </w:tcBorders>
            <w:vAlign w:val="center"/>
          </w:tcPr>
          <w:p>
            <w:pPr>
              <w:rPr>
                <w:color w:val="FF0000"/>
                <w:sz w:val="21"/>
                <w:szCs w:val="21"/>
              </w:rPr>
            </w:pPr>
            <w:r>
              <w:rPr>
                <w:rFonts w:hint="eastAsia"/>
                <w:color w:val="FF0000"/>
                <w:sz w:val="21"/>
                <w:szCs w:val="21"/>
              </w:rPr>
              <w:t>饮用水水源保护区</w:t>
            </w:r>
            <w:r>
              <w:rPr>
                <w:rFonts w:hint="eastAsia"/>
                <w:color w:val="FF0000"/>
                <w:sz w:val="21"/>
                <w:szCs w:val="21"/>
              </w:rPr>
              <w:sym w:font="Wingdings 2" w:char="00A3"/>
            </w:r>
            <w:r>
              <w:rPr>
                <w:rFonts w:hint="eastAsia"/>
                <w:color w:val="FF0000"/>
                <w:sz w:val="21"/>
                <w:szCs w:val="21"/>
              </w:rPr>
              <w:t>； 饮用水取水口</w:t>
            </w:r>
            <w:r>
              <w:rPr>
                <w:rFonts w:hint="eastAsia"/>
                <w:color w:val="FF0000"/>
                <w:sz w:val="21"/>
                <w:szCs w:val="21"/>
              </w:rPr>
              <w:sym w:font="Wingdings 2" w:char="00A3"/>
            </w:r>
            <w:r>
              <w:rPr>
                <w:rFonts w:hint="eastAsia"/>
                <w:color w:val="FF0000"/>
                <w:sz w:val="21"/>
                <w:szCs w:val="21"/>
              </w:rPr>
              <w:t>； 涉水的自然保护区</w:t>
            </w:r>
            <w:r>
              <w:rPr>
                <w:rFonts w:hint="eastAsia"/>
                <w:color w:val="FF0000"/>
                <w:sz w:val="21"/>
                <w:szCs w:val="21"/>
              </w:rPr>
              <w:sym w:font="Wingdings 2" w:char="00A3"/>
            </w:r>
            <w:r>
              <w:rPr>
                <w:rFonts w:hint="eastAsia"/>
                <w:color w:val="FF0000"/>
                <w:sz w:val="21"/>
                <w:szCs w:val="21"/>
              </w:rPr>
              <w:t>； 重要湿地</w:t>
            </w:r>
            <w:r>
              <w:rPr>
                <w:rFonts w:hint="eastAsia"/>
                <w:color w:val="FF0000"/>
                <w:sz w:val="21"/>
                <w:szCs w:val="21"/>
              </w:rPr>
              <w:sym w:font="Wingdings 2" w:char="00A3"/>
            </w:r>
            <w:r>
              <w:rPr>
                <w:rFonts w:hint="eastAsia"/>
                <w:color w:val="FF0000"/>
                <w:sz w:val="21"/>
                <w:szCs w:val="21"/>
              </w:rPr>
              <w:t>；</w:t>
            </w:r>
          </w:p>
          <w:p>
            <w:pPr>
              <w:rPr>
                <w:color w:val="FF0000"/>
                <w:sz w:val="21"/>
                <w:szCs w:val="21"/>
              </w:rPr>
            </w:pPr>
            <w:r>
              <w:rPr>
                <w:rFonts w:hint="eastAsia"/>
                <w:color w:val="FF0000"/>
                <w:sz w:val="21"/>
                <w:szCs w:val="21"/>
              </w:rPr>
              <w:t>重点保护与珍稀水生生物的栖息地</w:t>
            </w:r>
            <w:r>
              <w:rPr>
                <w:rFonts w:hint="eastAsia"/>
                <w:color w:val="FF0000"/>
                <w:sz w:val="21"/>
                <w:szCs w:val="21"/>
              </w:rPr>
              <w:sym w:font="Wingdings 2" w:char="00A3"/>
            </w:r>
            <w:r>
              <w:rPr>
                <w:rFonts w:hint="eastAsia"/>
                <w:color w:val="FF0000"/>
                <w:sz w:val="21"/>
                <w:szCs w:val="21"/>
              </w:rPr>
              <w:t>；重要水生生物的自然产卵场及索饵场、越冬场和洄游通道、天然渔场等渔业水体</w:t>
            </w:r>
            <w:r>
              <w:rPr>
                <w:rFonts w:hint="eastAsia"/>
                <w:color w:val="FF0000"/>
                <w:sz w:val="21"/>
                <w:szCs w:val="21"/>
              </w:rPr>
              <w:sym w:font="Wingdings 2" w:char="00A3"/>
            </w:r>
            <w:r>
              <w:rPr>
                <w:rFonts w:hint="eastAsia"/>
                <w:color w:val="FF0000"/>
                <w:sz w:val="21"/>
                <w:szCs w:val="21"/>
              </w:rPr>
              <w:t>； 涉水的风景名胜区</w:t>
            </w:r>
            <w:r>
              <w:rPr>
                <w:rFonts w:hint="eastAsia"/>
                <w:color w:val="FF0000"/>
                <w:sz w:val="21"/>
                <w:szCs w:val="21"/>
              </w:rPr>
              <w:sym w:font="Wingdings 2" w:char="00A3"/>
            </w:r>
            <w:r>
              <w:rPr>
                <w:rFonts w:hint="eastAsia"/>
                <w:color w:val="FF0000"/>
                <w:sz w:val="21"/>
                <w:szCs w:val="21"/>
              </w:rPr>
              <w:t>；其他</w:t>
            </w:r>
            <w:r>
              <w:rPr>
                <w:rFonts w:hint="eastAsia"/>
                <w:color w:val="FF0000"/>
                <w:sz w:val="21"/>
                <w:szCs w:val="21"/>
              </w:rPr>
              <w:sym w:font="Wingdings 2" w:char="00A3"/>
            </w:r>
            <w:r>
              <w:rPr>
                <w:rFonts w:hint="eastAsia"/>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影响途径</w:t>
            </w:r>
          </w:p>
        </w:tc>
        <w:tc>
          <w:tcPr>
            <w:tcW w:w="3385" w:type="dxa"/>
            <w:gridSpan w:val="7"/>
            <w:tcBorders>
              <w:tl2br w:val="nil"/>
              <w:tr2bl w:val="nil"/>
            </w:tcBorders>
            <w:vAlign w:val="center"/>
          </w:tcPr>
          <w:p>
            <w:pPr>
              <w:jc w:val="center"/>
              <w:rPr>
                <w:color w:val="FF0000"/>
                <w:sz w:val="21"/>
                <w:szCs w:val="21"/>
              </w:rPr>
            </w:pPr>
            <w:r>
              <w:rPr>
                <w:rFonts w:hint="eastAsia"/>
                <w:color w:val="FF0000"/>
                <w:sz w:val="21"/>
                <w:szCs w:val="21"/>
              </w:rPr>
              <w:t>水污染影响型</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3385" w:type="dxa"/>
            <w:gridSpan w:val="7"/>
            <w:tcBorders>
              <w:tl2br w:val="nil"/>
              <w:tr2bl w:val="nil"/>
            </w:tcBorders>
            <w:vAlign w:val="center"/>
          </w:tcPr>
          <w:p>
            <w:pPr>
              <w:rPr>
                <w:color w:val="FF0000"/>
                <w:sz w:val="21"/>
                <w:szCs w:val="21"/>
              </w:rPr>
            </w:pPr>
            <w:r>
              <w:rPr>
                <w:rFonts w:hint="eastAsia"/>
                <w:color w:val="FF0000"/>
                <w:sz w:val="21"/>
                <w:szCs w:val="21"/>
              </w:rPr>
              <w:t>直接排放</w:t>
            </w:r>
            <w:r>
              <w:rPr>
                <w:rFonts w:hint="eastAsia"/>
                <w:color w:val="FF0000"/>
                <w:sz w:val="21"/>
                <w:szCs w:val="21"/>
              </w:rPr>
              <w:sym w:font="Wingdings 2" w:char="00A3"/>
            </w:r>
            <w:r>
              <w:rPr>
                <w:rFonts w:hint="eastAsia"/>
                <w:color w:val="FF0000"/>
                <w:sz w:val="21"/>
                <w:szCs w:val="21"/>
              </w:rPr>
              <w:t>；间接排放</w:t>
            </w:r>
            <w:r>
              <w:rPr>
                <w:rFonts w:hint="eastAsia"/>
                <w:color w:val="FF0000"/>
                <w:sz w:val="21"/>
                <w:szCs w:val="21"/>
              </w:rPr>
              <w:sym w:font="Wingdings 2" w:char="00A3"/>
            </w:r>
            <w:r>
              <w:rPr>
                <w:rFonts w:hint="eastAsia"/>
                <w:color w:val="FF0000"/>
                <w:sz w:val="21"/>
                <w:szCs w:val="21"/>
              </w:rPr>
              <w:t xml:space="preserve">；其他 </w:t>
            </w:r>
            <w:r>
              <w:rPr>
                <w:rFonts w:hint="eastAsia"/>
                <w:color w:val="FF0000"/>
                <w:sz w:val="21"/>
                <w:szCs w:val="21"/>
              </w:rPr>
              <w:sym w:font="Wingdings 2" w:char="0052"/>
            </w:r>
            <w:r>
              <w:rPr>
                <w:rFonts w:hint="eastAsia"/>
                <w:color w:val="FF0000"/>
                <w:sz w:val="21"/>
                <w:szCs w:val="21"/>
              </w:rPr>
              <w:t>；</w:t>
            </w:r>
          </w:p>
        </w:tc>
        <w:tc>
          <w:tcPr>
            <w:tcW w:w="3930" w:type="dxa"/>
            <w:gridSpan w:val="7"/>
            <w:tcBorders>
              <w:tl2br w:val="nil"/>
              <w:tr2bl w:val="nil"/>
            </w:tcBorders>
            <w:vAlign w:val="center"/>
          </w:tcPr>
          <w:p>
            <w:pPr>
              <w:rPr>
                <w:color w:val="FF0000"/>
                <w:sz w:val="21"/>
                <w:szCs w:val="21"/>
              </w:rPr>
            </w:pPr>
            <w:r>
              <w:rPr>
                <w:rFonts w:hint="eastAsia"/>
                <w:color w:val="FF0000"/>
                <w:sz w:val="21"/>
                <w:szCs w:val="21"/>
              </w:rPr>
              <w:t>水温</w:t>
            </w:r>
            <w:r>
              <w:rPr>
                <w:rFonts w:hint="eastAsia"/>
                <w:color w:val="FF0000"/>
                <w:sz w:val="21"/>
                <w:szCs w:val="21"/>
              </w:rPr>
              <w:sym w:font="Wingdings 2" w:char="00A3"/>
            </w:r>
            <w:r>
              <w:rPr>
                <w:rFonts w:hint="eastAsia"/>
                <w:color w:val="FF0000"/>
                <w:sz w:val="21"/>
                <w:szCs w:val="21"/>
              </w:rPr>
              <w:t>；径流</w:t>
            </w:r>
            <w:r>
              <w:rPr>
                <w:rFonts w:hint="eastAsia"/>
                <w:color w:val="FF0000"/>
                <w:sz w:val="21"/>
                <w:szCs w:val="21"/>
              </w:rPr>
              <w:sym w:font="Wingdings 2" w:char="00A3"/>
            </w:r>
            <w:r>
              <w:rPr>
                <w:rFonts w:hint="eastAsia"/>
                <w:color w:val="FF0000"/>
                <w:sz w:val="21"/>
                <w:szCs w:val="21"/>
              </w:rPr>
              <w:t>；水域面积</w:t>
            </w:r>
            <w:r>
              <w:rPr>
                <w:rFonts w:hint="eastAsia"/>
                <w:color w:val="FF0000"/>
                <w:sz w:val="21"/>
                <w:szCs w:val="21"/>
              </w:rPr>
              <w:sym w:font="Wingdings 2" w:char="00A3"/>
            </w:r>
            <w:r>
              <w:rPr>
                <w:rFonts w:hint="eastAsia"/>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影响因子</w:t>
            </w:r>
          </w:p>
        </w:tc>
        <w:tc>
          <w:tcPr>
            <w:tcW w:w="3385" w:type="dxa"/>
            <w:gridSpan w:val="7"/>
            <w:tcBorders>
              <w:tl2br w:val="nil"/>
              <w:tr2bl w:val="nil"/>
            </w:tcBorders>
            <w:vAlign w:val="center"/>
          </w:tcPr>
          <w:p>
            <w:pPr>
              <w:rPr>
                <w:color w:val="FF0000"/>
                <w:sz w:val="21"/>
                <w:szCs w:val="21"/>
              </w:rPr>
            </w:pPr>
            <w:r>
              <w:rPr>
                <w:rFonts w:hint="eastAsia"/>
                <w:color w:val="FF0000"/>
                <w:sz w:val="21"/>
                <w:szCs w:val="21"/>
              </w:rPr>
              <w:t>持久性污染物</w:t>
            </w:r>
            <w:r>
              <w:rPr>
                <w:rFonts w:hint="eastAsia"/>
                <w:color w:val="FF0000"/>
                <w:sz w:val="21"/>
                <w:szCs w:val="21"/>
              </w:rPr>
              <w:sym w:font="Wingdings 2" w:char="00A3"/>
            </w:r>
            <w:r>
              <w:rPr>
                <w:rFonts w:hint="eastAsia"/>
                <w:color w:val="FF0000"/>
                <w:sz w:val="21"/>
                <w:szCs w:val="21"/>
              </w:rPr>
              <w:t xml:space="preserve">； 有毒有害污染物 </w:t>
            </w:r>
            <w:r>
              <w:rPr>
                <w:rFonts w:hint="eastAsia"/>
                <w:color w:val="FF0000"/>
                <w:sz w:val="21"/>
                <w:szCs w:val="21"/>
              </w:rPr>
              <w:sym w:font="Wingdings 2" w:char="0052"/>
            </w:r>
            <w:r>
              <w:rPr>
                <w:rFonts w:hint="eastAsia"/>
                <w:color w:val="FF0000"/>
                <w:sz w:val="21"/>
                <w:szCs w:val="21"/>
              </w:rPr>
              <w:t>；非持久性污染物</w:t>
            </w:r>
            <w:r>
              <w:rPr>
                <w:rFonts w:hint="eastAsia"/>
                <w:color w:val="FF0000"/>
                <w:sz w:val="21"/>
                <w:szCs w:val="21"/>
              </w:rPr>
              <w:sym w:font="Wingdings 2" w:char="0052"/>
            </w:r>
            <w:r>
              <w:rPr>
                <w:rFonts w:hint="eastAsia"/>
                <w:color w:val="FF0000"/>
                <w:sz w:val="21"/>
                <w:szCs w:val="21"/>
              </w:rPr>
              <w:t>；</w:t>
            </w:r>
          </w:p>
          <w:p>
            <w:pPr>
              <w:rPr>
                <w:color w:val="FF0000"/>
                <w:sz w:val="21"/>
                <w:szCs w:val="21"/>
              </w:rPr>
            </w:pPr>
            <w:r>
              <w:rPr>
                <w:rFonts w:ascii="Times New Roman" w:hAnsi="Times New Roman" w:cs="Times New Roman"/>
                <w:color w:val="FF0000"/>
                <w:sz w:val="21"/>
                <w:szCs w:val="21"/>
              </w:rPr>
              <w:t>pH</w:t>
            </w:r>
            <w:r>
              <w:rPr>
                <w:rFonts w:hint="eastAsia"/>
                <w:color w:val="FF0000"/>
                <w:sz w:val="21"/>
                <w:szCs w:val="21"/>
              </w:rPr>
              <w:t>值</w:t>
            </w:r>
            <w:r>
              <w:rPr>
                <w:rFonts w:hint="eastAsia"/>
                <w:color w:val="FF0000"/>
                <w:sz w:val="21"/>
                <w:szCs w:val="21"/>
              </w:rPr>
              <w:sym w:font="Wingdings 2" w:char="00A3"/>
            </w:r>
            <w:r>
              <w:rPr>
                <w:rFonts w:hint="eastAsia"/>
                <w:color w:val="FF0000"/>
                <w:sz w:val="21"/>
                <w:szCs w:val="21"/>
              </w:rPr>
              <w:t>；热污染</w:t>
            </w:r>
            <w:r>
              <w:rPr>
                <w:rFonts w:hint="eastAsia"/>
                <w:color w:val="FF0000"/>
                <w:sz w:val="21"/>
                <w:szCs w:val="21"/>
              </w:rPr>
              <w:sym w:font="Wingdings 2" w:char="00A3"/>
            </w:r>
            <w:r>
              <w:rPr>
                <w:rFonts w:hint="eastAsia"/>
                <w:color w:val="FF0000"/>
                <w:sz w:val="21"/>
                <w:szCs w:val="21"/>
              </w:rPr>
              <w:t>；富营养化</w:t>
            </w:r>
            <w:r>
              <w:rPr>
                <w:rFonts w:hint="eastAsia"/>
                <w:color w:val="FF0000"/>
                <w:sz w:val="21"/>
                <w:szCs w:val="21"/>
              </w:rPr>
              <w:sym w:font="Wingdings 2" w:char="00A3"/>
            </w:r>
            <w:r>
              <w:rPr>
                <w:rFonts w:hint="eastAsia"/>
                <w:color w:val="FF0000"/>
                <w:sz w:val="21"/>
                <w:szCs w:val="21"/>
              </w:rPr>
              <w:t>； 其他</w:t>
            </w:r>
            <w:r>
              <w:rPr>
                <w:rFonts w:hint="eastAsia"/>
                <w:color w:val="FF0000"/>
                <w:sz w:val="21"/>
                <w:szCs w:val="21"/>
              </w:rPr>
              <w:sym w:font="Wingdings 2" w:char="00A3"/>
            </w:r>
            <w:r>
              <w:rPr>
                <w:rFonts w:hint="eastAsia"/>
                <w:color w:val="FF0000"/>
                <w:sz w:val="21"/>
                <w:szCs w:val="21"/>
              </w:rPr>
              <w:t>；</w:t>
            </w:r>
          </w:p>
        </w:tc>
        <w:tc>
          <w:tcPr>
            <w:tcW w:w="3930" w:type="dxa"/>
            <w:gridSpan w:val="7"/>
            <w:tcBorders>
              <w:tl2br w:val="nil"/>
              <w:tr2bl w:val="nil"/>
            </w:tcBorders>
            <w:vAlign w:val="center"/>
          </w:tcPr>
          <w:p>
            <w:pPr>
              <w:rPr>
                <w:color w:val="FF0000"/>
                <w:sz w:val="21"/>
                <w:szCs w:val="21"/>
              </w:rPr>
            </w:pPr>
            <w:r>
              <w:rPr>
                <w:rFonts w:hint="eastAsia"/>
                <w:color w:val="FF0000"/>
                <w:sz w:val="21"/>
                <w:szCs w:val="21"/>
              </w:rPr>
              <w:t>水温</w:t>
            </w:r>
            <w:r>
              <w:rPr>
                <w:rFonts w:hint="eastAsia"/>
                <w:color w:val="FF0000"/>
                <w:sz w:val="21"/>
                <w:szCs w:val="21"/>
              </w:rPr>
              <w:sym w:font="Wingdings 2" w:char="00A3"/>
            </w:r>
            <w:r>
              <w:rPr>
                <w:rFonts w:hint="eastAsia"/>
                <w:color w:val="FF0000"/>
                <w:sz w:val="21"/>
                <w:szCs w:val="21"/>
              </w:rPr>
              <w:t>；水位（水深）</w:t>
            </w:r>
            <w:r>
              <w:rPr>
                <w:rFonts w:hint="eastAsia"/>
                <w:color w:val="FF0000"/>
                <w:sz w:val="21"/>
                <w:szCs w:val="21"/>
              </w:rPr>
              <w:sym w:font="Wingdings 2" w:char="00A3"/>
            </w:r>
            <w:r>
              <w:rPr>
                <w:rFonts w:hint="eastAsia"/>
                <w:color w:val="FF0000"/>
                <w:sz w:val="21"/>
                <w:szCs w:val="21"/>
              </w:rPr>
              <w:t>；流速</w:t>
            </w:r>
            <w:r>
              <w:rPr>
                <w:rFonts w:hint="eastAsia"/>
                <w:color w:val="FF0000"/>
                <w:sz w:val="21"/>
                <w:szCs w:val="21"/>
              </w:rPr>
              <w:sym w:font="Wingdings 2" w:char="00A3"/>
            </w:r>
            <w:r>
              <w:rPr>
                <w:rFonts w:hint="eastAsia"/>
                <w:color w:val="FF0000"/>
                <w:sz w:val="21"/>
                <w:szCs w:val="21"/>
              </w:rPr>
              <w:t xml:space="preserve">；流量 </w:t>
            </w:r>
            <w:r>
              <w:rPr>
                <w:rFonts w:hint="eastAsia"/>
                <w:color w:val="FF0000"/>
                <w:sz w:val="21"/>
                <w:szCs w:val="21"/>
              </w:rPr>
              <w:sym w:font="Wingdings 2" w:char="00A3"/>
            </w:r>
            <w:r>
              <w:rPr>
                <w:rFonts w:hint="eastAsia"/>
                <w:color w:val="FF0000"/>
                <w:sz w:val="21"/>
                <w:szCs w:val="21"/>
              </w:rPr>
              <w:t>；其他</w:t>
            </w:r>
            <w:r>
              <w:rPr>
                <w:rFonts w:hint="eastAsia"/>
                <w:color w:val="FF0000"/>
                <w:sz w:val="21"/>
                <w:szCs w:val="21"/>
              </w:rPr>
              <w:sym w:font="Wingdings 2" w:char="00A3"/>
            </w:r>
            <w:r>
              <w:rPr>
                <w:rFonts w:hint="eastAsia"/>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642" w:type="dxa"/>
            <w:gridSpan w:val="2"/>
            <w:vMerge w:val="restart"/>
            <w:tcBorders>
              <w:tl2br w:val="nil"/>
              <w:tr2bl w:val="nil"/>
            </w:tcBorders>
            <w:vAlign w:val="center"/>
          </w:tcPr>
          <w:p>
            <w:pPr>
              <w:jc w:val="center"/>
              <w:rPr>
                <w:color w:val="FF0000"/>
                <w:sz w:val="21"/>
                <w:szCs w:val="21"/>
              </w:rPr>
            </w:pPr>
            <w:r>
              <w:rPr>
                <w:rFonts w:hint="eastAsia"/>
                <w:color w:val="FF0000"/>
                <w:sz w:val="21"/>
                <w:szCs w:val="21"/>
              </w:rPr>
              <w:t>评价等级</w:t>
            </w:r>
          </w:p>
        </w:tc>
        <w:tc>
          <w:tcPr>
            <w:tcW w:w="3385" w:type="dxa"/>
            <w:gridSpan w:val="7"/>
            <w:tcBorders>
              <w:tl2br w:val="nil"/>
              <w:tr2bl w:val="nil"/>
            </w:tcBorders>
            <w:vAlign w:val="center"/>
          </w:tcPr>
          <w:p>
            <w:pPr>
              <w:jc w:val="center"/>
              <w:rPr>
                <w:color w:val="FF0000"/>
                <w:sz w:val="21"/>
                <w:szCs w:val="21"/>
              </w:rPr>
            </w:pPr>
            <w:r>
              <w:rPr>
                <w:rFonts w:hint="eastAsia"/>
                <w:color w:val="FF0000"/>
                <w:sz w:val="21"/>
                <w:szCs w:val="21"/>
              </w:rPr>
              <w:t>水污染影响型</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642" w:type="dxa"/>
            <w:gridSpan w:val="2"/>
            <w:vMerge w:val="continue"/>
            <w:tcBorders>
              <w:tl2br w:val="nil"/>
              <w:tr2bl w:val="nil"/>
            </w:tcBorders>
            <w:vAlign w:val="center"/>
          </w:tcPr>
          <w:p>
            <w:pPr>
              <w:jc w:val="center"/>
              <w:rPr>
                <w:color w:val="FF0000"/>
                <w:sz w:val="21"/>
                <w:szCs w:val="21"/>
              </w:rPr>
            </w:pPr>
          </w:p>
        </w:tc>
        <w:tc>
          <w:tcPr>
            <w:tcW w:w="3385" w:type="dxa"/>
            <w:gridSpan w:val="7"/>
            <w:tcBorders>
              <w:tl2br w:val="nil"/>
              <w:tr2bl w:val="nil"/>
            </w:tcBorders>
            <w:vAlign w:val="center"/>
          </w:tcPr>
          <w:p>
            <w:pPr>
              <w:rPr>
                <w:color w:val="FF0000"/>
                <w:sz w:val="21"/>
                <w:szCs w:val="21"/>
              </w:rPr>
            </w:pPr>
            <w:r>
              <w:rPr>
                <w:rFonts w:ascii="Times New Roman" w:hAnsi="Times New Roman" w:cs="Times New Roman"/>
                <w:color w:val="FF0000"/>
                <w:sz w:val="21"/>
                <w:szCs w:val="21"/>
              </w:rPr>
              <w:t>一级</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；二级</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 xml:space="preserve">；三级A </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 xml:space="preserve">；三级B </w:t>
            </w:r>
            <w:r>
              <w:rPr>
                <w:rFonts w:ascii="Times New Roman" w:hAnsi="Times New Roman" w:cs="Times New Roman"/>
                <w:color w:val="FF0000"/>
                <w:sz w:val="21"/>
                <w:szCs w:val="21"/>
              </w:rPr>
              <w:sym w:font="Wingdings 2" w:char="0052"/>
            </w:r>
          </w:p>
        </w:tc>
        <w:tc>
          <w:tcPr>
            <w:tcW w:w="3930" w:type="dxa"/>
            <w:gridSpan w:val="7"/>
            <w:tcBorders>
              <w:tl2br w:val="nil"/>
              <w:tr2bl w:val="nil"/>
            </w:tcBorders>
            <w:vAlign w:val="center"/>
          </w:tcPr>
          <w:p>
            <w:pPr>
              <w:rPr>
                <w:color w:val="FF0000"/>
                <w:sz w:val="21"/>
                <w:szCs w:val="21"/>
              </w:rPr>
            </w:pPr>
            <w:r>
              <w:rPr>
                <w:rFonts w:ascii="Times New Roman" w:hAnsi="Times New Roman" w:cs="Times New Roman"/>
                <w:color w:val="FF0000"/>
                <w:sz w:val="21"/>
                <w:szCs w:val="21"/>
              </w:rPr>
              <w:t>一级</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；二级</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；三级</w:t>
            </w:r>
            <w:r>
              <w:rPr>
                <w:rFonts w:ascii="Times New Roman" w:hAnsi="Times New Roman" w:cs="Times New Roman"/>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366" w:type="dxa"/>
            <w:vMerge w:val="restart"/>
            <w:tcBorders>
              <w:tl2br w:val="nil"/>
              <w:tr2bl w:val="nil"/>
            </w:tcBorders>
            <w:vAlign w:val="center"/>
          </w:tcPr>
          <w:p>
            <w:pPr>
              <w:jc w:val="center"/>
              <w:rPr>
                <w:color w:val="FF0000"/>
                <w:sz w:val="21"/>
                <w:szCs w:val="21"/>
              </w:rPr>
            </w:pPr>
            <w:r>
              <w:rPr>
                <w:rFonts w:hint="eastAsia"/>
                <w:color w:val="FF0000"/>
                <w:sz w:val="21"/>
                <w:szCs w:val="21"/>
              </w:rPr>
              <w:t>现状调查</w:t>
            </w: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区域污染源</w:t>
            </w:r>
          </w:p>
        </w:tc>
        <w:tc>
          <w:tcPr>
            <w:tcW w:w="3385" w:type="dxa"/>
            <w:gridSpan w:val="7"/>
            <w:tcBorders>
              <w:tl2br w:val="nil"/>
              <w:tr2bl w:val="nil"/>
            </w:tcBorders>
            <w:vAlign w:val="center"/>
          </w:tcPr>
          <w:p>
            <w:pPr>
              <w:jc w:val="center"/>
              <w:rPr>
                <w:color w:val="FF0000"/>
                <w:sz w:val="21"/>
                <w:szCs w:val="21"/>
              </w:rPr>
            </w:pPr>
            <w:r>
              <w:rPr>
                <w:rFonts w:hint="eastAsia"/>
                <w:color w:val="FF0000"/>
                <w:sz w:val="21"/>
                <w:szCs w:val="21"/>
              </w:rPr>
              <w:t>调查项目</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1682" w:type="dxa"/>
            <w:gridSpan w:val="3"/>
            <w:tcBorders>
              <w:tl2br w:val="nil"/>
              <w:tr2bl w:val="nil"/>
            </w:tcBorders>
            <w:vAlign w:val="center"/>
          </w:tcPr>
          <w:p>
            <w:pPr>
              <w:rPr>
                <w:rFonts w:ascii="Times New Roman" w:hAnsi="Times New Roman" w:cs="Times New Roman"/>
                <w:color w:val="FF0000"/>
                <w:sz w:val="21"/>
                <w:szCs w:val="21"/>
              </w:rPr>
            </w:pPr>
            <w:r>
              <w:rPr>
                <w:rFonts w:hint="eastAsia" w:ascii="Times New Roman" w:hAnsi="Times New Roman" w:cs="Times New Roman"/>
                <w:color w:val="FF0000"/>
                <w:sz w:val="21"/>
                <w:szCs w:val="21"/>
              </w:rPr>
              <w:t>已建</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在建</w:t>
            </w:r>
            <w:r>
              <w:rPr>
                <w:rFonts w:ascii="Times New Roman" w:hAnsi="Times New Roman" w:cs="Times New Roman"/>
                <w:color w:val="FF0000"/>
                <w:sz w:val="21"/>
                <w:szCs w:val="21"/>
              </w:rPr>
              <w:t xml:space="preserve"> </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拟建</w:t>
            </w:r>
            <w:r>
              <w:rPr>
                <w:rFonts w:ascii="Times New Roman" w:hAnsi="Times New Roman" w:cs="Times New Roman"/>
                <w:color w:val="FF0000"/>
                <w:sz w:val="21"/>
                <w:szCs w:val="21"/>
              </w:rPr>
              <w:t xml:space="preserve"> </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 xml:space="preserve">； </w:t>
            </w:r>
          </w:p>
          <w:p>
            <w:pPr>
              <w:rPr>
                <w:color w:val="FF0000"/>
                <w:sz w:val="21"/>
                <w:szCs w:val="21"/>
              </w:rPr>
            </w:pPr>
            <w:r>
              <w:rPr>
                <w:rFonts w:hint="eastAsia" w:ascii="Times New Roman" w:hAnsi="Times New Roman" w:cs="Times New Roman"/>
                <w:color w:val="FF0000"/>
                <w:sz w:val="21"/>
                <w:szCs w:val="21"/>
              </w:rPr>
              <w:t>其他</w:t>
            </w:r>
            <w:r>
              <w:rPr>
                <w:rFonts w:ascii="Times New Roman" w:hAnsi="Times New Roman" w:cs="Times New Roman"/>
                <w:color w:val="FF0000"/>
                <w:sz w:val="21"/>
                <w:szCs w:val="21"/>
              </w:rPr>
              <w:sym w:font="Wingdings 2" w:char="00A3"/>
            </w:r>
          </w:p>
        </w:tc>
        <w:tc>
          <w:tcPr>
            <w:tcW w:w="1703" w:type="dxa"/>
            <w:gridSpan w:val="4"/>
            <w:tcBorders>
              <w:tl2br w:val="nil"/>
              <w:tr2bl w:val="nil"/>
            </w:tcBorders>
            <w:vAlign w:val="center"/>
          </w:tcPr>
          <w:p>
            <w:pPr>
              <w:rPr>
                <w:rFonts w:ascii="Times New Roman" w:hAnsi="Times New Roman" w:cs="Times New Roman"/>
                <w:color w:val="FF0000"/>
                <w:sz w:val="21"/>
                <w:szCs w:val="21"/>
              </w:rPr>
            </w:pPr>
            <w:r>
              <w:rPr>
                <w:rFonts w:hint="eastAsia" w:ascii="Times New Roman" w:hAnsi="Times New Roman" w:cs="Times New Roman"/>
                <w:color w:val="FF0000"/>
                <w:sz w:val="21"/>
                <w:szCs w:val="21"/>
              </w:rPr>
              <w:t>拟替代的污染源</w:t>
            </w:r>
            <w:r>
              <w:rPr>
                <w:rFonts w:ascii="Times New Roman" w:hAnsi="Times New Roman" w:cs="Times New Roman"/>
                <w:color w:val="FF0000"/>
                <w:sz w:val="21"/>
                <w:szCs w:val="21"/>
              </w:rPr>
              <w:t xml:space="preserve"> </w:t>
            </w:r>
            <w:r>
              <w:rPr>
                <w:rFonts w:ascii="Times New Roman" w:hAnsi="Times New Roman" w:cs="Times New Roman"/>
                <w:color w:val="FF0000"/>
                <w:sz w:val="21"/>
                <w:szCs w:val="21"/>
              </w:rPr>
              <w:sym w:font="Wingdings 2" w:char="00A3"/>
            </w:r>
          </w:p>
        </w:tc>
        <w:tc>
          <w:tcPr>
            <w:tcW w:w="3930" w:type="dxa"/>
            <w:gridSpan w:val="7"/>
            <w:tcBorders>
              <w:tl2br w:val="nil"/>
              <w:tr2bl w:val="nil"/>
            </w:tcBorders>
            <w:vAlign w:val="center"/>
          </w:tcPr>
          <w:p>
            <w:pPr>
              <w:rPr>
                <w:rFonts w:ascii="Times New Roman" w:hAnsi="Times New Roman" w:cs="Times New Roman"/>
                <w:color w:val="FF0000"/>
                <w:sz w:val="21"/>
                <w:szCs w:val="21"/>
              </w:rPr>
            </w:pPr>
            <w:r>
              <w:rPr>
                <w:rFonts w:hint="eastAsia" w:ascii="Times New Roman" w:hAnsi="Times New Roman" w:cs="Times New Roman"/>
                <w:color w:val="FF0000"/>
                <w:sz w:val="21"/>
                <w:szCs w:val="21"/>
              </w:rPr>
              <w:t>排污许可证</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环评</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 xml:space="preserve">； </w:t>
            </w:r>
            <w:r>
              <w:rPr>
                <w:rFonts w:hint="eastAsia" w:ascii="Times New Roman" w:hAnsi="Times New Roman" w:cs="Times New Roman"/>
                <w:color w:val="FF0000"/>
                <w:sz w:val="21"/>
                <w:szCs w:val="21"/>
              </w:rPr>
              <w:t>环保验收</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 xml:space="preserve"> 既有实测</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现场监测</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p>
          <w:p>
            <w:pPr>
              <w:rPr>
                <w:color w:val="FF0000"/>
                <w:sz w:val="21"/>
                <w:szCs w:val="21"/>
              </w:rPr>
            </w:pPr>
            <w:r>
              <w:rPr>
                <w:rFonts w:hint="eastAsia" w:ascii="Times New Roman" w:hAnsi="Times New Roman" w:cs="Times New Roman"/>
                <w:color w:val="FF0000"/>
                <w:sz w:val="21"/>
                <w:szCs w:val="21"/>
              </w:rPr>
              <w:t>入河排放口数据</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其他</w:t>
            </w:r>
            <w:r>
              <w:rPr>
                <w:rFonts w:ascii="Times New Roman" w:hAnsi="Times New Roman" w:cs="Times New Roman"/>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受影响水体水环境质量</w:t>
            </w:r>
          </w:p>
        </w:tc>
        <w:tc>
          <w:tcPr>
            <w:tcW w:w="3385" w:type="dxa"/>
            <w:gridSpan w:val="7"/>
            <w:tcBorders>
              <w:tl2br w:val="nil"/>
              <w:tr2bl w:val="nil"/>
            </w:tcBorders>
            <w:vAlign w:val="center"/>
          </w:tcPr>
          <w:p>
            <w:pPr>
              <w:jc w:val="center"/>
              <w:rPr>
                <w:color w:val="FF0000"/>
                <w:sz w:val="21"/>
                <w:szCs w:val="21"/>
              </w:rPr>
            </w:pPr>
            <w:r>
              <w:rPr>
                <w:rFonts w:hint="eastAsia"/>
                <w:color w:val="FF0000"/>
                <w:sz w:val="21"/>
                <w:szCs w:val="21"/>
              </w:rPr>
              <w:t>调查时期</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3385" w:type="dxa"/>
            <w:gridSpan w:val="7"/>
            <w:tcBorders>
              <w:tl2br w:val="nil"/>
              <w:tr2bl w:val="nil"/>
            </w:tcBorders>
            <w:vAlign w:val="center"/>
          </w:tcPr>
          <w:p>
            <w:pPr>
              <w:jc w:val="left"/>
              <w:rPr>
                <w:color w:val="FF0000"/>
                <w:sz w:val="21"/>
                <w:szCs w:val="21"/>
              </w:rPr>
            </w:pPr>
            <w:r>
              <w:rPr>
                <w:rFonts w:hint="eastAsia"/>
                <w:color w:val="FF0000"/>
                <w:sz w:val="21"/>
                <w:szCs w:val="21"/>
              </w:rPr>
              <w:t>丰水期</w:t>
            </w:r>
            <w:r>
              <w:rPr>
                <w:rFonts w:hint="eastAsia"/>
                <w:color w:val="FF0000"/>
                <w:sz w:val="21"/>
                <w:szCs w:val="21"/>
              </w:rPr>
              <w:sym w:font="Wingdings 2" w:char="00A3"/>
            </w:r>
            <w:r>
              <w:rPr>
                <w:rFonts w:hint="eastAsia"/>
                <w:color w:val="FF0000"/>
                <w:sz w:val="21"/>
                <w:szCs w:val="21"/>
              </w:rPr>
              <w:t>；平水期</w:t>
            </w:r>
            <w:r>
              <w:rPr>
                <w:rFonts w:hint="eastAsia"/>
                <w:color w:val="FF0000"/>
                <w:sz w:val="21"/>
                <w:szCs w:val="21"/>
              </w:rPr>
              <w:sym w:font="Wingdings 2" w:char="00A3"/>
            </w:r>
            <w:r>
              <w:rPr>
                <w:rFonts w:hint="eastAsia"/>
                <w:color w:val="FF0000"/>
                <w:sz w:val="21"/>
                <w:szCs w:val="21"/>
              </w:rPr>
              <w:t>；枯水期</w:t>
            </w:r>
            <w:r>
              <w:rPr>
                <w:rFonts w:hint="eastAsia"/>
                <w:color w:val="FF0000"/>
                <w:sz w:val="21"/>
                <w:szCs w:val="21"/>
              </w:rPr>
              <w:sym w:font="Wingdings 2" w:char="00A3"/>
            </w:r>
            <w:r>
              <w:rPr>
                <w:rFonts w:hint="eastAsia"/>
                <w:color w:val="FF0000"/>
                <w:sz w:val="21"/>
                <w:szCs w:val="21"/>
              </w:rPr>
              <w:t>； 冰封期</w:t>
            </w:r>
            <w:r>
              <w:rPr>
                <w:rFonts w:hint="eastAsia"/>
                <w:color w:val="FF0000"/>
                <w:sz w:val="21"/>
                <w:szCs w:val="21"/>
              </w:rPr>
              <w:sym w:font="Wingdings 2" w:char="00A3"/>
            </w:r>
          </w:p>
          <w:p>
            <w:pPr>
              <w:jc w:val="left"/>
              <w:rPr>
                <w:color w:val="FF0000"/>
                <w:sz w:val="21"/>
                <w:szCs w:val="21"/>
              </w:rPr>
            </w:pPr>
            <w:r>
              <w:rPr>
                <w:rFonts w:hint="eastAsia" w:ascii="Times New Roman" w:hAnsi="Times New Roman" w:cs="Times New Roman"/>
                <w:color w:val="FF0000"/>
                <w:sz w:val="21"/>
                <w:szCs w:val="21"/>
              </w:rPr>
              <w:t>春季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夏季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秋季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冬季</w:t>
            </w:r>
            <w:r>
              <w:rPr>
                <w:rFonts w:hint="eastAsia"/>
                <w:color w:val="FF0000"/>
                <w:sz w:val="21"/>
                <w:szCs w:val="21"/>
              </w:rPr>
              <w:sym w:font="Wingdings 2" w:char="00A3"/>
            </w:r>
            <w:r>
              <w:rPr>
                <w:rFonts w:hint="eastAsia"/>
                <w:color w:val="FF0000"/>
                <w:sz w:val="21"/>
                <w:szCs w:val="21"/>
              </w:rPr>
              <w:t>；</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生态环境保护主管部门</w:t>
            </w:r>
            <w:r>
              <w:rPr>
                <w:rFonts w:hint="eastAsia"/>
                <w:color w:val="FF0000"/>
                <w:sz w:val="21"/>
                <w:szCs w:val="21"/>
              </w:rPr>
              <w:sym w:font="Wingdings 2" w:char="00A3"/>
            </w:r>
            <w:r>
              <w:rPr>
                <w:rFonts w:hint="eastAsia"/>
                <w:color w:val="FF0000"/>
                <w:sz w:val="21"/>
                <w:szCs w:val="21"/>
              </w:rPr>
              <w:t>；补充监测</w:t>
            </w:r>
            <w:r>
              <w:rPr>
                <w:rFonts w:hint="eastAsia"/>
                <w:color w:val="FF0000"/>
                <w:sz w:val="21"/>
                <w:szCs w:val="21"/>
              </w:rPr>
              <w:sym w:font="Wingdings 2" w:char="0052"/>
            </w:r>
            <w:r>
              <w:rPr>
                <w:rFonts w:hint="eastAsia"/>
                <w:color w:val="FF0000"/>
                <w:sz w:val="21"/>
                <w:szCs w:val="21"/>
              </w:rPr>
              <w:t>； 其他</w:t>
            </w:r>
            <w:r>
              <w:rPr>
                <w:rFonts w:hint="eastAsia"/>
                <w:color w:val="FF0000"/>
                <w:sz w:val="21"/>
                <w:szCs w:val="21"/>
              </w:rPr>
              <w:sym w:font="Wingdings 2" w:char="00A3"/>
            </w:r>
            <w:r>
              <w:rPr>
                <w:rFonts w:hint="eastAsia"/>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区域水资源开发利用状况</w:t>
            </w:r>
          </w:p>
        </w:tc>
        <w:tc>
          <w:tcPr>
            <w:tcW w:w="7315" w:type="dxa"/>
            <w:gridSpan w:val="14"/>
            <w:tcBorders>
              <w:tl2br w:val="nil"/>
              <w:tr2bl w:val="nil"/>
            </w:tcBorders>
            <w:vAlign w:val="center"/>
          </w:tcPr>
          <w:p>
            <w:pPr>
              <w:rPr>
                <w:color w:val="FF0000"/>
                <w:sz w:val="21"/>
                <w:szCs w:val="21"/>
              </w:rPr>
            </w:pPr>
            <w:r>
              <w:rPr>
                <w:rFonts w:hint="eastAsia" w:ascii="Times New Roman" w:hAnsi="Times New Roman" w:cs="Times New Roman"/>
                <w:color w:val="FF0000"/>
                <w:sz w:val="21"/>
                <w:szCs w:val="21"/>
              </w:rPr>
              <w:t>未开发</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开发量40%以下</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cs="Times New Roman"/>
                <w:color w:val="FF0000"/>
                <w:sz w:val="21"/>
                <w:szCs w:val="21"/>
              </w:rPr>
              <w:t>开发量40%以上</w:t>
            </w:r>
            <w:r>
              <w:rPr>
                <w:rFonts w:ascii="Times New Roman" w:hAnsi="Times New Roman" w:cs="Times New Roman"/>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水文情势调查</w:t>
            </w:r>
          </w:p>
        </w:tc>
        <w:tc>
          <w:tcPr>
            <w:tcW w:w="3385" w:type="dxa"/>
            <w:gridSpan w:val="7"/>
            <w:tcBorders>
              <w:tl2br w:val="nil"/>
              <w:tr2bl w:val="nil"/>
            </w:tcBorders>
            <w:vAlign w:val="center"/>
          </w:tcPr>
          <w:p>
            <w:pPr>
              <w:jc w:val="center"/>
              <w:rPr>
                <w:color w:val="FF0000"/>
                <w:sz w:val="21"/>
                <w:szCs w:val="21"/>
              </w:rPr>
            </w:pPr>
            <w:r>
              <w:rPr>
                <w:rFonts w:hint="eastAsia"/>
                <w:color w:val="FF0000"/>
                <w:sz w:val="21"/>
                <w:szCs w:val="21"/>
              </w:rPr>
              <w:t>调查时期</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366" w:type="dxa"/>
            <w:vMerge w:val="continue"/>
            <w:tcBorders>
              <w:tl2br w:val="nil"/>
              <w:tr2bl w:val="nil"/>
            </w:tcBorders>
            <w:vAlign w:val="center"/>
          </w:tcPr>
          <w:p>
            <w:pPr>
              <w:jc w:val="cente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3385" w:type="dxa"/>
            <w:gridSpan w:val="7"/>
            <w:tcBorders>
              <w:tl2br w:val="nil"/>
              <w:tr2bl w:val="nil"/>
            </w:tcBorders>
            <w:vAlign w:val="center"/>
          </w:tcPr>
          <w:p>
            <w:pPr>
              <w:jc w:val="left"/>
              <w:rPr>
                <w:color w:val="FF0000"/>
                <w:sz w:val="21"/>
                <w:szCs w:val="21"/>
              </w:rPr>
            </w:pPr>
            <w:r>
              <w:rPr>
                <w:rFonts w:hint="eastAsia"/>
                <w:color w:val="FF0000"/>
                <w:sz w:val="21"/>
                <w:szCs w:val="21"/>
              </w:rPr>
              <w:t>丰水期</w:t>
            </w:r>
            <w:r>
              <w:rPr>
                <w:rFonts w:hint="eastAsia"/>
                <w:color w:val="FF0000"/>
                <w:sz w:val="21"/>
                <w:szCs w:val="21"/>
              </w:rPr>
              <w:sym w:font="Wingdings 2" w:char="00A3"/>
            </w:r>
            <w:r>
              <w:rPr>
                <w:rFonts w:hint="eastAsia"/>
                <w:color w:val="FF0000"/>
                <w:sz w:val="21"/>
                <w:szCs w:val="21"/>
              </w:rPr>
              <w:t>；平水期</w:t>
            </w:r>
            <w:r>
              <w:rPr>
                <w:rFonts w:hint="eastAsia"/>
                <w:color w:val="FF0000"/>
                <w:sz w:val="21"/>
                <w:szCs w:val="21"/>
              </w:rPr>
              <w:sym w:font="Wingdings 2" w:char="00A3"/>
            </w:r>
            <w:r>
              <w:rPr>
                <w:rFonts w:hint="eastAsia"/>
                <w:color w:val="FF0000"/>
                <w:sz w:val="21"/>
                <w:szCs w:val="21"/>
              </w:rPr>
              <w:t>；枯水期</w:t>
            </w:r>
            <w:r>
              <w:rPr>
                <w:rFonts w:hint="eastAsia"/>
                <w:color w:val="FF0000"/>
                <w:sz w:val="21"/>
                <w:szCs w:val="21"/>
              </w:rPr>
              <w:sym w:font="Wingdings 2" w:char="00A3"/>
            </w:r>
            <w:r>
              <w:rPr>
                <w:rFonts w:hint="eastAsia"/>
                <w:color w:val="FF0000"/>
                <w:sz w:val="21"/>
                <w:szCs w:val="21"/>
              </w:rPr>
              <w:t>； 冰封期</w:t>
            </w:r>
            <w:r>
              <w:rPr>
                <w:rFonts w:hint="eastAsia"/>
                <w:color w:val="FF0000"/>
                <w:sz w:val="21"/>
                <w:szCs w:val="21"/>
              </w:rPr>
              <w:sym w:font="Wingdings 2" w:char="00A3"/>
            </w:r>
          </w:p>
          <w:p>
            <w:pPr>
              <w:jc w:val="left"/>
              <w:rPr>
                <w:color w:val="FF0000"/>
                <w:sz w:val="21"/>
                <w:szCs w:val="21"/>
              </w:rPr>
            </w:pPr>
            <w:r>
              <w:rPr>
                <w:rFonts w:hint="eastAsia" w:ascii="Times New Roman" w:hAnsi="Times New Roman" w:cs="Times New Roman"/>
                <w:color w:val="FF0000"/>
                <w:sz w:val="21"/>
                <w:szCs w:val="21"/>
              </w:rPr>
              <w:t>春季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夏季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秋季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冬季</w:t>
            </w:r>
            <w:r>
              <w:rPr>
                <w:rFonts w:hint="eastAsia"/>
                <w:color w:val="FF0000"/>
                <w:sz w:val="21"/>
                <w:szCs w:val="21"/>
              </w:rPr>
              <w:sym w:font="Wingdings 2" w:char="00A3"/>
            </w:r>
            <w:r>
              <w:rPr>
                <w:rFonts w:hint="eastAsia"/>
                <w:color w:val="FF0000"/>
                <w:sz w:val="21"/>
                <w:szCs w:val="21"/>
              </w:rPr>
              <w:t>；</w:t>
            </w:r>
          </w:p>
        </w:tc>
        <w:tc>
          <w:tcPr>
            <w:tcW w:w="3930" w:type="dxa"/>
            <w:gridSpan w:val="7"/>
            <w:tcBorders>
              <w:tl2br w:val="nil"/>
              <w:tr2bl w:val="nil"/>
            </w:tcBorders>
            <w:vAlign w:val="center"/>
          </w:tcPr>
          <w:p>
            <w:pPr>
              <w:jc w:val="center"/>
              <w:rPr>
                <w:color w:val="FF0000"/>
                <w:sz w:val="21"/>
                <w:szCs w:val="21"/>
              </w:rPr>
            </w:pPr>
            <w:r>
              <w:rPr>
                <w:rFonts w:hint="eastAsia"/>
                <w:color w:val="FF0000"/>
                <w:sz w:val="21"/>
                <w:szCs w:val="21"/>
              </w:rPr>
              <w:t>生态环境保护主管部门</w:t>
            </w:r>
            <w:r>
              <w:rPr>
                <w:rFonts w:hint="eastAsia"/>
                <w:color w:val="FF0000"/>
                <w:sz w:val="21"/>
                <w:szCs w:val="21"/>
              </w:rPr>
              <w:sym w:font="Wingdings 2" w:char="00A3"/>
            </w:r>
            <w:r>
              <w:rPr>
                <w:rFonts w:hint="eastAsia"/>
                <w:color w:val="FF0000"/>
                <w:sz w:val="21"/>
                <w:szCs w:val="21"/>
              </w:rPr>
              <w:t>；补充监测</w:t>
            </w:r>
            <w:r>
              <w:rPr>
                <w:rFonts w:hint="eastAsia"/>
                <w:color w:val="FF0000"/>
                <w:sz w:val="21"/>
                <w:szCs w:val="21"/>
              </w:rPr>
              <w:sym w:font="Wingdings 2" w:char="00A3"/>
            </w:r>
            <w:r>
              <w:rPr>
                <w:rFonts w:hint="eastAsia"/>
                <w:color w:val="FF0000"/>
                <w:sz w:val="21"/>
                <w:szCs w:val="21"/>
              </w:rPr>
              <w:t>； 其他</w:t>
            </w:r>
            <w:r>
              <w:rPr>
                <w:rFonts w:hint="eastAsia"/>
                <w:color w:val="FF0000"/>
                <w:sz w:val="21"/>
                <w:szCs w:val="21"/>
              </w:rPr>
              <w:sym w:font="Wingdings 2" w:char="00A3"/>
            </w:r>
            <w:r>
              <w:rPr>
                <w:rFonts w:hint="eastAsia"/>
                <w:color w:val="FF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366" w:type="dxa"/>
            <w:vMerge w:val="continue"/>
            <w:tcBorders>
              <w:tl2br w:val="nil"/>
              <w:tr2bl w:val="nil"/>
            </w:tcBorders>
            <w:vAlign w:val="center"/>
          </w:tcPr>
          <w:p>
            <w:pP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补充监测</w:t>
            </w:r>
          </w:p>
        </w:tc>
        <w:tc>
          <w:tcPr>
            <w:tcW w:w="3385" w:type="dxa"/>
            <w:gridSpan w:val="7"/>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监测时期</w:t>
            </w:r>
          </w:p>
        </w:tc>
        <w:tc>
          <w:tcPr>
            <w:tcW w:w="2296"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监测因子</w:t>
            </w:r>
          </w:p>
        </w:tc>
        <w:tc>
          <w:tcPr>
            <w:tcW w:w="1634" w:type="dxa"/>
            <w:gridSpan w:val="3"/>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监测断面或点位个数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366" w:type="dxa"/>
            <w:vMerge w:val="continue"/>
            <w:tcBorders>
              <w:tl2br w:val="nil"/>
              <w:tr2bl w:val="nil"/>
            </w:tcBorders>
            <w:vAlign w:val="center"/>
          </w:tcPr>
          <w:p>
            <w:pP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3385"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color w:val="FF0000"/>
                <w:sz w:val="21"/>
                <w:szCs w:val="21"/>
              </w:rPr>
            </w:pPr>
            <w:r>
              <w:rPr>
                <w:rFonts w:hint="eastAsia"/>
                <w:color w:val="FF0000"/>
                <w:sz w:val="21"/>
                <w:szCs w:val="21"/>
              </w:rPr>
              <w:t>丰水期</w:t>
            </w:r>
            <w:r>
              <w:rPr>
                <w:rFonts w:hint="eastAsia"/>
                <w:color w:val="FF0000"/>
                <w:sz w:val="21"/>
                <w:szCs w:val="21"/>
              </w:rPr>
              <w:sym w:font="Wingdings 2" w:char="00A3"/>
            </w:r>
            <w:r>
              <w:rPr>
                <w:rFonts w:hint="eastAsia"/>
                <w:color w:val="FF0000"/>
                <w:sz w:val="21"/>
                <w:szCs w:val="21"/>
              </w:rPr>
              <w:t>；平水期</w:t>
            </w:r>
            <w:r>
              <w:rPr>
                <w:rFonts w:hint="eastAsia"/>
                <w:color w:val="FF0000"/>
                <w:sz w:val="21"/>
                <w:szCs w:val="21"/>
              </w:rPr>
              <w:sym w:font="Wingdings 2" w:char="00A3"/>
            </w:r>
            <w:r>
              <w:rPr>
                <w:rFonts w:hint="eastAsia"/>
                <w:color w:val="FF0000"/>
                <w:sz w:val="21"/>
                <w:szCs w:val="21"/>
              </w:rPr>
              <w:t>；枯水期</w:t>
            </w:r>
            <w:r>
              <w:rPr>
                <w:rFonts w:hint="eastAsia"/>
                <w:color w:val="FF0000"/>
                <w:sz w:val="21"/>
                <w:szCs w:val="21"/>
              </w:rPr>
              <w:sym w:font="Wingdings 2" w:char="00A3"/>
            </w:r>
            <w:r>
              <w:rPr>
                <w:rFonts w:hint="eastAsia"/>
                <w:color w:val="FF0000"/>
                <w:sz w:val="21"/>
                <w:szCs w:val="21"/>
              </w:rPr>
              <w:t>； 冰封期</w:t>
            </w:r>
            <w:r>
              <w:rPr>
                <w:rFonts w:hint="eastAsia"/>
                <w:color w:val="FF0000"/>
                <w:sz w:val="21"/>
                <w:szCs w:val="21"/>
              </w:rPr>
              <w:sym w:font="Wingdings 2" w:char="00A3"/>
            </w:r>
          </w:p>
          <w:p>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hAnsi="Times New Roman" w:cs="Times New Roman"/>
                <w:color w:val="FF0000"/>
                <w:sz w:val="21"/>
                <w:szCs w:val="21"/>
              </w:rPr>
            </w:pPr>
            <w:r>
              <w:rPr>
                <w:rFonts w:hint="eastAsia" w:ascii="Times New Roman" w:hAnsi="Times New Roman" w:cs="Times New Roman"/>
                <w:color w:val="FF0000"/>
                <w:sz w:val="21"/>
                <w:szCs w:val="21"/>
              </w:rPr>
              <w:t>春季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夏季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秋季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冬季</w:t>
            </w:r>
            <w:r>
              <w:rPr>
                <w:rFonts w:hint="eastAsia"/>
                <w:color w:val="FF0000"/>
                <w:sz w:val="21"/>
                <w:szCs w:val="21"/>
              </w:rPr>
              <w:sym w:font="Wingdings 2" w:char="00A3"/>
            </w:r>
          </w:p>
        </w:tc>
        <w:tc>
          <w:tcPr>
            <w:tcW w:w="229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hAnsi="Times New Roman" w:cs="Times New Roman"/>
                <w:color w:val="FF0000"/>
                <w:sz w:val="21"/>
                <w:szCs w:val="21"/>
              </w:rPr>
            </w:pPr>
            <w:r>
              <w:rPr>
                <w:rFonts w:hint="default" w:ascii="Times New Roman" w:hAnsi="Times New Roman" w:eastAsia="宋体" w:cs="Times New Roman"/>
                <w:color w:val="FF0000"/>
                <w:sz w:val="21"/>
                <w:szCs w:val="21"/>
              </w:rPr>
              <w:t xml:space="preserve">（  </w:t>
            </w:r>
            <w:r>
              <w:rPr>
                <w:rFonts w:hint="eastAsia" w:ascii="Times New Roman" w:hAnsi="Times New Roman" w:eastAsia="宋体" w:cs="Times New Roman"/>
                <w:color w:val="FF0000"/>
                <w:sz w:val="21"/>
                <w:szCs w:val="21"/>
                <w:lang w:val="en-US" w:eastAsia="zh-CN"/>
              </w:rPr>
              <w:t xml:space="preserve">      /      </w:t>
            </w:r>
            <w:r>
              <w:rPr>
                <w:rFonts w:hint="default" w:ascii="Times New Roman" w:hAnsi="Times New Roman" w:eastAsia="宋体" w:cs="Times New Roman"/>
                <w:color w:val="FF0000"/>
                <w:sz w:val="21"/>
                <w:szCs w:val="21"/>
              </w:rPr>
              <w:t>）</w:t>
            </w:r>
          </w:p>
        </w:tc>
        <w:tc>
          <w:tcPr>
            <w:tcW w:w="163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cs="Times New Roman"/>
                <w:color w:val="FF0000"/>
                <w:sz w:val="21"/>
                <w:szCs w:val="21"/>
              </w:rPr>
            </w:pPr>
            <w:r>
              <w:rPr>
                <w:rFonts w:hint="eastAsia" w:ascii="Times New Roman" w:hAnsi="Times New Roman" w:cs="Times New Roman"/>
                <w:color w:val="FF0000"/>
                <w:sz w:val="21"/>
                <w:szCs w:val="21"/>
              </w:rPr>
              <w:t>监测断面或点位个数（）个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366" w:type="dxa"/>
            <w:vMerge w:val="restart"/>
            <w:tcBorders>
              <w:tl2br w:val="nil"/>
              <w:tr2bl w:val="nil"/>
            </w:tcBorders>
            <w:vAlign w:val="center"/>
          </w:tcPr>
          <w:p>
            <w:pPr>
              <w:rPr>
                <w:color w:val="FF0000"/>
                <w:sz w:val="21"/>
                <w:szCs w:val="21"/>
              </w:rPr>
            </w:pPr>
            <w:r>
              <w:rPr>
                <w:rFonts w:hint="eastAsia"/>
                <w:color w:val="FF0000"/>
                <w:sz w:val="21"/>
                <w:szCs w:val="21"/>
              </w:rPr>
              <w:t>现状评价</w:t>
            </w:r>
          </w:p>
        </w:tc>
        <w:tc>
          <w:tcPr>
            <w:tcW w:w="1276" w:type="dxa"/>
            <w:tcBorders>
              <w:tl2br w:val="nil"/>
              <w:tr2bl w:val="nil"/>
            </w:tcBorders>
            <w:vAlign w:val="center"/>
          </w:tcPr>
          <w:p>
            <w:pPr>
              <w:jc w:val="center"/>
              <w:rPr>
                <w:color w:val="FF0000"/>
                <w:sz w:val="21"/>
                <w:szCs w:val="21"/>
              </w:rPr>
            </w:pPr>
            <w:r>
              <w:rPr>
                <w:rFonts w:hint="eastAsia"/>
                <w:color w:val="FF0000"/>
                <w:sz w:val="21"/>
                <w:szCs w:val="21"/>
              </w:rPr>
              <w:t>评价范围</w:t>
            </w:r>
          </w:p>
        </w:tc>
        <w:tc>
          <w:tcPr>
            <w:tcW w:w="7315" w:type="dxa"/>
            <w:gridSpan w:val="14"/>
            <w:tcBorders>
              <w:tl2br w:val="nil"/>
              <w:tr2bl w:val="nil"/>
            </w:tcBorders>
            <w:vAlign w:val="center"/>
          </w:tcPr>
          <w:p>
            <w:pPr>
              <w:rPr>
                <w:rFonts w:ascii="Times New Roman" w:hAnsi="Times New Roman" w:cs="Times New Roman"/>
                <w:color w:val="FF0000"/>
                <w:sz w:val="21"/>
                <w:szCs w:val="21"/>
              </w:rPr>
            </w:pPr>
            <w:r>
              <w:rPr>
                <w:rFonts w:ascii="Times New Roman" w:hAnsi="Times New Roman" w:cs="Times New Roman"/>
                <w:color w:val="FF0000"/>
                <w:sz w:val="21"/>
                <w:szCs w:val="21"/>
              </w:rPr>
              <w:t>河流：长度（</w:t>
            </w:r>
            <w:r>
              <w:rPr>
                <w:rFonts w:hint="eastAsia" w:ascii="Times New Roman" w:hAnsi="Times New Roman" w:cs="Times New Roman"/>
                <w:color w:val="FF0000"/>
                <w:sz w:val="21"/>
                <w:szCs w:val="21"/>
                <w:lang w:val="en-US" w:eastAsia="zh-CN"/>
              </w:rPr>
              <w:t xml:space="preserve"> </w:t>
            </w:r>
            <w:r>
              <w:rPr>
                <w:rFonts w:ascii="Times New Roman" w:hAnsi="Times New Roman" w:cs="Times New Roman"/>
                <w:color w:val="FF0000"/>
                <w:sz w:val="21"/>
                <w:szCs w:val="21"/>
              </w:rPr>
              <w:t>）km； 湖库、河口及近岸海域：（   ）km</w:t>
            </w:r>
            <w:r>
              <w:rPr>
                <w:rFonts w:ascii="Times New Roman" w:hAnsi="Times New Roman" w:cs="Times New Roman"/>
                <w:color w:val="FF0000"/>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评价因子</w:t>
            </w:r>
          </w:p>
        </w:tc>
        <w:tc>
          <w:tcPr>
            <w:tcW w:w="7315" w:type="dxa"/>
            <w:gridSpan w:val="14"/>
            <w:tcBorders>
              <w:tl2br w:val="nil"/>
              <w:tr2bl w:val="nil"/>
            </w:tcBorders>
            <w:vAlign w:val="center"/>
          </w:tcPr>
          <w:p>
            <w:pPr>
              <w:rPr>
                <w:color w:val="FF0000"/>
                <w:sz w:val="21"/>
                <w:szCs w:val="21"/>
              </w:rPr>
            </w:pPr>
            <w:r>
              <w:rPr>
                <w:rFonts w:hint="default" w:ascii="Times New Roman" w:hAnsi="Times New Roman" w:eastAsia="宋体" w:cs="Times New Roman"/>
                <w:color w:val="FF0000"/>
                <w:sz w:val="21"/>
                <w:szCs w:val="21"/>
              </w:rPr>
              <w:t xml:space="preserve">（ </w:t>
            </w:r>
            <w:r>
              <w:rPr>
                <w:rFonts w:hint="eastAsia"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评价标准</w:t>
            </w:r>
          </w:p>
        </w:tc>
        <w:tc>
          <w:tcPr>
            <w:tcW w:w="7315" w:type="dxa"/>
            <w:gridSpan w:val="14"/>
            <w:tcBorders>
              <w:tl2br w:val="nil"/>
              <w:tr2bl w:val="nil"/>
            </w:tcBorders>
            <w:vAlign w:val="center"/>
          </w:tcPr>
          <w:p>
            <w:pPr>
              <w:rPr>
                <w:rFonts w:ascii="Times New Roman" w:hAnsi="Times New Roman" w:cs="Times New Roman"/>
                <w:color w:val="FF0000"/>
                <w:sz w:val="21"/>
                <w:szCs w:val="21"/>
              </w:rPr>
            </w:pPr>
            <w:r>
              <w:rPr>
                <w:rFonts w:hint="eastAsia"/>
                <w:color w:val="FF0000"/>
                <w:sz w:val="21"/>
                <w:szCs w:val="21"/>
              </w:rPr>
              <w:t>河流、湖库、河口：</w:t>
            </w:r>
            <w:r>
              <w:rPr>
                <w:rFonts w:ascii="Times New Roman" w:hAnsi="Times New Roman" w:eastAsia="宋体" w:cs="Times New Roman"/>
                <w:color w:val="FF0000"/>
                <w:sz w:val="21"/>
                <w:szCs w:val="21"/>
              </w:rPr>
              <w:t>Ⅰ类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ascii="Times New Roman" w:hAnsi="Times New Roman" w:eastAsia="宋体" w:cs="Times New Roman"/>
                <w:color w:val="FF0000"/>
                <w:sz w:val="21"/>
                <w:szCs w:val="21"/>
              </w:rPr>
              <w:t>Ⅱ类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ascii="Times New Roman" w:hAnsi="Times New Roman" w:eastAsia="宋体" w:cs="Times New Roman"/>
                <w:color w:val="FF0000"/>
                <w:sz w:val="21"/>
                <w:szCs w:val="21"/>
              </w:rPr>
              <w:t>Ⅲ</w:t>
            </w:r>
            <w:r>
              <w:rPr>
                <w:rFonts w:ascii="Times New Roman" w:hAnsi="Times New Roman" w:cs="Times New Roman"/>
                <w:color w:val="FF0000"/>
                <w:sz w:val="21"/>
                <w:szCs w:val="21"/>
              </w:rPr>
              <w:t>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ascii="Times New Roman" w:hAnsi="Times New Roman" w:eastAsia="宋体" w:cs="Times New Roman"/>
                <w:color w:val="FF0000"/>
                <w:sz w:val="21"/>
                <w:szCs w:val="21"/>
              </w:rPr>
              <w:t>Ⅳ</w:t>
            </w:r>
            <w:r>
              <w:rPr>
                <w:rFonts w:ascii="Times New Roman" w:hAnsi="Times New Roman" w:cs="Times New Roman"/>
                <w:color w:val="FF0000"/>
                <w:sz w:val="21"/>
                <w:szCs w:val="21"/>
              </w:rPr>
              <w:t>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ascii="Times New Roman" w:hAnsi="Times New Roman" w:eastAsia="宋体" w:cs="Times New Roman"/>
                <w:color w:val="FF0000"/>
                <w:sz w:val="21"/>
                <w:szCs w:val="21"/>
              </w:rPr>
              <w:t>Ⅴ</w:t>
            </w:r>
            <w:r>
              <w:rPr>
                <w:rFonts w:ascii="Times New Roman" w:hAnsi="Times New Roman" w:cs="Times New Roman"/>
                <w:color w:val="FF0000"/>
                <w:sz w:val="21"/>
                <w:szCs w:val="21"/>
              </w:rPr>
              <w:t>类</w:t>
            </w:r>
            <w:r>
              <w:rPr>
                <w:rFonts w:ascii="Times New Roman" w:hAnsi="Times New Roman" w:cs="Times New Roman"/>
                <w:color w:val="FF0000"/>
                <w:sz w:val="21"/>
                <w:szCs w:val="21"/>
              </w:rPr>
              <w:sym w:font="Wingdings 2" w:char="00A3"/>
            </w:r>
          </w:p>
          <w:p>
            <w:pPr>
              <w:rPr>
                <w:rFonts w:ascii="Times New Roman" w:hAnsi="Times New Roman" w:cs="Times New Roman"/>
                <w:color w:val="FF0000"/>
                <w:sz w:val="21"/>
                <w:szCs w:val="21"/>
              </w:rPr>
            </w:pPr>
            <w:r>
              <w:rPr>
                <w:rFonts w:hint="eastAsia" w:ascii="Times New Roman" w:hAnsi="Times New Roman" w:cs="Times New Roman"/>
                <w:color w:val="FF0000"/>
                <w:sz w:val="21"/>
                <w:szCs w:val="21"/>
              </w:rPr>
              <w:t>近岸海域：</w:t>
            </w:r>
            <w:r>
              <w:rPr>
                <w:rFonts w:hint="eastAsia" w:ascii="Times New Roman" w:hAnsi="Times New Roman" w:eastAsia="宋体" w:cs="Times New Roman"/>
                <w:color w:val="FF0000"/>
                <w:sz w:val="21"/>
                <w:szCs w:val="21"/>
              </w:rPr>
              <w:t>第一</w:t>
            </w:r>
            <w:r>
              <w:rPr>
                <w:rFonts w:ascii="Times New Roman" w:hAnsi="Times New Roman" w:eastAsia="宋体" w:cs="Times New Roman"/>
                <w:color w:val="FF0000"/>
                <w:sz w:val="21"/>
                <w:szCs w:val="21"/>
              </w:rPr>
              <w:t>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eastAsia="宋体" w:cs="Times New Roman"/>
                <w:color w:val="FF0000"/>
                <w:sz w:val="21"/>
                <w:szCs w:val="21"/>
              </w:rPr>
              <w:t>第二</w:t>
            </w:r>
            <w:r>
              <w:rPr>
                <w:rFonts w:ascii="Times New Roman" w:hAnsi="Times New Roman" w:eastAsia="宋体" w:cs="Times New Roman"/>
                <w:color w:val="FF0000"/>
                <w:sz w:val="21"/>
                <w:szCs w:val="21"/>
              </w:rPr>
              <w:t>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eastAsia="宋体" w:cs="Times New Roman"/>
                <w:color w:val="FF0000"/>
                <w:sz w:val="21"/>
                <w:szCs w:val="21"/>
              </w:rPr>
              <w:t>第三</w:t>
            </w:r>
            <w:r>
              <w:rPr>
                <w:rFonts w:ascii="Times New Roman" w:hAnsi="Times New Roman" w:cs="Times New Roman"/>
                <w:color w:val="FF0000"/>
                <w:sz w:val="21"/>
                <w:szCs w:val="21"/>
              </w:rPr>
              <w:t>类</w:t>
            </w:r>
            <w:r>
              <w:rPr>
                <w:rFonts w:ascii="Times New Roman" w:hAnsi="Times New Roman" w:cs="Times New Roman"/>
                <w:color w:val="FF0000"/>
                <w:sz w:val="21"/>
                <w:szCs w:val="21"/>
              </w:rPr>
              <w:sym w:font="Wingdings 2" w:char="00A3"/>
            </w:r>
            <w:r>
              <w:rPr>
                <w:rFonts w:ascii="Times New Roman" w:hAnsi="Times New Roman" w:cs="Times New Roman"/>
                <w:color w:val="FF0000"/>
                <w:sz w:val="21"/>
                <w:szCs w:val="21"/>
              </w:rPr>
              <w:t>；</w:t>
            </w:r>
            <w:r>
              <w:rPr>
                <w:rFonts w:hint="eastAsia" w:ascii="Times New Roman" w:hAnsi="Times New Roman" w:eastAsia="宋体" w:cs="Times New Roman"/>
                <w:color w:val="FF0000"/>
                <w:sz w:val="21"/>
                <w:szCs w:val="21"/>
              </w:rPr>
              <w:t>第四</w:t>
            </w:r>
            <w:r>
              <w:rPr>
                <w:rFonts w:ascii="Times New Roman" w:hAnsi="Times New Roman" w:cs="Times New Roman"/>
                <w:color w:val="FF0000"/>
                <w:sz w:val="21"/>
                <w:szCs w:val="21"/>
              </w:rPr>
              <w:t>类</w:t>
            </w:r>
            <w:r>
              <w:rPr>
                <w:rFonts w:ascii="Times New Roman" w:hAnsi="Times New Roman" w:cs="Times New Roman"/>
                <w:color w:val="FF0000"/>
                <w:sz w:val="21"/>
                <w:szCs w:val="21"/>
              </w:rPr>
              <w:sym w:font="Wingdings 2" w:char="00A3"/>
            </w:r>
          </w:p>
          <w:p>
            <w:pPr>
              <w:rPr>
                <w:rFonts w:ascii="Times New Roman" w:hAnsi="Times New Roman" w:cs="Times New Roman"/>
                <w:color w:val="FF0000"/>
                <w:sz w:val="21"/>
                <w:szCs w:val="21"/>
              </w:rPr>
            </w:pPr>
            <w:r>
              <w:rPr>
                <w:rFonts w:hint="eastAsia" w:ascii="Times New Roman" w:hAnsi="Times New Roman" w:cs="Times New Roman"/>
                <w:color w:val="FF0000"/>
                <w:sz w:val="21"/>
                <w:szCs w:val="21"/>
              </w:rPr>
              <w:t>规划年评价标准（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评价时期</w:t>
            </w:r>
          </w:p>
        </w:tc>
        <w:tc>
          <w:tcPr>
            <w:tcW w:w="7315" w:type="dxa"/>
            <w:gridSpan w:val="14"/>
            <w:tcBorders>
              <w:tl2br w:val="nil"/>
              <w:tr2bl w:val="nil"/>
            </w:tcBorders>
            <w:vAlign w:val="center"/>
          </w:tcPr>
          <w:p>
            <w:pPr>
              <w:jc w:val="left"/>
              <w:rPr>
                <w:color w:val="FF0000"/>
                <w:sz w:val="21"/>
                <w:szCs w:val="21"/>
              </w:rPr>
            </w:pPr>
            <w:r>
              <w:rPr>
                <w:rFonts w:hint="eastAsia"/>
                <w:color w:val="FF0000"/>
                <w:sz w:val="21"/>
                <w:szCs w:val="21"/>
              </w:rPr>
              <w:t>丰水期</w:t>
            </w:r>
            <w:r>
              <w:rPr>
                <w:rFonts w:hint="eastAsia"/>
                <w:color w:val="FF0000"/>
                <w:sz w:val="21"/>
                <w:szCs w:val="21"/>
              </w:rPr>
              <w:sym w:font="Wingdings 2" w:char="00A3"/>
            </w:r>
            <w:r>
              <w:rPr>
                <w:rFonts w:hint="eastAsia"/>
                <w:color w:val="FF0000"/>
                <w:sz w:val="21"/>
                <w:szCs w:val="21"/>
              </w:rPr>
              <w:t>；平水期</w:t>
            </w:r>
            <w:r>
              <w:rPr>
                <w:rFonts w:hint="eastAsia"/>
                <w:color w:val="FF0000"/>
                <w:sz w:val="21"/>
                <w:szCs w:val="21"/>
              </w:rPr>
              <w:sym w:font="Wingdings 2" w:char="00A3"/>
            </w:r>
            <w:r>
              <w:rPr>
                <w:rFonts w:hint="eastAsia"/>
                <w:color w:val="FF0000"/>
                <w:sz w:val="21"/>
                <w:szCs w:val="21"/>
              </w:rPr>
              <w:t>；枯水期</w:t>
            </w:r>
            <w:r>
              <w:rPr>
                <w:rFonts w:hint="eastAsia"/>
                <w:color w:val="FF0000"/>
                <w:sz w:val="21"/>
                <w:szCs w:val="21"/>
              </w:rPr>
              <w:sym w:font="Wingdings 2" w:char="00A3"/>
            </w:r>
            <w:r>
              <w:rPr>
                <w:rFonts w:hint="eastAsia"/>
                <w:color w:val="FF0000"/>
                <w:sz w:val="21"/>
                <w:szCs w:val="21"/>
              </w:rPr>
              <w:t xml:space="preserve">；冰封期 </w:t>
            </w:r>
            <w:r>
              <w:rPr>
                <w:rFonts w:hint="eastAsia"/>
                <w:color w:val="FF0000"/>
                <w:sz w:val="21"/>
                <w:szCs w:val="21"/>
              </w:rPr>
              <w:sym w:font="Wingdings 2" w:char="00A3"/>
            </w:r>
          </w:p>
          <w:p>
            <w:pPr>
              <w:rPr>
                <w:color w:val="FF0000"/>
                <w:sz w:val="21"/>
                <w:szCs w:val="21"/>
              </w:rPr>
            </w:pPr>
            <w:r>
              <w:rPr>
                <w:rFonts w:hint="eastAsia" w:ascii="Times New Roman" w:hAnsi="Times New Roman" w:cs="Times New Roman"/>
                <w:color w:val="FF0000"/>
                <w:sz w:val="21"/>
                <w:szCs w:val="21"/>
              </w:rPr>
              <w:t>春季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夏季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秋季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冬季</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0"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评价结论</w:t>
            </w:r>
          </w:p>
        </w:tc>
        <w:tc>
          <w:tcPr>
            <w:tcW w:w="6388" w:type="dxa"/>
            <w:gridSpan w:val="13"/>
            <w:tcBorders>
              <w:tl2br w:val="nil"/>
              <w:tr2bl w:val="nil"/>
            </w:tcBorders>
            <w:vAlign w:val="center"/>
          </w:tcPr>
          <w:p>
            <w:pPr>
              <w:rPr>
                <w:color w:val="FF0000"/>
                <w:sz w:val="21"/>
                <w:szCs w:val="21"/>
              </w:rPr>
            </w:pPr>
            <w:r>
              <w:rPr>
                <w:rFonts w:hint="eastAsia"/>
                <w:color w:val="FF0000"/>
                <w:sz w:val="21"/>
                <w:szCs w:val="21"/>
              </w:rPr>
              <w:t>水环境功能区或水功能区、近岸海域环境功能区水质达标状况</w:t>
            </w:r>
            <w:r>
              <w:rPr>
                <w:rFonts w:hint="eastAsia"/>
                <w:color w:val="FF0000"/>
                <w:sz w:val="21"/>
                <w:szCs w:val="21"/>
              </w:rPr>
              <w:sym w:font="Wingdings 2" w:char="00A3"/>
            </w:r>
            <w:r>
              <w:rPr>
                <w:rFonts w:hint="eastAsia"/>
                <w:color w:val="FF0000"/>
                <w:sz w:val="21"/>
                <w:szCs w:val="21"/>
              </w:rPr>
              <w:t>：达标</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不达标</w:t>
            </w:r>
            <w:r>
              <w:rPr>
                <w:rFonts w:hint="eastAsia"/>
                <w:color w:val="FF0000"/>
                <w:sz w:val="21"/>
                <w:szCs w:val="21"/>
              </w:rPr>
              <w:sym w:font="Wingdings 2" w:char="00A3"/>
            </w:r>
          </w:p>
          <w:p>
            <w:pPr>
              <w:rPr>
                <w:color w:val="FF0000"/>
                <w:sz w:val="21"/>
                <w:szCs w:val="21"/>
              </w:rPr>
            </w:pPr>
            <w:r>
              <w:rPr>
                <w:rFonts w:hint="eastAsia"/>
                <w:color w:val="FF0000"/>
                <w:sz w:val="21"/>
                <w:szCs w:val="21"/>
              </w:rPr>
              <w:t>水环境控制单元或断面水质达标状况</w:t>
            </w:r>
            <w:r>
              <w:rPr>
                <w:rFonts w:hint="eastAsia"/>
                <w:color w:val="FF0000"/>
                <w:sz w:val="21"/>
                <w:szCs w:val="21"/>
              </w:rPr>
              <w:sym w:font="Wingdings 2" w:char="00A3"/>
            </w:r>
            <w:r>
              <w:rPr>
                <w:rFonts w:hint="eastAsia"/>
                <w:color w:val="FF0000"/>
                <w:sz w:val="21"/>
                <w:szCs w:val="21"/>
              </w:rPr>
              <w:t>：达标</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不达标</w:t>
            </w:r>
            <w:r>
              <w:rPr>
                <w:rFonts w:hint="eastAsia"/>
                <w:color w:val="FF0000"/>
                <w:sz w:val="21"/>
                <w:szCs w:val="21"/>
              </w:rPr>
              <w:sym w:font="Wingdings 2" w:char="00A3"/>
            </w:r>
          </w:p>
          <w:p>
            <w:pPr>
              <w:rPr>
                <w:color w:val="FF0000"/>
                <w:sz w:val="21"/>
                <w:szCs w:val="21"/>
              </w:rPr>
            </w:pPr>
            <w:r>
              <w:rPr>
                <w:rFonts w:hint="eastAsia"/>
                <w:color w:val="FF0000"/>
                <w:sz w:val="21"/>
                <w:szCs w:val="21"/>
              </w:rPr>
              <w:t>水环境保护目标质量状况</w:t>
            </w:r>
            <w:r>
              <w:rPr>
                <w:rFonts w:hint="eastAsia"/>
                <w:color w:val="FF0000"/>
                <w:sz w:val="21"/>
                <w:szCs w:val="21"/>
              </w:rPr>
              <w:sym w:font="Wingdings 2" w:char="00A3"/>
            </w:r>
            <w:r>
              <w:rPr>
                <w:rFonts w:hint="eastAsia"/>
                <w:color w:val="FF0000"/>
                <w:sz w:val="21"/>
                <w:szCs w:val="21"/>
              </w:rPr>
              <w:t>：达标</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不达标</w:t>
            </w:r>
            <w:r>
              <w:rPr>
                <w:rFonts w:hint="eastAsia"/>
                <w:color w:val="FF0000"/>
                <w:sz w:val="21"/>
                <w:szCs w:val="21"/>
              </w:rPr>
              <w:sym w:font="Wingdings 2" w:char="00A3"/>
            </w:r>
          </w:p>
          <w:p>
            <w:pPr>
              <w:rPr>
                <w:color w:val="FF0000"/>
                <w:sz w:val="21"/>
                <w:szCs w:val="21"/>
              </w:rPr>
            </w:pPr>
            <w:r>
              <w:rPr>
                <w:rFonts w:hint="eastAsia"/>
                <w:color w:val="FF0000"/>
                <w:sz w:val="21"/>
                <w:szCs w:val="21"/>
              </w:rPr>
              <w:t>对照断面、控制断面等代表性断面的水质状况</w:t>
            </w:r>
            <w:r>
              <w:rPr>
                <w:rFonts w:hint="eastAsia"/>
                <w:color w:val="FF0000"/>
                <w:sz w:val="21"/>
                <w:szCs w:val="21"/>
              </w:rPr>
              <w:sym w:font="Wingdings 2" w:char="00A3"/>
            </w:r>
            <w:r>
              <w:rPr>
                <w:rFonts w:hint="eastAsia"/>
                <w:color w:val="FF0000"/>
                <w:sz w:val="21"/>
                <w:szCs w:val="21"/>
              </w:rPr>
              <w:t>：达标</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不达标</w:t>
            </w:r>
            <w:r>
              <w:rPr>
                <w:rFonts w:hint="eastAsia"/>
                <w:color w:val="FF0000"/>
                <w:sz w:val="21"/>
                <w:szCs w:val="21"/>
              </w:rPr>
              <w:sym w:font="Wingdings 2" w:char="00A3"/>
            </w:r>
          </w:p>
          <w:p>
            <w:pPr>
              <w:rPr>
                <w:color w:val="FF0000"/>
                <w:sz w:val="21"/>
                <w:szCs w:val="21"/>
              </w:rPr>
            </w:pPr>
            <w:r>
              <w:rPr>
                <w:rFonts w:hint="eastAsia"/>
                <w:color w:val="FF0000"/>
                <w:sz w:val="21"/>
                <w:szCs w:val="21"/>
              </w:rPr>
              <w:t>底泥污染评价</w:t>
            </w:r>
            <w:r>
              <w:rPr>
                <w:rFonts w:hint="eastAsia"/>
                <w:color w:val="FF0000"/>
                <w:sz w:val="21"/>
                <w:szCs w:val="21"/>
              </w:rPr>
              <w:sym w:font="Wingdings 2" w:char="00A3"/>
            </w:r>
          </w:p>
          <w:p>
            <w:pPr>
              <w:rPr>
                <w:color w:val="FF0000"/>
                <w:sz w:val="21"/>
                <w:szCs w:val="21"/>
              </w:rPr>
            </w:pPr>
            <w:r>
              <w:rPr>
                <w:rFonts w:hint="eastAsia"/>
                <w:color w:val="FF0000"/>
                <w:sz w:val="21"/>
                <w:szCs w:val="21"/>
              </w:rPr>
              <w:t>水资源与开发利用程度及其水文情势评价</w:t>
            </w:r>
            <w:r>
              <w:rPr>
                <w:rFonts w:hint="eastAsia"/>
                <w:color w:val="FF0000"/>
                <w:sz w:val="21"/>
                <w:szCs w:val="21"/>
              </w:rPr>
              <w:sym w:font="Wingdings 2" w:char="00A3"/>
            </w:r>
          </w:p>
          <w:p>
            <w:pPr>
              <w:rPr>
                <w:color w:val="FF0000"/>
                <w:sz w:val="21"/>
                <w:szCs w:val="21"/>
              </w:rPr>
            </w:pPr>
            <w:r>
              <w:rPr>
                <w:rFonts w:hint="eastAsia"/>
                <w:color w:val="FF0000"/>
                <w:sz w:val="21"/>
                <w:szCs w:val="21"/>
              </w:rPr>
              <w:t>水环境质量回顾评价</w:t>
            </w:r>
            <w:r>
              <w:rPr>
                <w:rFonts w:hint="eastAsia"/>
                <w:color w:val="FF0000"/>
                <w:sz w:val="21"/>
                <w:szCs w:val="21"/>
              </w:rPr>
              <w:sym w:font="Wingdings 2" w:char="00A3"/>
            </w:r>
          </w:p>
          <w:p>
            <w:pPr>
              <w:rPr>
                <w:color w:val="FF0000"/>
                <w:sz w:val="21"/>
                <w:szCs w:val="21"/>
              </w:rPr>
            </w:pPr>
            <w:r>
              <w:rPr>
                <w:rFonts w:hint="eastAsia"/>
                <w:color w:val="FF0000"/>
                <w:sz w:val="21"/>
                <w:szCs w:val="21"/>
              </w:rPr>
              <w:t>流域（区域）水资源（包括水能资源）与开发利用总体规划、生态流量管理要求与现状满足程度、建设项目占用水域空间的水流状况与河湖演变状况</w:t>
            </w:r>
            <w:r>
              <w:rPr>
                <w:rFonts w:hint="eastAsia"/>
                <w:color w:val="FF0000"/>
                <w:sz w:val="21"/>
                <w:szCs w:val="21"/>
              </w:rPr>
              <w:sym w:font="Wingdings 2" w:char="00A3"/>
            </w:r>
          </w:p>
        </w:tc>
        <w:tc>
          <w:tcPr>
            <w:tcW w:w="927" w:type="dxa"/>
            <w:tcBorders>
              <w:tl2br w:val="nil"/>
              <w:tr2bl w:val="nil"/>
            </w:tcBorders>
            <w:vAlign w:val="center"/>
          </w:tcPr>
          <w:p>
            <w:pPr>
              <w:rPr>
                <w:color w:val="FF0000"/>
                <w:sz w:val="21"/>
                <w:szCs w:val="21"/>
              </w:rPr>
            </w:pPr>
            <w:r>
              <w:rPr>
                <w:rFonts w:hint="eastAsia"/>
                <w:color w:val="FF0000"/>
                <w:sz w:val="21"/>
                <w:szCs w:val="21"/>
              </w:rPr>
              <w:t>达标区</w:t>
            </w:r>
            <w:r>
              <w:rPr>
                <w:rFonts w:hint="eastAsia"/>
                <w:color w:val="FF0000"/>
                <w:sz w:val="21"/>
                <w:szCs w:val="21"/>
              </w:rPr>
              <w:sym w:font="Wingdings 2" w:char="00A3"/>
            </w:r>
          </w:p>
          <w:p>
            <w:pPr>
              <w:rPr>
                <w:color w:val="FF0000"/>
                <w:sz w:val="21"/>
                <w:szCs w:val="21"/>
              </w:rPr>
            </w:pPr>
            <w:r>
              <w:rPr>
                <w:rFonts w:hint="eastAsia" w:ascii="Times New Roman" w:hAnsi="Times New Roman" w:cs="Times New Roman"/>
                <w:color w:val="FF0000"/>
                <w:sz w:val="21"/>
                <w:szCs w:val="21"/>
              </w:rPr>
              <w:t>不达标区</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6" w:type="dxa"/>
            <w:vMerge w:val="restart"/>
            <w:tcBorders>
              <w:tl2br w:val="nil"/>
              <w:tr2bl w:val="nil"/>
            </w:tcBorders>
            <w:vAlign w:val="center"/>
          </w:tcPr>
          <w:p>
            <w:pPr>
              <w:rPr>
                <w:color w:val="FF0000"/>
                <w:sz w:val="21"/>
                <w:szCs w:val="21"/>
              </w:rPr>
            </w:pPr>
            <w:r>
              <w:rPr>
                <w:rFonts w:hint="eastAsia"/>
                <w:color w:val="FF0000"/>
                <w:sz w:val="21"/>
                <w:szCs w:val="21"/>
              </w:rPr>
              <w:t>影响预测</w:t>
            </w:r>
          </w:p>
        </w:tc>
        <w:tc>
          <w:tcPr>
            <w:tcW w:w="1276" w:type="dxa"/>
            <w:tcBorders>
              <w:tl2br w:val="nil"/>
              <w:tr2bl w:val="nil"/>
            </w:tcBorders>
            <w:vAlign w:val="center"/>
          </w:tcPr>
          <w:p>
            <w:pPr>
              <w:jc w:val="center"/>
              <w:rPr>
                <w:color w:val="FF0000"/>
                <w:sz w:val="21"/>
                <w:szCs w:val="21"/>
              </w:rPr>
            </w:pPr>
            <w:r>
              <w:rPr>
                <w:rFonts w:hint="eastAsia"/>
                <w:color w:val="FF0000"/>
                <w:sz w:val="21"/>
                <w:szCs w:val="21"/>
              </w:rPr>
              <w:t>预测范围</w:t>
            </w:r>
          </w:p>
        </w:tc>
        <w:tc>
          <w:tcPr>
            <w:tcW w:w="7315" w:type="dxa"/>
            <w:gridSpan w:val="14"/>
            <w:tcBorders>
              <w:tl2br w:val="nil"/>
              <w:tr2bl w:val="nil"/>
            </w:tcBorders>
            <w:vAlign w:val="center"/>
          </w:tcPr>
          <w:p>
            <w:pPr>
              <w:rPr>
                <w:color w:val="FF0000"/>
                <w:sz w:val="21"/>
                <w:szCs w:val="21"/>
              </w:rPr>
            </w:pPr>
            <w:r>
              <w:rPr>
                <w:rFonts w:ascii="Times New Roman" w:hAnsi="Times New Roman" w:cs="Times New Roman"/>
                <w:color w:val="FF0000"/>
                <w:sz w:val="21"/>
                <w:szCs w:val="21"/>
              </w:rPr>
              <w:t>河流：长度（   ）km； 湖库、河口及近岸海域：（   ）km</w:t>
            </w:r>
            <w:r>
              <w:rPr>
                <w:rFonts w:ascii="Times New Roman" w:hAnsi="Times New Roman" w:cs="Times New Roman"/>
                <w:color w:val="FF0000"/>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预测因子</w:t>
            </w:r>
          </w:p>
        </w:tc>
        <w:tc>
          <w:tcPr>
            <w:tcW w:w="7315" w:type="dxa"/>
            <w:gridSpan w:val="14"/>
            <w:tcBorders>
              <w:tl2br w:val="nil"/>
              <w:tr2bl w:val="nil"/>
            </w:tcBorders>
            <w:vAlign w:val="center"/>
          </w:tcPr>
          <w:p>
            <w:pPr>
              <w:rPr>
                <w:color w:val="FF0000"/>
                <w:sz w:val="21"/>
                <w:szCs w:val="21"/>
              </w:rPr>
            </w:pPr>
            <w:r>
              <w:rPr>
                <w:rFonts w:hint="eastAsia"/>
                <w:color w:val="FF000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预测时期</w:t>
            </w:r>
          </w:p>
        </w:tc>
        <w:tc>
          <w:tcPr>
            <w:tcW w:w="7315" w:type="dxa"/>
            <w:gridSpan w:val="14"/>
            <w:tcBorders>
              <w:tl2br w:val="nil"/>
              <w:tr2bl w:val="nil"/>
            </w:tcBorders>
            <w:vAlign w:val="center"/>
          </w:tcPr>
          <w:p>
            <w:pPr>
              <w:jc w:val="left"/>
              <w:rPr>
                <w:color w:val="FF0000"/>
                <w:sz w:val="21"/>
                <w:szCs w:val="21"/>
              </w:rPr>
            </w:pPr>
            <w:r>
              <w:rPr>
                <w:rFonts w:hint="eastAsia"/>
                <w:color w:val="FF0000"/>
                <w:sz w:val="21"/>
                <w:szCs w:val="21"/>
              </w:rPr>
              <w:t>丰水期</w:t>
            </w:r>
            <w:r>
              <w:rPr>
                <w:rFonts w:hint="eastAsia"/>
                <w:color w:val="FF0000"/>
                <w:sz w:val="21"/>
                <w:szCs w:val="21"/>
              </w:rPr>
              <w:sym w:font="Wingdings 2" w:char="00A3"/>
            </w:r>
            <w:r>
              <w:rPr>
                <w:rFonts w:hint="eastAsia"/>
                <w:color w:val="FF0000"/>
                <w:sz w:val="21"/>
                <w:szCs w:val="21"/>
              </w:rPr>
              <w:t>；平水期</w:t>
            </w:r>
            <w:r>
              <w:rPr>
                <w:rFonts w:hint="eastAsia"/>
                <w:color w:val="FF0000"/>
                <w:sz w:val="21"/>
                <w:szCs w:val="21"/>
              </w:rPr>
              <w:sym w:font="Wingdings 2" w:char="00A3"/>
            </w:r>
            <w:r>
              <w:rPr>
                <w:rFonts w:hint="eastAsia"/>
                <w:color w:val="FF0000"/>
                <w:sz w:val="21"/>
                <w:szCs w:val="21"/>
              </w:rPr>
              <w:t>；枯水期</w:t>
            </w:r>
            <w:r>
              <w:rPr>
                <w:rFonts w:hint="eastAsia"/>
                <w:color w:val="FF0000"/>
                <w:sz w:val="21"/>
                <w:szCs w:val="21"/>
              </w:rPr>
              <w:sym w:font="Wingdings 2" w:char="00A3"/>
            </w:r>
            <w:r>
              <w:rPr>
                <w:rFonts w:hint="eastAsia"/>
                <w:color w:val="FF0000"/>
                <w:sz w:val="21"/>
                <w:szCs w:val="21"/>
              </w:rPr>
              <w:t>； 冰封期</w:t>
            </w:r>
            <w:r>
              <w:rPr>
                <w:rFonts w:hint="eastAsia"/>
                <w:color w:val="FF0000"/>
                <w:sz w:val="21"/>
                <w:szCs w:val="21"/>
              </w:rPr>
              <w:sym w:font="Wingdings 2" w:char="00A3"/>
            </w:r>
          </w:p>
          <w:p>
            <w:pPr>
              <w:rPr>
                <w:color w:val="FF0000"/>
                <w:sz w:val="21"/>
                <w:szCs w:val="21"/>
              </w:rPr>
            </w:pPr>
            <w:r>
              <w:rPr>
                <w:rFonts w:hint="eastAsia" w:ascii="Times New Roman" w:hAnsi="Times New Roman" w:cs="Times New Roman"/>
                <w:color w:val="FF0000"/>
                <w:sz w:val="21"/>
                <w:szCs w:val="21"/>
              </w:rPr>
              <w:t>春季</w:t>
            </w:r>
            <w:r>
              <w:rPr>
                <w:rFonts w:hint="eastAsia"/>
                <w:color w:val="FF0000"/>
                <w:sz w:val="21"/>
                <w:szCs w:val="21"/>
              </w:rPr>
              <w:sym w:font="Wingdings 2" w:char="00A3"/>
            </w:r>
            <w:r>
              <w:rPr>
                <w:rFonts w:hint="eastAsia"/>
                <w:color w:val="FF0000"/>
                <w:sz w:val="21"/>
                <w:szCs w:val="21"/>
              </w:rPr>
              <w:t xml:space="preserve">； </w:t>
            </w:r>
            <w:r>
              <w:rPr>
                <w:rFonts w:hint="eastAsia" w:ascii="Times New Roman" w:hAnsi="Times New Roman" w:cs="Times New Roman"/>
                <w:color w:val="FF0000"/>
                <w:sz w:val="21"/>
                <w:szCs w:val="21"/>
              </w:rPr>
              <w:t>夏季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秋季</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冬季</w:t>
            </w:r>
            <w:r>
              <w:rPr>
                <w:rFonts w:hint="eastAsia"/>
                <w:color w:val="FF0000"/>
                <w:sz w:val="21"/>
                <w:szCs w:val="21"/>
              </w:rPr>
              <w:sym w:font="Wingdings 2" w:char="00A3"/>
            </w:r>
          </w:p>
          <w:p>
            <w:pPr>
              <w:rPr>
                <w:color w:val="FF0000"/>
                <w:sz w:val="21"/>
                <w:szCs w:val="21"/>
              </w:rPr>
            </w:pPr>
            <w:r>
              <w:rPr>
                <w:rFonts w:hint="eastAsia"/>
                <w:color w:val="FF0000"/>
                <w:sz w:val="21"/>
                <w:szCs w:val="21"/>
              </w:rPr>
              <w:t>设计水文条件</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预测情景</w:t>
            </w:r>
          </w:p>
        </w:tc>
        <w:tc>
          <w:tcPr>
            <w:tcW w:w="7315" w:type="dxa"/>
            <w:gridSpan w:val="14"/>
            <w:tcBorders>
              <w:tl2br w:val="nil"/>
              <w:tr2bl w:val="nil"/>
            </w:tcBorders>
            <w:vAlign w:val="center"/>
          </w:tcPr>
          <w:p>
            <w:pPr>
              <w:jc w:val="left"/>
              <w:rPr>
                <w:color w:val="FF0000"/>
                <w:sz w:val="21"/>
                <w:szCs w:val="21"/>
              </w:rPr>
            </w:pPr>
            <w:r>
              <w:rPr>
                <w:rFonts w:hint="eastAsia"/>
                <w:color w:val="FF0000"/>
                <w:sz w:val="21"/>
                <w:szCs w:val="21"/>
              </w:rPr>
              <w:t>建设期</w:t>
            </w:r>
            <w:r>
              <w:rPr>
                <w:rFonts w:hint="eastAsia"/>
                <w:color w:val="FF0000"/>
                <w:sz w:val="21"/>
                <w:szCs w:val="21"/>
              </w:rPr>
              <w:sym w:font="Wingdings 2" w:char="00A3"/>
            </w:r>
            <w:r>
              <w:rPr>
                <w:rFonts w:hint="eastAsia"/>
                <w:color w:val="FF0000"/>
                <w:sz w:val="21"/>
                <w:szCs w:val="21"/>
              </w:rPr>
              <w:t>； 生产运行期</w:t>
            </w:r>
            <w:r>
              <w:rPr>
                <w:rFonts w:hint="eastAsia"/>
                <w:color w:val="FF0000"/>
                <w:sz w:val="21"/>
                <w:szCs w:val="21"/>
              </w:rPr>
              <w:sym w:font="Wingdings 2" w:char="00A3"/>
            </w:r>
            <w:r>
              <w:rPr>
                <w:rFonts w:hint="eastAsia"/>
                <w:color w:val="FF0000"/>
                <w:sz w:val="21"/>
                <w:szCs w:val="21"/>
              </w:rPr>
              <w:t>； 服务期满后</w:t>
            </w:r>
            <w:r>
              <w:rPr>
                <w:rFonts w:hint="eastAsia"/>
                <w:color w:val="FF0000"/>
                <w:sz w:val="21"/>
                <w:szCs w:val="21"/>
              </w:rPr>
              <w:sym w:font="Wingdings 2" w:char="00A3"/>
            </w:r>
          </w:p>
          <w:p>
            <w:pPr>
              <w:rPr>
                <w:color w:val="FF0000"/>
                <w:sz w:val="21"/>
                <w:szCs w:val="21"/>
              </w:rPr>
            </w:pPr>
            <w:r>
              <w:rPr>
                <w:rFonts w:hint="eastAsia" w:ascii="Times New Roman" w:hAnsi="Times New Roman" w:cs="Times New Roman"/>
                <w:color w:val="FF0000"/>
                <w:sz w:val="21"/>
                <w:szCs w:val="21"/>
              </w:rPr>
              <w:t>正常工况</w:t>
            </w:r>
            <w:r>
              <w:rPr>
                <w:rFonts w:hint="eastAsia"/>
                <w:color w:val="FF0000"/>
                <w:sz w:val="21"/>
                <w:szCs w:val="21"/>
              </w:rPr>
              <w:sym w:font="Wingdings 2" w:char="00A3"/>
            </w:r>
            <w:r>
              <w:rPr>
                <w:rFonts w:hint="eastAsia"/>
                <w:color w:val="FF0000"/>
                <w:sz w:val="21"/>
                <w:szCs w:val="21"/>
              </w:rPr>
              <w:t xml:space="preserve">； </w:t>
            </w:r>
            <w:r>
              <w:rPr>
                <w:rFonts w:hint="eastAsia" w:ascii="Times New Roman" w:hAnsi="Times New Roman" w:cs="Times New Roman"/>
                <w:color w:val="FF0000"/>
                <w:sz w:val="21"/>
                <w:szCs w:val="21"/>
              </w:rPr>
              <w:t>非正常工况</w:t>
            </w:r>
            <w:r>
              <w:rPr>
                <w:rFonts w:hint="eastAsia"/>
                <w:color w:val="FF0000"/>
                <w:sz w:val="21"/>
                <w:szCs w:val="21"/>
              </w:rPr>
              <w:sym w:font="Wingdings 2" w:char="00A3"/>
            </w:r>
          </w:p>
          <w:p>
            <w:pPr>
              <w:rPr>
                <w:color w:val="FF0000"/>
                <w:sz w:val="21"/>
                <w:szCs w:val="21"/>
              </w:rPr>
            </w:pPr>
            <w:r>
              <w:rPr>
                <w:rFonts w:hint="eastAsia"/>
                <w:color w:val="FF0000"/>
                <w:sz w:val="21"/>
                <w:szCs w:val="21"/>
              </w:rPr>
              <w:t>污染控制和缓解措施方案</w:t>
            </w:r>
            <w:r>
              <w:rPr>
                <w:rFonts w:hint="eastAsia"/>
                <w:color w:val="FF0000"/>
                <w:sz w:val="21"/>
                <w:szCs w:val="21"/>
              </w:rPr>
              <w:sym w:font="Wingdings 2" w:char="00A3"/>
            </w:r>
          </w:p>
          <w:p>
            <w:pPr>
              <w:rPr>
                <w:color w:val="FF0000"/>
                <w:sz w:val="21"/>
                <w:szCs w:val="21"/>
              </w:rPr>
            </w:pPr>
            <w:r>
              <w:rPr>
                <w:rFonts w:hint="eastAsia"/>
                <w:color w:val="FF0000"/>
                <w:sz w:val="21"/>
                <w:szCs w:val="21"/>
              </w:rPr>
              <w:t>区（流）域环境质量改善目标要求情景</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预测方法</w:t>
            </w:r>
          </w:p>
        </w:tc>
        <w:tc>
          <w:tcPr>
            <w:tcW w:w="7315" w:type="dxa"/>
            <w:gridSpan w:val="14"/>
            <w:tcBorders>
              <w:tl2br w:val="nil"/>
              <w:tr2bl w:val="nil"/>
            </w:tcBorders>
            <w:vAlign w:val="center"/>
          </w:tcPr>
          <w:p>
            <w:pPr>
              <w:jc w:val="left"/>
              <w:rPr>
                <w:color w:val="FF0000"/>
                <w:sz w:val="21"/>
                <w:szCs w:val="21"/>
              </w:rPr>
            </w:pPr>
            <w:r>
              <w:rPr>
                <w:rFonts w:hint="eastAsia"/>
                <w:color w:val="FF0000"/>
                <w:sz w:val="21"/>
                <w:szCs w:val="21"/>
              </w:rPr>
              <w:t>数值解</w:t>
            </w:r>
            <w:r>
              <w:rPr>
                <w:rFonts w:hint="eastAsia"/>
                <w:color w:val="FF0000"/>
                <w:sz w:val="21"/>
                <w:szCs w:val="21"/>
              </w:rPr>
              <w:sym w:font="Wingdings 2" w:char="00A3"/>
            </w:r>
            <w:r>
              <w:rPr>
                <w:rFonts w:hint="eastAsia"/>
                <w:color w:val="FF0000"/>
                <w:sz w:val="21"/>
                <w:szCs w:val="21"/>
              </w:rPr>
              <w:t>； 解析解</w:t>
            </w:r>
            <w:r>
              <w:rPr>
                <w:rFonts w:hint="eastAsia"/>
                <w:color w:val="FF0000"/>
                <w:sz w:val="21"/>
                <w:szCs w:val="21"/>
              </w:rPr>
              <w:sym w:font="Wingdings 2" w:char="00A3"/>
            </w:r>
            <w:r>
              <w:rPr>
                <w:rFonts w:hint="eastAsia"/>
                <w:color w:val="FF0000"/>
                <w:sz w:val="21"/>
                <w:szCs w:val="21"/>
              </w:rPr>
              <w:t>；其他</w:t>
            </w:r>
            <w:r>
              <w:rPr>
                <w:rFonts w:hint="eastAsia"/>
                <w:color w:val="FF0000"/>
                <w:sz w:val="21"/>
                <w:szCs w:val="21"/>
              </w:rPr>
              <w:sym w:font="Wingdings 2" w:char="00A3"/>
            </w:r>
          </w:p>
          <w:p>
            <w:pPr>
              <w:rPr>
                <w:color w:val="FF0000"/>
                <w:sz w:val="21"/>
                <w:szCs w:val="21"/>
              </w:rPr>
            </w:pPr>
            <w:r>
              <w:rPr>
                <w:rFonts w:hint="eastAsia" w:ascii="Times New Roman" w:hAnsi="Times New Roman" w:cs="Times New Roman"/>
                <w:color w:val="FF0000"/>
                <w:sz w:val="21"/>
                <w:szCs w:val="21"/>
              </w:rPr>
              <w:t>导则推荐模式</w:t>
            </w:r>
            <w:r>
              <w:rPr>
                <w:rFonts w:hint="eastAsia"/>
                <w:color w:val="FF0000"/>
                <w:sz w:val="21"/>
                <w:szCs w:val="21"/>
              </w:rPr>
              <w:sym w:font="Wingdings 2" w:char="00A3"/>
            </w:r>
            <w:r>
              <w:rPr>
                <w:rFonts w:hint="eastAsia"/>
                <w:color w:val="FF0000"/>
                <w:sz w:val="21"/>
                <w:szCs w:val="21"/>
              </w:rPr>
              <w:t>；</w:t>
            </w:r>
            <w:r>
              <w:rPr>
                <w:rFonts w:hint="eastAsia" w:ascii="Times New Roman" w:hAnsi="Times New Roman" w:cs="Times New Roman"/>
                <w:color w:val="FF0000"/>
                <w:sz w:val="21"/>
                <w:szCs w:val="21"/>
              </w:rPr>
              <w:t>其他</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1" w:hRule="atLeast"/>
          <w:jc w:val="center"/>
        </w:trPr>
        <w:tc>
          <w:tcPr>
            <w:tcW w:w="366" w:type="dxa"/>
            <w:vMerge w:val="restart"/>
            <w:tcBorders>
              <w:tl2br w:val="nil"/>
              <w:tr2bl w:val="nil"/>
            </w:tcBorders>
            <w:vAlign w:val="center"/>
          </w:tcPr>
          <w:p>
            <w:pPr>
              <w:rPr>
                <w:color w:val="FF0000"/>
                <w:sz w:val="21"/>
                <w:szCs w:val="21"/>
              </w:rPr>
            </w:pPr>
            <w:r>
              <w:rPr>
                <w:rFonts w:hint="eastAsia"/>
                <w:color w:val="FF0000"/>
                <w:sz w:val="21"/>
                <w:szCs w:val="21"/>
              </w:rPr>
              <w:t>影响评价</w:t>
            </w:r>
          </w:p>
        </w:tc>
        <w:tc>
          <w:tcPr>
            <w:tcW w:w="1276" w:type="dxa"/>
            <w:tcBorders>
              <w:tl2br w:val="nil"/>
              <w:tr2bl w:val="nil"/>
            </w:tcBorders>
            <w:vAlign w:val="center"/>
          </w:tcPr>
          <w:p>
            <w:pPr>
              <w:jc w:val="center"/>
              <w:rPr>
                <w:color w:val="FF0000"/>
                <w:sz w:val="21"/>
                <w:szCs w:val="21"/>
              </w:rPr>
            </w:pPr>
            <w:r>
              <w:rPr>
                <w:rFonts w:hint="eastAsia"/>
                <w:color w:val="FF0000"/>
                <w:sz w:val="21"/>
                <w:szCs w:val="21"/>
              </w:rPr>
              <w:t>水污染控制和水环境影响减缓措施有效性评价</w:t>
            </w:r>
          </w:p>
        </w:tc>
        <w:tc>
          <w:tcPr>
            <w:tcW w:w="7315" w:type="dxa"/>
            <w:gridSpan w:val="14"/>
            <w:tcBorders>
              <w:tl2br w:val="nil"/>
              <w:tr2bl w:val="nil"/>
            </w:tcBorders>
            <w:vAlign w:val="center"/>
          </w:tcPr>
          <w:p>
            <w:pPr>
              <w:jc w:val="left"/>
              <w:rPr>
                <w:rFonts w:ascii="Times New Roman" w:hAnsi="Times New Roman" w:cs="Times New Roman"/>
                <w:color w:val="FF0000"/>
                <w:sz w:val="21"/>
                <w:szCs w:val="21"/>
              </w:rPr>
            </w:pPr>
            <w:r>
              <w:rPr>
                <w:rFonts w:hint="eastAsia"/>
                <w:color w:val="FF0000"/>
                <w:sz w:val="21"/>
                <w:szCs w:val="21"/>
              </w:rPr>
              <w:t xml:space="preserve">区（流）域水环境质量改善目标 </w:t>
            </w:r>
            <w:r>
              <w:rPr>
                <w:rFonts w:hint="eastAsia"/>
                <w:color w:val="FF0000"/>
                <w:sz w:val="21"/>
                <w:szCs w:val="21"/>
              </w:rPr>
              <w:sym w:font="Wingdings 2" w:char="00A3"/>
            </w:r>
            <w:r>
              <w:rPr>
                <w:rFonts w:hint="eastAsia"/>
                <w:color w:val="FF0000"/>
                <w:sz w:val="21"/>
                <w:szCs w:val="21"/>
              </w:rPr>
              <w:t xml:space="preserve">； 替代消减源 </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水环境影响评价</w:t>
            </w:r>
          </w:p>
        </w:tc>
        <w:tc>
          <w:tcPr>
            <w:tcW w:w="7315" w:type="dxa"/>
            <w:gridSpan w:val="14"/>
            <w:tcBorders>
              <w:tl2br w:val="nil"/>
              <w:tr2bl w:val="nil"/>
            </w:tcBorders>
            <w:vAlign w:val="center"/>
          </w:tcPr>
          <w:p>
            <w:pPr>
              <w:rPr>
                <w:color w:val="FF0000"/>
                <w:sz w:val="21"/>
                <w:szCs w:val="21"/>
              </w:rPr>
            </w:pPr>
            <w:r>
              <w:rPr>
                <w:rFonts w:hint="eastAsia"/>
                <w:color w:val="FF0000"/>
                <w:sz w:val="21"/>
                <w:szCs w:val="21"/>
              </w:rPr>
              <w:t>排放口混合区外满足水环境管理要求</w:t>
            </w:r>
            <w:r>
              <w:rPr>
                <w:rFonts w:hint="eastAsia"/>
                <w:color w:val="FF0000"/>
                <w:sz w:val="21"/>
                <w:szCs w:val="21"/>
              </w:rPr>
              <w:sym w:font="Wingdings 2" w:char="00A3"/>
            </w:r>
          </w:p>
          <w:p>
            <w:pPr>
              <w:rPr>
                <w:color w:val="FF0000"/>
                <w:sz w:val="21"/>
                <w:szCs w:val="21"/>
              </w:rPr>
            </w:pPr>
            <w:r>
              <w:rPr>
                <w:rFonts w:hint="eastAsia"/>
                <w:color w:val="FF0000"/>
                <w:sz w:val="21"/>
                <w:szCs w:val="21"/>
              </w:rPr>
              <w:t>水环境功能区或水功能区、近岸海域环境功能区水质达标</w:t>
            </w:r>
            <w:r>
              <w:rPr>
                <w:rFonts w:hint="eastAsia"/>
                <w:color w:val="FF0000"/>
                <w:sz w:val="21"/>
                <w:szCs w:val="21"/>
              </w:rPr>
              <w:sym w:font="Wingdings 2" w:char="00A3"/>
            </w:r>
          </w:p>
          <w:p>
            <w:pPr>
              <w:rPr>
                <w:color w:val="FF0000"/>
                <w:sz w:val="21"/>
                <w:szCs w:val="21"/>
              </w:rPr>
            </w:pPr>
            <w:r>
              <w:rPr>
                <w:rFonts w:hint="eastAsia"/>
                <w:color w:val="FF0000"/>
                <w:sz w:val="21"/>
                <w:szCs w:val="21"/>
              </w:rPr>
              <w:t>满足水环境保护目标水域水环境质量要求</w:t>
            </w:r>
            <w:r>
              <w:rPr>
                <w:rFonts w:hint="eastAsia"/>
                <w:color w:val="FF0000"/>
                <w:sz w:val="21"/>
                <w:szCs w:val="21"/>
              </w:rPr>
              <w:sym w:font="Wingdings 2" w:char="00A3"/>
            </w:r>
          </w:p>
          <w:p>
            <w:pPr>
              <w:rPr>
                <w:color w:val="FF0000"/>
                <w:sz w:val="21"/>
                <w:szCs w:val="21"/>
              </w:rPr>
            </w:pPr>
            <w:r>
              <w:rPr>
                <w:rFonts w:hint="eastAsia"/>
                <w:color w:val="FF0000"/>
                <w:sz w:val="21"/>
                <w:szCs w:val="21"/>
              </w:rPr>
              <w:t>水环境控制单元或断面水质达标</w:t>
            </w:r>
            <w:r>
              <w:rPr>
                <w:rFonts w:hint="eastAsia"/>
                <w:color w:val="FF0000"/>
                <w:sz w:val="21"/>
                <w:szCs w:val="21"/>
              </w:rPr>
              <w:sym w:font="Wingdings 2" w:char="00A3"/>
            </w:r>
          </w:p>
          <w:p>
            <w:pPr>
              <w:rPr>
                <w:color w:val="FF0000"/>
                <w:sz w:val="21"/>
                <w:szCs w:val="21"/>
              </w:rPr>
            </w:pPr>
            <w:r>
              <w:rPr>
                <w:rFonts w:hint="eastAsia"/>
                <w:color w:val="FF0000"/>
                <w:sz w:val="21"/>
                <w:szCs w:val="21"/>
              </w:rPr>
              <w:t>满足重点水污染物排放总量控制指标要求，重点行业建设项目，主要污染物排放满足等量或减量替代要求</w:t>
            </w:r>
            <w:r>
              <w:rPr>
                <w:rFonts w:hint="eastAsia"/>
                <w:color w:val="FF0000"/>
                <w:sz w:val="21"/>
                <w:szCs w:val="21"/>
              </w:rPr>
              <w:sym w:font="Wingdings 2" w:char="00A3"/>
            </w:r>
          </w:p>
          <w:p>
            <w:pPr>
              <w:rPr>
                <w:color w:val="FF0000"/>
                <w:sz w:val="21"/>
                <w:szCs w:val="21"/>
              </w:rPr>
            </w:pPr>
            <w:r>
              <w:rPr>
                <w:rFonts w:hint="eastAsia"/>
                <w:color w:val="FF0000"/>
                <w:sz w:val="21"/>
                <w:szCs w:val="21"/>
              </w:rPr>
              <w:t>满足区（流）域水环境质量改善目标要求</w:t>
            </w:r>
            <w:r>
              <w:rPr>
                <w:rFonts w:hint="eastAsia"/>
                <w:color w:val="FF0000"/>
                <w:sz w:val="21"/>
                <w:szCs w:val="21"/>
              </w:rPr>
              <w:sym w:font="Wingdings 2" w:char="00A3"/>
            </w:r>
          </w:p>
          <w:p>
            <w:pPr>
              <w:rPr>
                <w:color w:val="FF0000"/>
                <w:sz w:val="21"/>
                <w:szCs w:val="21"/>
              </w:rPr>
            </w:pPr>
            <w:r>
              <w:rPr>
                <w:rFonts w:hint="eastAsia"/>
                <w:color w:val="FF0000"/>
                <w:sz w:val="21"/>
                <w:szCs w:val="21"/>
              </w:rPr>
              <w:t>水文要素影响型建设项目同时应包括水文情势变化评价、主要水文特征值影响评价、生态流量符合性评价</w:t>
            </w:r>
            <w:r>
              <w:rPr>
                <w:rFonts w:hint="eastAsia"/>
                <w:color w:val="FF0000"/>
                <w:sz w:val="21"/>
                <w:szCs w:val="21"/>
              </w:rPr>
              <w:sym w:font="Wingdings 2" w:char="00A3"/>
            </w:r>
          </w:p>
          <w:p>
            <w:pPr>
              <w:rPr>
                <w:color w:val="FF0000"/>
                <w:sz w:val="21"/>
                <w:szCs w:val="21"/>
              </w:rPr>
            </w:pPr>
            <w:r>
              <w:rPr>
                <w:rFonts w:hint="eastAsia"/>
                <w:color w:val="FF0000"/>
                <w:sz w:val="21"/>
                <w:szCs w:val="21"/>
              </w:rPr>
              <w:t>对于新设或调整入河（湖库、近岸海域）排放口的建设项目，应包括排放口设置的环境合理性评价</w:t>
            </w:r>
            <w:r>
              <w:rPr>
                <w:rFonts w:hint="eastAsia"/>
                <w:color w:val="FF0000"/>
                <w:sz w:val="21"/>
                <w:szCs w:val="21"/>
              </w:rPr>
              <w:sym w:font="Wingdings 2" w:char="00A3"/>
            </w:r>
          </w:p>
          <w:p>
            <w:pPr>
              <w:rPr>
                <w:rFonts w:ascii="Times New Roman" w:hAnsi="Times New Roman" w:cs="Times New Roman"/>
                <w:color w:val="FF0000"/>
                <w:sz w:val="21"/>
                <w:szCs w:val="21"/>
              </w:rPr>
            </w:pPr>
            <w:r>
              <w:rPr>
                <w:rFonts w:hint="eastAsia"/>
                <w:color w:val="FF0000"/>
                <w:sz w:val="21"/>
                <w:szCs w:val="21"/>
              </w:rPr>
              <w:t>满足生态保护红线、水环境质量底线、资源利用上线和环境准入清单管理要求</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366" w:type="dxa"/>
            <w:vMerge w:val="continue"/>
            <w:tcBorders>
              <w:tl2br w:val="nil"/>
              <w:tr2bl w:val="nil"/>
            </w:tcBorders>
            <w:vAlign w:val="center"/>
          </w:tcPr>
          <w:p>
            <w:pP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污染源排放量核算</w:t>
            </w:r>
          </w:p>
        </w:tc>
        <w:tc>
          <w:tcPr>
            <w:tcW w:w="2494"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污染物名称</w:t>
            </w:r>
          </w:p>
        </w:tc>
        <w:tc>
          <w:tcPr>
            <w:tcW w:w="2496"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排放量/（t/a）</w:t>
            </w:r>
          </w:p>
        </w:tc>
        <w:tc>
          <w:tcPr>
            <w:tcW w:w="2325"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366" w:type="dxa"/>
            <w:vMerge w:val="continue"/>
            <w:tcBorders>
              <w:tl2br w:val="nil"/>
              <w:tr2bl w:val="nil"/>
            </w:tcBorders>
            <w:vAlign w:val="center"/>
          </w:tcPr>
          <w:p>
            <w:pP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2494"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w:t>
            </w:r>
          </w:p>
        </w:tc>
        <w:tc>
          <w:tcPr>
            <w:tcW w:w="2496"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xml:space="preserve">（   </w:t>
            </w:r>
            <w:r>
              <w:rPr>
                <w:rFonts w:hint="eastAsia" w:ascii="Times New Roman" w:hAnsi="Times New Roman" w:cs="Times New Roman"/>
                <w:color w:val="FF0000"/>
                <w:sz w:val="21"/>
                <w:szCs w:val="21"/>
                <w:lang w:val="en-US" w:eastAsia="zh-CN"/>
              </w:rPr>
              <w:t>0</w:t>
            </w:r>
            <w:r>
              <w:rPr>
                <w:rFonts w:hint="eastAsia" w:ascii="Times New Roman" w:hAnsi="Times New Roman" w:cs="Times New Roman"/>
                <w:color w:val="FF0000"/>
                <w:sz w:val="21"/>
                <w:szCs w:val="21"/>
              </w:rPr>
              <w:t xml:space="preserve">   ）</w:t>
            </w:r>
          </w:p>
        </w:tc>
        <w:tc>
          <w:tcPr>
            <w:tcW w:w="2325"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366" w:type="dxa"/>
            <w:vMerge w:val="continue"/>
            <w:tcBorders>
              <w:tl2br w:val="nil"/>
              <w:tr2bl w:val="nil"/>
            </w:tcBorders>
            <w:vAlign w:val="center"/>
          </w:tcPr>
          <w:p>
            <w:pP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替代源排放情况</w:t>
            </w:r>
          </w:p>
        </w:tc>
        <w:tc>
          <w:tcPr>
            <w:tcW w:w="1497" w:type="dxa"/>
            <w:gridSpan w:val="2"/>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污染源名称</w:t>
            </w:r>
          </w:p>
        </w:tc>
        <w:tc>
          <w:tcPr>
            <w:tcW w:w="1497"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排污许可证编号</w:t>
            </w:r>
          </w:p>
        </w:tc>
        <w:tc>
          <w:tcPr>
            <w:tcW w:w="1496" w:type="dxa"/>
            <w:gridSpan w:val="2"/>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污染物名称</w:t>
            </w:r>
          </w:p>
        </w:tc>
        <w:tc>
          <w:tcPr>
            <w:tcW w:w="1499"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排放量/（t/a）</w:t>
            </w:r>
          </w:p>
        </w:tc>
        <w:tc>
          <w:tcPr>
            <w:tcW w:w="1326" w:type="dxa"/>
            <w:gridSpan w:val="2"/>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66" w:type="dxa"/>
            <w:vMerge w:val="continue"/>
            <w:tcBorders>
              <w:tl2br w:val="nil"/>
              <w:tr2bl w:val="nil"/>
            </w:tcBorders>
            <w:vAlign w:val="center"/>
          </w:tcPr>
          <w:p>
            <w:pP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1497" w:type="dxa"/>
            <w:gridSpan w:val="2"/>
            <w:tcBorders>
              <w:tl2br w:val="nil"/>
              <w:tr2bl w:val="nil"/>
            </w:tcBorders>
            <w:vAlign w:val="center"/>
          </w:tcPr>
          <w:p>
            <w:pPr>
              <w:jc w:val="center"/>
              <w:rPr>
                <w:rFonts w:ascii="Times New Roman" w:hAnsi="Times New Roman" w:cs="Times New Roman"/>
                <w:color w:val="FF0000"/>
                <w:sz w:val="21"/>
                <w:szCs w:val="21"/>
              </w:rPr>
            </w:pPr>
          </w:p>
        </w:tc>
        <w:tc>
          <w:tcPr>
            <w:tcW w:w="1497" w:type="dxa"/>
            <w:gridSpan w:val="4"/>
            <w:tcBorders>
              <w:tl2br w:val="nil"/>
              <w:tr2bl w:val="nil"/>
            </w:tcBorders>
            <w:vAlign w:val="center"/>
          </w:tcPr>
          <w:p>
            <w:pPr>
              <w:jc w:val="center"/>
              <w:rPr>
                <w:rFonts w:ascii="Times New Roman" w:hAnsi="Times New Roman" w:cs="Times New Roman"/>
                <w:color w:val="FF0000"/>
                <w:sz w:val="21"/>
                <w:szCs w:val="21"/>
              </w:rPr>
            </w:pPr>
          </w:p>
        </w:tc>
        <w:tc>
          <w:tcPr>
            <w:tcW w:w="1496" w:type="dxa"/>
            <w:gridSpan w:val="2"/>
            <w:tcBorders>
              <w:tl2br w:val="nil"/>
              <w:tr2bl w:val="nil"/>
            </w:tcBorders>
            <w:vAlign w:val="center"/>
          </w:tcPr>
          <w:p>
            <w:pPr>
              <w:jc w:val="center"/>
              <w:rPr>
                <w:rFonts w:ascii="Times New Roman" w:hAnsi="Times New Roman" w:cs="Times New Roman"/>
                <w:color w:val="FF0000"/>
                <w:sz w:val="21"/>
                <w:szCs w:val="21"/>
              </w:rPr>
            </w:pPr>
          </w:p>
        </w:tc>
        <w:tc>
          <w:tcPr>
            <w:tcW w:w="1499" w:type="dxa"/>
            <w:gridSpan w:val="4"/>
            <w:tcBorders>
              <w:tl2br w:val="nil"/>
              <w:tr2bl w:val="nil"/>
            </w:tcBorders>
            <w:vAlign w:val="center"/>
          </w:tcPr>
          <w:p>
            <w:pPr>
              <w:jc w:val="center"/>
              <w:rPr>
                <w:rFonts w:ascii="Times New Roman" w:hAnsi="Times New Roman" w:cs="Times New Roman"/>
                <w:color w:val="FF0000"/>
                <w:sz w:val="21"/>
                <w:szCs w:val="21"/>
              </w:rPr>
            </w:pPr>
          </w:p>
        </w:tc>
        <w:tc>
          <w:tcPr>
            <w:tcW w:w="1326" w:type="dxa"/>
            <w:gridSpan w:val="2"/>
            <w:tcBorders>
              <w:tl2br w:val="nil"/>
              <w:tr2bl w:val="nil"/>
            </w:tcBorders>
            <w:vAlign w:val="center"/>
          </w:tcPr>
          <w:p>
            <w:pPr>
              <w:jc w:val="center"/>
              <w:rPr>
                <w:rFonts w:ascii="Times New Roman" w:hAnsi="Times New Roman" w:cs="Times New Roman"/>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生态流量确定</w:t>
            </w:r>
          </w:p>
        </w:tc>
        <w:tc>
          <w:tcPr>
            <w:tcW w:w="7315" w:type="dxa"/>
            <w:gridSpan w:val="14"/>
            <w:tcBorders>
              <w:tl2br w:val="nil"/>
              <w:tr2bl w:val="nil"/>
            </w:tcBorders>
            <w:vAlign w:val="center"/>
          </w:tcPr>
          <w:p>
            <w:pPr>
              <w:rPr>
                <w:rFonts w:ascii="Times New Roman" w:hAnsi="Times New Roman" w:cs="Times New Roman"/>
                <w:color w:val="FF0000"/>
                <w:sz w:val="21"/>
                <w:szCs w:val="21"/>
              </w:rPr>
            </w:pPr>
            <w:r>
              <w:rPr>
                <w:rFonts w:hint="eastAsia" w:ascii="Times New Roman" w:hAnsi="Times New Roman" w:cs="Times New Roman"/>
                <w:color w:val="FF0000"/>
                <w:sz w:val="21"/>
                <w:szCs w:val="21"/>
              </w:rPr>
              <w:t>生态流量：一般水期（  ）m</w:t>
            </w:r>
            <w:r>
              <w:rPr>
                <w:rFonts w:hint="eastAsia" w:ascii="Times New Roman" w:hAnsi="Times New Roman" w:cs="Times New Roman"/>
                <w:color w:val="FF0000"/>
                <w:sz w:val="21"/>
                <w:szCs w:val="21"/>
                <w:vertAlign w:val="superscript"/>
              </w:rPr>
              <w:t>3</w:t>
            </w:r>
            <w:r>
              <w:rPr>
                <w:rFonts w:hint="eastAsia" w:ascii="Times New Roman" w:hAnsi="Times New Roman" w:cs="Times New Roman"/>
                <w:color w:val="FF0000"/>
                <w:sz w:val="21"/>
                <w:szCs w:val="21"/>
              </w:rPr>
              <w:t>/s； 鱼类繁殖期（   ）m</w:t>
            </w:r>
            <w:r>
              <w:rPr>
                <w:rFonts w:hint="eastAsia" w:ascii="Times New Roman" w:hAnsi="Times New Roman" w:cs="Times New Roman"/>
                <w:color w:val="FF0000"/>
                <w:sz w:val="21"/>
                <w:szCs w:val="21"/>
                <w:vertAlign w:val="superscript"/>
              </w:rPr>
              <w:t>3</w:t>
            </w:r>
            <w:r>
              <w:rPr>
                <w:rFonts w:hint="eastAsia" w:ascii="Times New Roman" w:hAnsi="Times New Roman" w:cs="Times New Roman"/>
                <w:color w:val="FF0000"/>
                <w:sz w:val="21"/>
                <w:szCs w:val="21"/>
              </w:rPr>
              <w:t>/s； 其他（   ）m</w:t>
            </w:r>
            <w:r>
              <w:rPr>
                <w:rFonts w:hint="eastAsia" w:ascii="Times New Roman" w:hAnsi="Times New Roman" w:cs="Times New Roman"/>
                <w:color w:val="FF0000"/>
                <w:sz w:val="21"/>
                <w:szCs w:val="21"/>
                <w:vertAlign w:val="superscript"/>
              </w:rPr>
              <w:t>3</w:t>
            </w:r>
            <w:r>
              <w:rPr>
                <w:rFonts w:hint="eastAsia" w:ascii="Times New Roman" w:hAnsi="Times New Roman" w:cs="Times New Roman"/>
                <w:color w:val="FF0000"/>
                <w:sz w:val="21"/>
                <w:szCs w:val="21"/>
              </w:rPr>
              <w:t>/s</w:t>
            </w:r>
          </w:p>
          <w:p>
            <w:pPr>
              <w:rPr>
                <w:rFonts w:ascii="Times New Roman" w:hAnsi="Times New Roman" w:cs="Times New Roman"/>
                <w:color w:val="FF0000"/>
                <w:sz w:val="21"/>
                <w:szCs w:val="21"/>
              </w:rPr>
            </w:pPr>
            <w:r>
              <w:rPr>
                <w:rFonts w:hint="eastAsia" w:ascii="Times New Roman" w:hAnsi="Times New Roman" w:cs="Times New Roman"/>
                <w:color w:val="FF0000"/>
                <w:sz w:val="21"/>
                <w:szCs w:val="21"/>
              </w:rPr>
              <w:t>生态水位：一般水期（   ）m； 鱼类繁殖期（   ）m； 其他（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66" w:type="dxa"/>
            <w:vMerge w:val="restart"/>
            <w:tcBorders>
              <w:tl2br w:val="nil"/>
              <w:tr2bl w:val="nil"/>
            </w:tcBorders>
            <w:vAlign w:val="center"/>
          </w:tcPr>
          <w:p>
            <w:pPr>
              <w:rPr>
                <w:color w:val="FF0000"/>
                <w:sz w:val="21"/>
                <w:szCs w:val="21"/>
              </w:rPr>
            </w:pPr>
            <w:r>
              <w:rPr>
                <w:rFonts w:hint="eastAsia"/>
                <w:color w:val="FF0000"/>
                <w:sz w:val="21"/>
                <w:szCs w:val="21"/>
              </w:rPr>
              <w:t>防治措施</w:t>
            </w:r>
          </w:p>
        </w:tc>
        <w:tc>
          <w:tcPr>
            <w:tcW w:w="1276" w:type="dxa"/>
            <w:tcBorders>
              <w:tl2br w:val="nil"/>
              <w:tr2bl w:val="nil"/>
            </w:tcBorders>
            <w:vAlign w:val="center"/>
          </w:tcPr>
          <w:p>
            <w:pPr>
              <w:jc w:val="center"/>
              <w:rPr>
                <w:color w:val="FF0000"/>
                <w:sz w:val="21"/>
                <w:szCs w:val="21"/>
              </w:rPr>
            </w:pPr>
            <w:r>
              <w:rPr>
                <w:rFonts w:hint="eastAsia"/>
                <w:color w:val="FF0000"/>
                <w:sz w:val="21"/>
                <w:szCs w:val="21"/>
              </w:rPr>
              <w:t>环保措施</w:t>
            </w:r>
          </w:p>
        </w:tc>
        <w:tc>
          <w:tcPr>
            <w:tcW w:w="7315" w:type="dxa"/>
            <w:gridSpan w:val="14"/>
            <w:tcBorders>
              <w:tl2br w:val="nil"/>
              <w:tr2bl w:val="nil"/>
            </w:tcBorders>
            <w:vAlign w:val="center"/>
          </w:tcPr>
          <w:p>
            <w:pPr>
              <w:jc w:val="left"/>
              <w:rPr>
                <w:rFonts w:ascii="Times New Roman" w:hAnsi="Times New Roman" w:cs="Times New Roman"/>
                <w:color w:val="FF0000"/>
                <w:sz w:val="21"/>
                <w:szCs w:val="21"/>
              </w:rPr>
            </w:pPr>
            <w:r>
              <w:rPr>
                <w:rFonts w:hint="eastAsia"/>
                <w:color w:val="FF0000"/>
                <w:sz w:val="21"/>
                <w:szCs w:val="21"/>
              </w:rPr>
              <w:t>污水处理设施</w:t>
            </w:r>
            <w:r>
              <w:rPr>
                <w:rFonts w:hint="eastAsia"/>
                <w:color w:val="FF0000"/>
                <w:sz w:val="21"/>
                <w:szCs w:val="21"/>
              </w:rPr>
              <w:sym w:font="Wingdings 2" w:char="0052"/>
            </w:r>
            <w:r>
              <w:rPr>
                <w:rFonts w:hint="eastAsia"/>
                <w:color w:val="FF0000"/>
                <w:sz w:val="21"/>
                <w:szCs w:val="21"/>
              </w:rPr>
              <w:t>； 水文减缓设施</w:t>
            </w:r>
            <w:r>
              <w:rPr>
                <w:rFonts w:hint="eastAsia"/>
                <w:color w:val="FF0000"/>
                <w:sz w:val="21"/>
                <w:szCs w:val="21"/>
              </w:rPr>
              <w:sym w:font="Wingdings 2" w:char="00A3"/>
            </w:r>
            <w:r>
              <w:rPr>
                <w:rFonts w:hint="eastAsia"/>
                <w:color w:val="FF0000"/>
                <w:sz w:val="21"/>
                <w:szCs w:val="21"/>
              </w:rPr>
              <w:t>； 生态流量保障设施</w:t>
            </w:r>
            <w:r>
              <w:rPr>
                <w:rFonts w:hint="eastAsia"/>
                <w:color w:val="FF0000"/>
                <w:sz w:val="21"/>
                <w:szCs w:val="21"/>
              </w:rPr>
              <w:sym w:font="Wingdings 2" w:char="00A3"/>
            </w:r>
            <w:r>
              <w:rPr>
                <w:rFonts w:hint="eastAsia"/>
                <w:color w:val="FF0000"/>
                <w:sz w:val="21"/>
                <w:szCs w:val="21"/>
              </w:rPr>
              <w:t>； 区域消减</w:t>
            </w:r>
            <w:r>
              <w:rPr>
                <w:rFonts w:hint="eastAsia"/>
                <w:color w:val="FF0000"/>
                <w:sz w:val="21"/>
                <w:szCs w:val="21"/>
              </w:rPr>
              <w:sym w:font="Wingdings 2" w:char="00A3"/>
            </w:r>
            <w:r>
              <w:rPr>
                <w:rFonts w:hint="eastAsia"/>
                <w:color w:val="FF0000"/>
                <w:sz w:val="21"/>
                <w:szCs w:val="21"/>
              </w:rPr>
              <w:t>； 依托其他工程措施</w:t>
            </w:r>
            <w:r>
              <w:rPr>
                <w:rFonts w:hint="eastAsia"/>
                <w:color w:val="FF0000"/>
                <w:sz w:val="21"/>
                <w:szCs w:val="21"/>
              </w:rPr>
              <w:sym w:font="Wingdings 2" w:char="00A3"/>
            </w:r>
            <w:r>
              <w:rPr>
                <w:rFonts w:hint="eastAsia"/>
                <w:color w:val="FF0000"/>
                <w:sz w:val="21"/>
                <w:szCs w:val="21"/>
              </w:rPr>
              <w:t>；其他</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366" w:type="dxa"/>
            <w:vMerge w:val="continue"/>
            <w:tcBorders>
              <w:tl2br w:val="nil"/>
              <w:tr2bl w:val="nil"/>
            </w:tcBorders>
            <w:vAlign w:val="center"/>
          </w:tcPr>
          <w:p>
            <w:pPr>
              <w:rPr>
                <w:color w:val="FF0000"/>
                <w:sz w:val="21"/>
                <w:szCs w:val="21"/>
              </w:rPr>
            </w:pPr>
          </w:p>
        </w:tc>
        <w:tc>
          <w:tcPr>
            <w:tcW w:w="1276" w:type="dxa"/>
            <w:vMerge w:val="restart"/>
            <w:tcBorders>
              <w:tl2br w:val="nil"/>
              <w:tr2bl w:val="nil"/>
            </w:tcBorders>
            <w:vAlign w:val="center"/>
          </w:tcPr>
          <w:p>
            <w:pPr>
              <w:jc w:val="center"/>
              <w:rPr>
                <w:color w:val="FF0000"/>
                <w:sz w:val="21"/>
                <w:szCs w:val="21"/>
              </w:rPr>
            </w:pPr>
            <w:r>
              <w:rPr>
                <w:rFonts w:hint="eastAsia"/>
                <w:color w:val="FF0000"/>
                <w:sz w:val="21"/>
                <w:szCs w:val="21"/>
              </w:rPr>
              <w:t>监测计划</w:t>
            </w:r>
          </w:p>
        </w:tc>
        <w:tc>
          <w:tcPr>
            <w:tcW w:w="2050" w:type="dxa"/>
            <w:gridSpan w:val="4"/>
            <w:tcBorders>
              <w:tl2br w:val="nil"/>
              <w:tr2bl w:val="nil"/>
            </w:tcBorders>
            <w:vAlign w:val="center"/>
          </w:tcPr>
          <w:p>
            <w:pPr>
              <w:rPr>
                <w:rFonts w:ascii="Times New Roman" w:hAnsi="Times New Roman" w:cs="Times New Roman"/>
                <w:color w:val="FF0000"/>
                <w:sz w:val="21"/>
                <w:szCs w:val="21"/>
              </w:rPr>
            </w:pPr>
          </w:p>
        </w:tc>
        <w:tc>
          <w:tcPr>
            <w:tcW w:w="2718"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环境质量</w:t>
            </w:r>
          </w:p>
        </w:tc>
        <w:tc>
          <w:tcPr>
            <w:tcW w:w="2547"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366" w:type="dxa"/>
            <w:vMerge w:val="continue"/>
            <w:tcBorders>
              <w:tl2br w:val="nil"/>
              <w:tr2bl w:val="nil"/>
            </w:tcBorders>
            <w:vAlign w:val="center"/>
          </w:tcPr>
          <w:p>
            <w:pP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2050"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监测方式</w:t>
            </w:r>
          </w:p>
        </w:tc>
        <w:tc>
          <w:tcPr>
            <w:tcW w:w="2718"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color w:val="FF0000"/>
                <w:sz w:val="21"/>
                <w:szCs w:val="21"/>
              </w:rPr>
              <w:t>手动</w:t>
            </w:r>
            <w:r>
              <w:rPr>
                <w:rFonts w:hint="eastAsia"/>
                <w:color w:val="FF0000"/>
                <w:sz w:val="21"/>
                <w:szCs w:val="21"/>
              </w:rPr>
              <w:sym w:font="Wingdings 2" w:char="00A3"/>
            </w:r>
            <w:r>
              <w:rPr>
                <w:rFonts w:hint="eastAsia"/>
                <w:color w:val="FF0000"/>
                <w:sz w:val="21"/>
                <w:szCs w:val="21"/>
              </w:rPr>
              <w:t>； 自动</w:t>
            </w:r>
            <w:r>
              <w:rPr>
                <w:rFonts w:hint="eastAsia"/>
                <w:color w:val="FF0000"/>
                <w:sz w:val="21"/>
                <w:szCs w:val="21"/>
              </w:rPr>
              <w:sym w:font="Wingdings 2" w:char="00A3"/>
            </w:r>
            <w:r>
              <w:rPr>
                <w:rFonts w:hint="eastAsia"/>
                <w:color w:val="FF0000"/>
                <w:sz w:val="21"/>
                <w:szCs w:val="21"/>
              </w:rPr>
              <w:t xml:space="preserve">；无监测 </w:t>
            </w:r>
            <w:r>
              <w:rPr>
                <w:rFonts w:hint="eastAsia"/>
                <w:color w:val="FF0000"/>
                <w:sz w:val="21"/>
                <w:szCs w:val="21"/>
              </w:rPr>
              <w:sym w:font="Wingdings 2" w:char="00A3"/>
            </w:r>
          </w:p>
        </w:tc>
        <w:tc>
          <w:tcPr>
            <w:tcW w:w="2547"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color w:val="FF0000"/>
                <w:sz w:val="21"/>
                <w:szCs w:val="21"/>
              </w:rPr>
              <w:t xml:space="preserve">手动 </w:t>
            </w:r>
            <w:r>
              <w:rPr>
                <w:rFonts w:hint="eastAsia"/>
                <w:color w:val="FF0000"/>
                <w:sz w:val="21"/>
                <w:szCs w:val="21"/>
              </w:rPr>
              <w:sym w:font="Wingdings 2" w:char="00A3"/>
            </w:r>
            <w:r>
              <w:rPr>
                <w:rFonts w:hint="eastAsia"/>
                <w:color w:val="FF0000"/>
                <w:sz w:val="21"/>
                <w:szCs w:val="21"/>
              </w:rPr>
              <w:t>；自动</w:t>
            </w:r>
            <w:r>
              <w:rPr>
                <w:rFonts w:hint="eastAsia"/>
                <w:color w:val="FF0000"/>
                <w:sz w:val="21"/>
                <w:szCs w:val="21"/>
              </w:rPr>
              <w:sym w:font="Wingdings 2" w:char="00A3"/>
            </w:r>
            <w:r>
              <w:rPr>
                <w:rFonts w:hint="eastAsia"/>
                <w:color w:val="FF0000"/>
                <w:sz w:val="21"/>
                <w:szCs w:val="21"/>
              </w:rPr>
              <w:t xml:space="preserve">；无监测 </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366" w:type="dxa"/>
            <w:vMerge w:val="continue"/>
            <w:tcBorders>
              <w:tl2br w:val="nil"/>
              <w:tr2bl w:val="nil"/>
            </w:tcBorders>
            <w:vAlign w:val="center"/>
          </w:tcPr>
          <w:p>
            <w:pP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2050"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监测点位</w:t>
            </w:r>
          </w:p>
        </w:tc>
        <w:tc>
          <w:tcPr>
            <w:tcW w:w="2718"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w:t>
            </w:r>
          </w:p>
        </w:tc>
        <w:tc>
          <w:tcPr>
            <w:tcW w:w="2547"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366" w:type="dxa"/>
            <w:vMerge w:val="continue"/>
            <w:tcBorders>
              <w:tl2br w:val="nil"/>
              <w:tr2bl w:val="nil"/>
            </w:tcBorders>
            <w:vAlign w:val="center"/>
          </w:tcPr>
          <w:p>
            <w:pPr>
              <w:rPr>
                <w:color w:val="FF0000"/>
                <w:sz w:val="21"/>
                <w:szCs w:val="21"/>
              </w:rPr>
            </w:pPr>
          </w:p>
        </w:tc>
        <w:tc>
          <w:tcPr>
            <w:tcW w:w="1276" w:type="dxa"/>
            <w:vMerge w:val="continue"/>
            <w:tcBorders>
              <w:tl2br w:val="nil"/>
              <w:tr2bl w:val="nil"/>
            </w:tcBorders>
            <w:vAlign w:val="center"/>
          </w:tcPr>
          <w:p>
            <w:pPr>
              <w:jc w:val="center"/>
              <w:rPr>
                <w:color w:val="FF0000"/>
                <w:sz w:val="21"/>
                <w:szCs w:val="21"/>
              </w:rPr>
            </w:pPr>
          </w:p>
        </w:tc>
        <w:tc>
          <w:tcPr>
            <w:tcW w:w="2050" w:type="dxa"/>
            <w:gridSpan w:val="4"/>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监测因子</w:t>
            </w:r>
          </w:p>
        </w:tc>
        <w:tc>
          <w:tcPr>
            <w:tcW w:w="2718"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w:t>
            </w:r>
          </w:p>
        </w:tc>
        <w:tc>
          <w:tcPr>
            <w:tcW w:w="2547" w:type="dxa"/>
            <w:gridSpan w:val="5"/>
            <w:tcBorders>
              <w:tl2br w:val="nil"/>
              <w:tr2bl w:val="nil"/>
            </w:tcBorders>
            <w:vAlign w:val="center"/>
          </w:tcPr>
          <w:p>
            <w:pPr>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366" w:type="dxa"/>
            <w:vMerge w:val="continue"/>
            <w:tcBorders>
              <w:tl2br w:val="nil"/>
              <w:tr2bl w:val="nil"/>
            </w:tcBorders>
            <w:vAlign w:val="center"/>
          </w:tcPr>
          <w:p>
            <w:pPr>
              <w:rPr>
                <w:color w:val="FF0000"/>
                <w:sz w:val="21"/>
                <w:szCs w:val="21"/>
              </w:rPr>
            </w:pPr>
          </w:p>
        </w:tc>
        <w:tc>
          <w:tcPr>
            <w:tcW w:w="1276" w:type="dxa"/>
            <w:tcBorders>
              <w:tl2br w:val="nil"/>
              <w:tr2bl w:val="nil"/>
            </w:tcBorders>
            <w:vAlign w:val="center"/>
          </w:tcPr>
          <w:p>
            <w:pPr>
              <w:jc w:val="center"/>
              <w:rPr>
                <w:color w:val="FF0000"/>
                <w:sz w:val="21"/>
                <w:szCs w:val="21"/>
              </w:rPr>
            </w:pPr>
            <w:r>
              <w:rPr>
                <w:rFonts w:hint="eastAsia"/>
                <w:color w:val="FF0000"/>
                <w:sz w:val="21"/>
                <w:szCs w:val="21"/>
              </w:rPr>
              <w:t>污染源排放清单</w:t>
            </w:r>
          </w:p>
        </w:tc>
        <w:tc>
          <w:tcPr>
            <w:tcW w:w="7315" w:type="dxa"/>
            <w:gridSpan w:val="14"/>
            <w:tcBorders>
              <w:tl2br w:val="nil"/>
              <w:tr2bl w:val="nil"/>
            </w:tcBorders>
            <w:vAlign w:val="center"/>
          </w:tcPr>
          <w:p>
            <w:pPr>
              <w:rPr>
                <w:rFonts w:ascii="Times New Roman" w:hAnsi="Times New Roman" w:cs="Times New Roman"/>
                <w:color w:val="FF0000"/>
                <w:sz w:val="21"/>
                <w:szCs w:val="21"/>
              </w:rPr>
            </w:pP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642" w:type="dxa"/>
            <w:gridSpan w:val="2"/>
            <w:tcBorders>
              <w:tl2br w:val="nil"/>
              <w:tr2bl w:val="nil"/>
            </w:tcBorders>
            <w:vAlign w:val="center"/>
          </w:tcPr>
          <w:p>
            <w:pPr>
              <w:jc w:val="center"/>
              <w:rPr>
                <w:color w:val="FF0000"/>
                <w:sz w:val="21"/>
                <w:szCs w:val="21"/>
              </w:rPr>
            </w:pPr>
            <w:r>
              <w:rPr>
                <w:rFonts w:hint="eastAsia"/>
                <w:color w:val="FF0000"/>
                <w:sz w:val="21"/>
                <w:szCs w:val="21"/>
              </w:rPr>
              <w:t>评价结论</w:t>
            </w:r>
          </w:p>
        </w:tc>
        <w:tc>
          <w:tcPr>
            <w:tcW w:w="7315" w:type="dxa"/>
            <w:gridSpan w:val="14"/>
            <w:tcBorders>
              <w:tl2br w:val="nil"/>
              <w:tr2bl w:val="nil"/>
            </w:tcBorders>
            <w:vAlign w:val="center"/>
          </w:tcPr>
          <w:p>
            <w:pPr>
              <w:jc w:val="left"/>
              <w:rPr>
                <w:rFonts w:ascii="Times New Roman" w:hAnsi="Times New Roman" w:cs="Times New Roman"/>
                <w:color w:val="FF0000"/>
                <w:sz w:val="21"/>
                <w:szCs w:val="21"/>
              </w:rPr>
            </w:pPr>
            <w:r>
              <w:rPr>
                <w:rFonts w:hint="eastAsia"/>
                <w:color w:val="FF0000"/>
                <w:sz w:val="21"/>
                <w:szCs w:val="21"/>
              </w:rPr>
              <w:t xml:space="preserve">可以接受 </w:t>
            </w:r>
            <w:r>
              <w:rPr>
                <w:rFonts w:hint="eastAsia"/>
                <w:color w:val="FF0000"/>
                <w:sz w:val="21"/>
                <w:szCs w:val="21"/>
              </w:rPr>
              <w:sym w:font="Wingdings 2" w:char="0052"/>
            </w:r>
            <w:r>
              <w:rPr>
                <w:rFonts w:hint="eastAsia"/>
                <w:color w:val="FF0000"/>
                <w:sz w:val="21"/>
                <w:szCs w:val="21"/>
              </w:rPr>
              <w:t xml:space="preserve">； 不可以接受 </w:t>
            </w:r>
            <w:r>
              <w:rPr>
                <w:rFonts w:hint="eastAsia"/>
                <w:color w:val="FF0000"/>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957" w:type="dxa"/>
            <w:gridSpan w:val="16"/>
            <w:tcBorders>
              <w:tl2br w:val="nil"/>
              <w:tr2bl w:val="nil"/>
            </w:tcBorders>
            <w:vAlign w:val="center"/>
          </w:tcPr>
          <w:p>
            <w:pPr>
              <w:rPr>
                <w:color w:val="FF0000"/>
                <w:sz w:val="21"/>
                <w:szCs w:val="21"/>
              </w:rPr>
            </w:pPr>
            <w:r>
              <w:rPr>
                <w:rFonts w:hint="eastAsia"/>
                <w:color w:val="FF0000"/>
                <w:sz w:val="21"/>
                <w:szCs w:val="21"/>
              </w:rPr>
              <w:t>注：“</w:t>
            </w:r>
            <w:r>
              <w:rPr>
                <w:rFonts w:hint="eastAsia"/>
                <w:color w:val="FF0000"/>
                <w:sz w:val="21"/>
                <w:szCs w:val="21"/>
              </w:rPr>
              <w:sym w:font="Wingdings 2" w:char="00A3"/>
            </w:r>
            <w:r>
              <w:rPr>
                <w:rFonts w:hint="eastAsia"/>
                <w:color w:val="FF0000"/>
                <w:sz w:val="21"/>
                <w:szCs w:val="21"/>
              </w:rPr>
              <w:t>”为勾选项，可“</w:t>
            </w:r>
            <w:r>
              <w:rPr>
                <w:rFonts w:ascii="Arial" w:hAnsi="Arial" w:cs="Arial"/>
                <w:color w:val="FF0000"/>
                <w:sz w:val="21"/>
                <w:szCs w:val="21"/>
              </w:rPr>
              <w:t>√</w:t>
            </w:r>
            <w:r>
              <w:rPr>
                <w:rFonts w:hint="eastAsia"/>
                <w:color w:val="FF0000"/>
                <w:sz w:val="21"/>
                <w:szCs w:val="21"/>
              </w:rPr>
              <w:t>”； “（ ）”为内容填写项； “备注”为其他补充内容。</w:t>
            </w:r>
          </w:p>
        </w:tc>
      </w:tr>
    </w:tbl>
    <w:p>
      <w:pPr>
        <w:pStyle w:val="5"/>
        <w:rPr>
          <w:rFonts w:hint="default"/>
          <w:color w:val="000000" w:themeColor="text1"/>
          <w:lang w:val="en-US" w:eastAsia="zh-CN"/>
        </w:rPr>
      </w:pPr>
      <w:bookmarkStart w:id="786" w:name="_Toc4471"/>
      <w:r>
        <w:rPr>
          <w:rFonts w:hint="eastAsia"/>
          <w:color w:val="000000" w:themeColor="text1"/>
          <w:lang w:val="en-US" w:eastAsia="zh-CN"/>
        </w:rPr>
        <w:t>噪声环境影响分析</w:t>
      </w:r>
      <w:bookmarkEnd w:id="78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本工程噪声源有地表噪声源和</w:t>
      </w:r>
      <w:r>
        <w:rPr>
          <w:rFonts w:hint="default" w:ascii="Times New Roman" w:hAnsi="Times New Roman" w:eastAsia="宋体" w:cs="Times New Roman"/>
          <w:color w:val="000000" w:themeColor="text1"/>
          <w:sz w:val="24"/>
          <w:szCs w:val="24"/>
          <w:lang w:eastAsia="zh-CN"/>
        </w:rPr>
        <w:t>井</w:t>
      </w:r>
      <w:r>
        <w:rPr>
          <w:rFonts w:hint="default" w:ascii="Times New Roman" w:hAnsi="Times New Roman" w:eastAsia="宋体" w:cs="Times New Roman"/>
          <w:color w:val="000000" w:themeColor="text1"/>
          <w:sz w:val="24"/>
          <w:szCs w:val="24"/>
        </w:rPr>
        <w:t>下噪声源，井下噪声源影响范围基本位于地下，对地表影响较小；地表噪声源主要有通风机和空压机</w:t>
      </w:r>
      <w:r>
        <w:rPr>
          <w:rFonts w:hint="eastAsia" w:ascii="Times New Roman" w:hAnsi="Times New Roman" w:eastAsia="宋体" w:cs="Times New Roman"/>
          <w:color w:val="000000" w:themeColor="text1"/>
          <w:sz w:val="24"/>
          <w:szCs w:val="24"/>
          <w:lang w:eastAsia="zh-CN"/>
        </w:rPr>
        <w:t>以及矿石</w:t>
      </w:r>
      <w:r>
        <w:rPr>
          <w:rFonts w:hint="eastAsia" w:ascii="Times New Roman" w:hAnsi="Times New Roman" w:eastAsia="宋体" w:cs="Times New Roman"/>
          <w:color w:val="000000" w:themeColor="text1"/>
          <w:sz w:val="24"/>
          <w:szCs w:val="24"/>
          <w:lang w:val="en-US" w:eastAsia="zh-CN"/>
        </w:rPr>
        <w:t>外运车辆的运输噪声</w:t>
      </w:r>
      <w:r>
        <w:rPr>
          <w:rFonts w:hint="eastAsia" w:ascii="Times New Roman" w:hAnsi="Times New Roman" w:eastAsia="宋体" w:cs="Times New Roman"/>
          <w:color w:val="000000" w:themeColor="text1"/>
          <w:sz w:val="24"/>
          <w:szCs w:val="24"/>
          <w:lang w:eastAsia="zh-CN"/>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5.2.</w:t>
      </w:r>
      <w:r>
        <w:rPr>
          <w:rFonts w:hint="eastAsia" w:ascii="Times New Roman" w:hAnsi="Times New Roman" w:eastAsia="宋体" w:cs="Times New Roman"/>
          <w:b/>
          <w:bCs/>
          <w:color w:val="000000" w:themeColor="text1"/>
          <w:sz w:val="24"/>
          <w:szCs w:val="24"/>
          <w:lang w:val="en-US" w:eastAsia="zh-CN"/>
        </w:rPr>
        <w:t>3</w:t>
      </w:r>
      <w:r>
        <w:rPr>
          <w:rFonts w:hint="default" w:ascii="Times New Roman" w:hAnsi="Times New Roman" w:eastAsia="宋体" w:cs="Times New Roman"/>
          <w:b/>
          <w:bCs/>
          <w:color w:val="000000" w:themeColor="text1"/>
          <w:sz w:val="24"/>
          <w:szCs w:val="24"/>
          <w:lang w:val="en-US" w:eastAsia="zh-CN"/>
        </w:rPr>
        <w:t xml:space="preserve">.1 </w:t>
      </w:r>
      <w:r>
        <w:rPr>
          <w:rFonts w:hint="default" w:ascii="Times New Roman" w:hAnsi="Times New Roman" w:eastAsia="宋体" w:cs="Times New Roman"/>
          <w:b/>
          <w:bCs/>
          <w:color w:val="000000" w:themeColor="text1"/>
          <w:sz w:val="24"/>
          <w:szCs w:val="24"/>
        </w:rPr>
        <w:t>井下噪声及振动分析</w:t>
      </w:r>
    </w:p>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井下噪声分析</w:t>
      </w:r>
    </w:p>
    <w:p>
      <w:pPr>
        <w:pStyle w:val="60"/>
        <w:spacing w:line="360" w:lineRule="auto"/>
        <w:ind w:firstLine="480" w:firstLineChars="20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为硐采，主要的噪声源有凿岩机、抽水泵、运矿车和爆破噪声，影响范围主要在地下采掘面以及巷道内，凿岩机、抽水泵、运矿车为间断性噪声排放，最大声级在100dB(A)左右，爆破噪声为偶发性噪声源，最大声级在110dB(A)左右。由于噪声源位于地下，经过岩层的阻隔，井下噪声对外界声环境的影响很小。</w:t>
      </w:r>
    </w:p>
    <w:p>
      <w:pPr>
        <w:pStyle w:val="60"/>
        <w:spacing w:line="360" w:lineRule="auto"/>
        <w:ind w:firstLine="480" w:firstLineChars="20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（2）爆破振动分析</w:t>
      </w:r>
    </w:p>
    <w:p>
      <w:pPr>
        <w:pStyle w:val="60"/>
        <w:spacing w:line="360" w:lineRule="auto"/>
        <w:ind w:firstLine="480" w:firstLineChars="20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在爆破时，由于短时间内存在爆炸产生的应力波，会对岩石质点产生弹性振动，并且以弹性波的形式向外传播。</w:t>
      </w:r>
      <w:r>
        <w:rPr>
          <w:rFonts w:hint="default" w:ascii="Times New Roman" w:hAnsi="Times New Roman" w:eastAsia="宋体" w:cs="Times New Roman"/>
          <w:color w:val="000000" w:themeColor="text1"/>
          <w:szCs w:val="22"/>
        </w:rPr>
        <w:t>爆破材料选用炸药、微差导爆管雷管起爆，炮眼沿倾向平行布置，起爆顺序从自由面开始一次性爆破，装药系数为0.6～0.7，各炮孔通过导爆管连接，一次凿岩爆破长度为10m左右。由开发利用方案可知</w:t>
      </w:r>
      <w:r>
        <w:rPr>
          <w:rFonts w:hint="default" w:ascii="Times New Roman" w:hAnsi="Times New Roman" w:eastAsia="宋体" w:cs="Times New Roman"/>
          <w:color w:val="000000" w:themeColor="text1"/>
        </w:rPr>
        <w:t>，矿区开采过程中可能诱发或加剧的主要工程地质问题是冒顶和塌方。故应在爆破操作时，严格按照爆破的各项规定进行操作，加强放炮管理</w:t>
      </w:r>
      <w:r>
        <w:rPr>
          <w:rFonts w:hint="eastAsia" w:ascii="Times New Roman" w:eastAsia="宋体" w:cs="Times New Roman"/>
          <w:color w:val="000000" w:themeColor="text1"/>
          <w:lang w:eastAsia="zh-CN"/>
        </w:rPr>
        <w:t>，</w:t>
      </w:r>
      <w:r>
        <w:rPr>
          <w:rFonts w:hint="default" w:ascii="Times New Roman" w:hAnsi="Times New Roman" w:eastAsia="宋体" w:cs="Times New Roman"/>
          <w:color w:val="000000" w:themeColor="text1"/>
        </w:rPr>
        <w:t>使用安全炸药</w:t>
      </w:r>
      <w:r>
        <w:rPr>
          <w:rFonts w:hint="eastAsia" w:ascii="Times New Roman" w:eastAsia="宋体" w:cs="Times New Roman"/>
          <w:color w:val="000000" w:themeColor="text1"/>
          <w:lang w:eastAsia="zh-CN"/>
        </w:rPr>
        <w:t>，</w:t>
      </w:r>
      <w:r>
        <w:rPr>
          <w:rFonts w:hint="default" w:ascii="Times New Roman" w:hAnsi="Times New Roman" w:eastAsia="宋体" w:cs="Times New Roman"/>
          <w:color w:val="000000" w:themeColor="text1"/>
        </w:rPr>
        <w:t>不</w:t>
      </w:r>
      <w:r>
        <w:rPr>
          <w:rFonts w:hint="eastAsia" w:ascii="Times New Roman" w:eastAsia="宋体" w:cs="Times New Roman"/>
          <w:color w:val="000000" w:themeColor="text1"/>
          <w:lang w:val="en-US" w:eastAsia="zh-CN"/>
        </w:rPr>
        <w:t>得</w:t>
      </w:r>
      <w:r>
        <w:rPr>
          <w:rFonts w:hint="default" w:ascii="Times New Roman" w:hAnsi="Times New Roman" w:eastAsia="宋体" w:cs="Times New Roman"/>
          <w:color w:val="000000" w:themeColor="text1"/>
        </w:rPr>
        <w:t>将药卷内的消焰粉倒掉</w:t>
      </w:r>
      <w:r>
        <w:rPr>
          <w:rFonts w:hint="eastAsia" w:ascii="Times New Roman" w:eastAsia="宋体" w:cs="Times New Roman"/>
          <w:color w:val="000000" w:themeColor="text1"/>
          <w:lang w:eastAsia="zh-CN"/>
        </w:rPr>
        <w:t>，</w:t>
      </w:r>
      <w:r>
        <w:rPr>
          <w:rFonts w:hint="default" w:ascii="Times New Roman" w:hAnsi="Times New Roman" w:eastAsia="宋体" w:cs="Times New Roman"/>
          <w:color w:val="000000" w:themeColor="text1"/>
        </w:rPr>
        <w:t>不</w:t>
      </w:r>
      <w:r>
        <w:rPr>
          <w:rFonts w:hint="eastAsia" w:ascii="Times New Roman" w:eastAsia="宋体" w:cs="Times New Roman"/>
          <w:color w:val="000000" w:themeColor="text1"/>
          <w:lang w:val="en-US" w:eastAsia="zh-CN"/>
        </w:rPr>
        <w:t>得</w:t>
      </w:r>
      <w:r>
        <w:rPr>
          <w:rFonts w:hint="default" w:ascii="Times New Roman" w:hAnsi="Times New Roman" w:eastAsia="宋体" w:cs="Times New Roman"/>
          <w:color w:val="000000" w:themeColor="text1"/>
        </w:rPr>
        <w:t>放明炮、糊炮</w:t>
      </w:r>
      <w:r>
        <w:rPr>
          <w:rFonts w:hint="eastAsia" w:ascii="Times New Roman" w:eastAsia="宋体" w:cs="Times New Roman"/>
          <w:color w:val="000000" w:themeColor="text1"/>
          <w:lang w:eastAsia="zh-CN"/>
        </w:rPr>
        <w:t>，</w:t>
      </w:r>
      <w:r>
        <w:rPr>
          <w:rFonts w:hint="default" w:ascii="Times New Roman" w:hAnsi="Times New Roman" w:eastAsia="宋体" w:cs="Times New Roman"/>
          <w:color w:val="000000" w:themeColor="text1"/>
        </w:rPr>
        <w:t>不</w:t>
      </w:r>
      <w:r>
        <w:rPr>
          <w:rFonts w:hint="eastAsia" w:ascii="Times New Roman" w:eastAsia="宋体" w:cs="Times New Roman"/>
          <w:color w:val="000000" w:themeColor="text1"/>
          <w:lang w:val="en-US" w:eastAsia="zh-CN"/>
        </w:rPr>
        <w:t>得</w:t>
      </w:r>
      <w:r>
        <w:rPr>
          <w:rFonts w:hint="default" w:ascii="Times New Roman" w:hAnsi="Times New Roman" w:eastAsia="宋体" w:cs="Times New Roman"/>
          <w:color w:val="000000" w:themeColor="text1"/>
        </w:rPr>
        <w:t>用明火、动力线放炮</w:t>
      </w:r>
      <w:r>
        <w:rPr>
          <w:rFonts w:hint="eastAsia" w:ascii="Times New Roman" w:eastAsia="宋体" w:cs="Times New Roman"/>
          <w:color w:val="000000" w:themeColor="text1"/>
          <w:lang w:eastAsia="zh-CN"/>
        </w:rPr>
        <w:t>；</w:t>
      </w:r>
      <w:r>
        <w:rPr>
          <w:rFonts w:hint="default" w:ascii="Times New Roman" w:hAnsi="Times New Roman" w:eastAsia="宋体" w:cs="Times New Roman"/>
          <w:color w:val="000000" w:themeColor="text1"/>
        </w:rPr>
        <w:t>炮眼封泥要装满</w:t>
      </w:r>
      <w:r>
        <w:rPr>
          <w:rFonts w:hint="eastAsia" w:ascii="Times New Roman" w:eastAsia="宋体" w:cs="Times New Roman"/>
          <w:color w:val="000000" w:themeColor="text1"/>
          <w:lang w:eastAsia="zh-CN"/>
        </w:rPr>
        <w:t>，</w:t>
      </w:r>
      <w:r>
        <w:rPr>
          <w:rFonts w:hint="default" w:ascii="Times New Roman" w:hAnsi="Times New Roman" w:eastAsia="宋体" w:cs="Times New Roman"/>
          <w:color w:val="000000" w:themeColor="text1"/>
        </w:rPr>
        <w:t>并使用水炮泥</w:t>
      </w: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严格按规程规定装药、连线和放炮。由于本项目爆破作业只在昼间进行，周边居民分布与本项目较远，经过合理规范的操作，认为本项目的爆破振动影响可接受。</w:t>
      </w:r>
    </w:p>
    <w:p>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5.2.</w:t>
      </w:r>
      <w:r>
        <w:rPr>
          <w:rFonts w:hint="eastAsia" w:ascii="Times New Roman" w:hAnsi="Times New Roman" w:eastAsia="宋体" w:cs="Times New Roman"/>
          <w:b/>
          <w:bCs/>
          <w:color w:val="000000" w:themeColor="text1"/>
          <w:sz w:val="24"/>
          <w:szCs w:val="24"/>
          <w:lang w:val="en-US" w:eastAsia="zh-CN"/>
        </w:rPr>
        <w:t>3</w:t>
      </w:r>
      <w:r>
        <w:rPr>
          <w:rFonts w:hint="default" w:ascii="Times New Roman" w:hAnsi="Times New Roman" w:eastAsia="宋体" w:cs="Times New Roman"/>
          <w:b/>
          <w:bCs/>
          <w:color w:val="000000" w:themeColor="text1"/>
          <w:sz w:val="24"/>
          <w:szCs w:val="24"/>
          <w:lang w:val="en-US" w:eastAsia="zh-CN"/>
        </w:rPr>
        <w:t>.2</w:t>
      </w:r>
      <w:r>
        <w:rPr>
          <w:rFonts w:hint="default" w:ascii="Times New Roman" w:hAnsi="Times New Roman" w:eastAsia="宋体" w:cs="Times New Roman"/>
          <w:b/>
          <w:bCs/>
          <w:color w:val="000000" w:themeColor="text1"/>
          <w:sz w:val="24"/>
          <w:szCs w:val="24"/>
        </w:rPr>
        <w:t>地表噪声分析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color w:val="000000" w:themeColor="text1"/>
        </w:rPr>
      </w:pPr>
      <w:r>
        <w:rPr>
          <w:rFonts w:hint="default" w:ascii="Times New Roman" w:hAnsi="Times New Roman" w:eastAsia="宋体" w:cs="Times New Roman"/>
          <w:color w:val="000000" w:themeColor="text1"/>
          <w:sz w:val="24"/>
          <w:szCs w:val="24"/>
        </w:rPr>
        <w:t>本项目地表噪声主要有空压机和通风机。</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leftChars="200"/>
        <w:jc w:val="left"/>
        <w:textAlignment w:val="auto"/>
        <w:rPr>
          <w:rFonts w:hint="default" w:ascii="Times New Roman" w:hAnsi="Times New Roman" w:eastAsia="宋体" w:cs="Times New Roman"/>
          <w:b w:val="0"/>
          <w:bCs w:val="0"/>
          <w:color w:val="FF0000"/>
          <w:sz w:val="24"/>
          <w:szCs w:val="24"/>
        </w:rPr>
      </w:pP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1</w:t>
      </w:r>
      <w:r>
        <w:rPr>
          <w:rFonts w:hint="eastAsia"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rPr>
        <w:t>噪声源</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项目噪声源情况见下表：</w:t>
      </w:r>
    </w:p>
    <w:p>
      <w:pPr>
        <w:pStyle w:val="22"/>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表</w:t>
      </w:r>
      <w:r>
        <w:rPr>
          <w:rFonts w:hint="default" w:ascii="Times New Roman" w:hAnsi="Times New Roman" w:eastAsia="宋体" w:cs="Times New Roman"/>
          <w:b/>
          <w:bCs/>
          <w:color w:val="FF0000"/>
          <w:lang w:val="en-US" w:eastAsia="zh-CN"/>
        </w:rPr>
        <w:t>5.2-1</w:t>
      </w:r>
      <w:r>
        <w:rPr>
          <w:rFonts w:hint="eastAsia" w:ascii="Times New Roman" w:hAnsi="Times New Roman" w:eastAsia="宋体" w:cs="Times New Roman"/>
          <w:b/>
          <w:bCs/>
          <w:color w:val="FF0000"/>
          <w:lang w:val="en-US" w:eastAsia="zh-CN"/>
        </w:rPr>
        <w:t>1</w:t>
      </w:r>
      <w:r>
        <w:rPr>
          <w:rFonts w:hint="default" w:ascii="Times New Roman" w:hAnsi="Times New Roman" w:eastAsia="宋体" w:cs="Times New Roman"/>
          <w:b/>
          <w:bCs/>
          <w:color w:val="FF0000"/>
        </w:rPr>
        <w:t xml:space="preserve">  采场主要噪声源情况表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19"/>
        <w:gridCol w:w="1321"/>
        <w:gridCol w:w="1320"/>
        <w:gridCol w:w="1320"/>
        <w:gridCol w:w="1320"/>
        <w:gridCol w:w="1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声源位置</w:t>
            </w:r>
          </w:p>
        </w:tc>
        <w:tc>
          <w:tcPr>
            <w:tcW w:w="1319"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噪声源</w:t>
            </w:r>
          </w:p>
        </w:tc>
        <w:tc>
          <w:tcPr>
            <w:tcW w:w="1321"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治理前单台设备声压级</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治理措施</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治理后单台设备声压级</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运行情况</w:t>
            </w:r>
          </w:p>
        </w:tc>
        <w:tc>
          <w:tcPr>
            <w:tcW w:w="1037" w:type="dxa"/>
            <w:tcBorders>
              <w:tl2br w:val="nil"/>
              <w:tr2bl w:val="nil"/>
            </w:tcBorders>
            <w:vAlign w:val="center"/>
          </w:tcPr>
          <w:p>
            <w:pPr>
              <w:pStyle w:val="22"/>
              <w:adjustRightInd w:val="0"/>
              <w:snapToGrid w:val="0"/>
              <w:spacing w:after="0"/>
              <w:ind w:left="0" w:leftChars="0" w:firstLine="0" w:firstLineChars="0"/>
              <w:jc w:val="center"/>
              <w:rPr>
                <w:rFonts w:hint="eastAsia" w:ascii="Times New Roman" w:hAnsi="Times New Roman" w:eastAsia="宋体" w:cs="Times New Roman"/>
                <w:b/>
                <w:bCs/>
                <w:color w:val="FF0000"/>
                <w:lang w:eastAsia="zh-CN"/>
              </w:rPr>
            </w:pPr>
            <w:r>
              <w:rPr>
                <w:rFonts w:hint="eastAsia" w:ascii="Times New Roman" w:hAnsi="Times New Roman" w:eastAsia="宋体" w:cs="Times New Roman"/>
                <w:b/>
                <w:bCs/>
                <w:color w:val="FF0000"/>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工业场地</w:t>
            </w:r>
          </w:p>
        </w:tc>
        <w:tc>
          <w:tcPr>
            <w:tcW w:w="1319"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空压机</w:t>
            </w:r>
          </w:p>
        </w:tc>
        <w:tc>
          <w:tcPr>
            <w:tcW w:w="1321"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95dB(A)</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eastAsia" w:ascii="Times New Roman" w:hAnsi="Times New Roman" w:eastAsia="宋体" w:cs="Times New Roman"/>
                <w:color w:val="FF0000"/>
                <w:lang w:eastAsia="zh-CN"/>
              </w:rPr>
            </w:pPr>
            <w:r>
              <w:rPr>
                <w:rFonts w:hint="default" w:ascii="Times New Roman" w:hAnsi="Times New Roman" w:eastAsia="宋体" w:cs="Times New Roman"/>
                <w:color w:val="FF0000"/>
              </w:rPr>
              <w:t>设置空压机房</w:t>
            </w:r>
            <w:r>
              <w:rPr>
                <w:rFonts w:hint="eastAsia" w:ascii="Times New Roman" w:hAnsi="Times New Roman" w:eastAsia="宋体" w:cs="Times New Roman"/>
                <w:color w:val="FF0000"/>
                <w:lang w:eastAsia="zh-CN"/>
              </w:rPr>
              <w:t>、基础减振等</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eastAsia" w:ascii="Times New Roman" w:hAnsi="Times New Roman" w:eastAsia="宋体" w:cs="Times New Roman"/>
                <w:color w:val="FF0000"/>
                <w:lang w:val="en-US" w:eastAsia="zh-CN"/>
              </w:rPr>
              <w:t>80</w:t>
            </w:r>
            <w:r>
              <w:rPr>
                <w:rFonts w:hint="default" w:ascii="Times New Roman" w:hAnsi="Times New Roman" w:eastAsia="宋体" w:cs="Times New Roman"/>
                <w:color w:val="FF0000"/>
              </w:rPr>
              <w:t>dB(A)</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连续</w:t>
            </w:r>
          </w:p>
        </w:tc>
        <w:tc>
          <w:tcPr>
            <w:tcW w:w="1037" w:type="dxa"/>
            <w:vMerge w:val="restart"/>
            <w:tcBorders>
              <w:tl2br w:val="nil"/>
              <w:tr2bl w:val="nil"/>
            </w:tcBorders>
            <w:vAlign w:val="center"/>
          </w:tcPr>
          <w:p>
            <w:pPr>
              <w:pStyle w:val="22"/>
              <w:adjustRightInd w:val="0"/>
              <w:snapToGrid w:val="0"/>
              <w:spacing w:after="0"/>
              <w:ind w:left="0" w:leftChars="0" w:firstLine="0" w:firstLineChars="0"/>
              <w:jc w:val="center"/>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eastAsia="zh-CN"/>
              </w:rPr>
              <w:t>距离声源</w:t>
            </w:r>
            <w:r>
              <w:rPr>
                <w:rFonts w:hint="eastAsia" w:ascii="Times New Roman" w:hAnsi="Times New Roman" w:eastAsia="宋体" w:cs="Times New Roman"/>
                <w:color w:val="FF0000"/>
                <w:lang w:val="en-US" w:eastAsia="zh-CN"/>
              </w:rPr>
              <w:t>1米处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风井口</w:t>
            </w:r>
          </w:p>
        </w:tc>
        <w:tc>
          <w:tcPr>
            <w:tcW w:w="1319"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通风机</w:t>
            </w:r>
          </w:p>
        </w:tc>
        <w:tc>
          <w:tcPr>
            <w:tcW w:w="1321"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eastAsia" w:ascii="Times New Roman" w:hAnsi="Times New Roman" w:eastAsia="宋体" w:cs="Times New Roman"/>
                <w:color w:val="FF0000"/>
                <w:lang w:val="en-US" w:eastAsia="zh-CN"/>
              </w:rPr>
              <w:t>93</w:t>
            </w:r>
            <w:r>
              <w:rPr>
                <w:rFonts w:hint="default" w:ascii="Times New Roman" w:hAnsi="Times New Roman" w:eastAsia="宋体" w:cs="Times New Roman"/>
                <w:color w:val="FF0000"/>
              </w:rPr>
              <w:t>dB(A)</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eastAsia" w:ascii="Times New Roman" w:hAnsi="Times New Roman" w:eastAsia="宋体" w:cs="Times New Roman"/>
                <w:color w:val="FF0000"/>
                <w:lang w:eastAsia="zh-CN"/>
              </w:rPr>
            </w:pPr>
            <w:r>
              <w:rPr>
                <w:rFonts w:hint="default" w:ascii="Times New Roman" w:hAnsi="Times New Roman" w:eastAsia="宋体" w:cs="Times New Roman"/>
                <w:color w:val="FF0000"/>
              </w:rPr>
              <w:t>加消声器</w:t>
            </w:r>
            <w:r>
              <w:rPr>
                <w:rFonts w:hint="eastAsia" w:ascii="Times New Roman" w:hAnsi="Times New Roman" w:eastAsia="宋体" w:cs="Times New Roman"/>
                <w:color w:val="FF0000"/>
                <w:lang w:eastAsia="zh-CN"/>
              </w:rPr>
              <w:t>、基础减振等</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78dB(A)</w:t>
            </w:r>
          </w:p>
        </w:tc>
        <w:tc>
          <w:tcPr>
            <w:tcW w:w="1320" w:type="dxa"/>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连续</w:t>
            </w:r>
          </w:p>
        </w:tc>
        <w:tc>
          <w:tcPr>
            <w:tcW w:w="1037" w:type="dxa"/>
            <w:vMerge w:val="continue"/>
            <w:tcBorders>
              <w:tl2br w:val="nil"/>
              <w:tr2bl w:val="nil"/>
            </w:tcBorders>
            <w:vAlign w:val="center"/>
          </w:tcPr>
          <w:p>
            <w:pPr>
              <w:pStyle w:val="22"/>
              <w:adjustRightInd w:val="0"/>
              <w:snapToGrid w:val="0"/>
              <w:spacing w:after="0"/>
              <w:ind w:left="0" w:leftChars="0" w:firstLine="0" w:firstLineChars="0"/>
              <w:jc w:val="center"/>
              <w:rPr>
                <w:rFonts w:hint="default" w:ascii="Times New Roman" w:hAnsi="Times New Roman" w:eastAsia="宋体" w:cs="Times New Roman"/>
                <w:color w:val="FF0000"/>
              </w:rPr>
            </w:pP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jc w:val="center"/>
        <w:textAlignment w:val="auto"/>
        <w:outlineLvl w:val="9"/>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eastAsia="zh-CN"/>
        </w:rPr>
        <w:t>表</w:t>
      </w:r>
      <w:r>
        <w:rPr>
          <w:rFonts w:hint="eastAsia" w:ascii="Times New Roman" w:hAnsi="Times New Roman" w:eastAsia="宋体" w:cs="Times New Roman"/>
          <w:b/>
          <w:bCs/>
          <w:color w:val="000000" w:themeColor="text1"/>
          <w:sz w:val="21"/>
          <w:szCs w:val="21"/>
          <w:lang w:val="en-US" w:eastAsia="zh-CN"/>
        </w:rPr>
        <w:t>5.2-12  预测过程中的环境数据</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549"/>
        <w:gridCol w:w="2090"/>
        <w:gridCol w:w="1444"/>
        <w:gridCol w:w="1549"/>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45"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eastAsia" w:ascii="Times New Roman" w:hAnsi="Times New Roman" w:eastAsia="宋体" w:cs="Times New Roman"/>
                <w:b w:val="0"/>
                <w:bCs w:val="0"/>
                <w:color w:val="000000" w:themeColor="text1"/>
                <w:sz w:val="21"/>
                <w:szCs w:val="21"/>
                <w:vertAlign w:val="baseline"/>
                <w:lang w:eastAsia="zh-CN"/>
              </w:rPr>
              <w:t>项目</w:t>
            </w:r>
          </w:p>
        </w:tc>
        <w:tc>
          <w:tcPr>
            <w:tcW w:w="154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eastAsia" w:ascii="Times New Roman" w:hAnsi="Times New Roman" w:eastAsia="宋体" w:cs="Times New Roman"/>
                <w:b w:val="0"/>
                <w:bCs w:val="0"/>
                <w:color w:val="000000" w:themeColor="text1"/>
                <w:sz w:val="21"/>
                <w:szCs w:val="21"/>
                <w:vertAlign w:val="baseline"/>
                <w:lang w:eastAsia="zh-CN"/>
              </w:rPr>
              <w:t>系数屏障厚度</w:t>
            </w:r>
          </w:p>
        </w:tc>
        <w:tc>
          <w:tcPr>
            <w:tcW w:w="209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扩散经过的地面类型</w:t>
            </w:r>
          </w:p>
        </w:tc>
        <w:tc>
          <w:tcPr>
            <w:tcW w:w="1444"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环境空气温度</w:t>
            </w:r>
          </w:p>
        </w:tc>
        <w:tc>
          <w:tcPr>
            <w:tcW w:w="154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空气相对湿度</w:t>
            </w:r>
          </w:p>
        </w:tc>
        <w:tc>
          <w:tcPr>
            <w:tcW w:w="138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空气大气压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45"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eastAsia" w:ascii="Times New Roman" w:hAnsi="Times New Roman" w:eastAsia="宋体" w:cs="Times New Roman"/>
                <w:b w:val="0"/>
                <w:bCs w:val="0"/>
                <w:color w:val="000000" w:themeColor="text1"/>
                <w:sz w:val="21"/>
                <w:szCs w:val="21"/>
                <w:vertAlign w:val="baseline"/>
                <w:lang w:eastAsia="zh-CN"/>
              </w:rPr>
              <w:t>参数</w:t>
            </w:r>
          </w:p>
        </w:tc>
        <w:tc>
          <w:tcPr>
            <w:tcW w:w="154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10m</w:t>
            </w:r>
          </w:p>
        </w:tc>
        <w:tc>
          <w:tcPr>
            <w:tcW w:w="209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eastAsia="zh-CN"/>
              </w:rPr>
            </w:pPr>
            <w:r>
              <w:rPr>
                <w:rFonts w:hint="eastAsia" w:ascii="Times New Roman" w:hAnsi="Times New Roman" w:eastAsia="宋体" w:cs="Times New Roman"/>
                <w:b w:val="0"/>
                <w:bCs w:val="0"/>
                <w:color w:val="000000" w:themeColor="text1"/>
                <w:sz w:val="21"/>
                <w:szCs w:val="21"/>
                <w:vertAlign w:val="baseline"/>
                <w:lang w:eastAsia="zh-CN"/>
              </w:rPr>
              <w:t>草地，灌木软地面</w:t>
            </w:r>
          </w:p>
        </w:tc>
        <w:tc>
          <w:tcPr>
            <w:tcW w:w="1444"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2</w:t>
            </w:r>
            <w:r>
              <w:rPr>
                <w:rFonts w:hint="eastAsia" w:ascii="Times New Roman" w:hAnsi="Times New Roman" w:eastAsia="宋体" w:cs="Times New Roman"/>
                <w:b w:val="0"/>
                <w:bCs w:val="0"/>
                <w:color w:val="000000" w:themeColor="text1"/>
                <w:sz w:val="21"/>
                <w:szCs w:val="21"/>
                <w:vertAlign w:val="baseline"/>
                <w:lang w:val="en-US" w:eastAsia="zh-CN"/>
              </w:rPr>
              <w:t>5</w:t>
            </w:r>
            <w:r>
              <w:rPr>
                <w:rFonts w:hint="default" w:ascii="Times New Roman" w:hAnsi="Times New Roman" w:eastAsia="宋体" w:cs="Times New Roman"/>
                <w:b w:val="0"/>
                <w:bCs w:val="0"/>
                <w:color w:val="000000" w:themeColor="text1"/>
                <w:sz w:val="21"/>
                <w:szCs w:val="21"/>
                <w:vertAlign w:val="baseline"/>
                <w:lang w:val="en-US" w:eastAsia="zh-CN"/>
              </w:rPr>
              <w:t>℃</w:t>
            </w:r>
          </w:p>
        </w:tc>
        <w:tc>
          <w:tcPr>
            <w:tcW w:w="1549"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48</w:t>
            </w:r>
            <w:r>
              <w:rPr>
                <w:rFonts w:hint="eastAsia" w:ascii="Times New Roman" w:hAnsi="Times New Roman" w:eastAsia="宋体" w:cs="Times New Roman"/>
                <w:b w:val="0"/>
                <w:bCs w:val="0"/>
                <w:color w:val="000000" w:themeColor="text1"/>
                <w:sz w:val="21"/>
                <w:szCs w:val="21"/>
                <w:vertAlign w:val="baseline"/>
                <w:lang w:val="en-US" w:eastAsia="zh-CN"/>
              </w:rPr>
              <w:t>%</w:t>
            </w:r>
          </w:p>
        </w:tc>
        <w:tc>
          <w:tcPr>
            <w:tcW w:w="1380" w:type="dxa"/>
            <w:tcBorders>
              <w:tl2br w:val="nil"/>
              <w:tr2bl w:val="nil"/>
            </w:tcBorders>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1atm</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预测模式</w:t>
      </w:r>
    </w:p>
    <w:p>
      <w:pPr>
        <w:keepNext w:val="0"/>
        <w:keepLines w:val="0"/>
        <w:pageBreakBefore w:val="0"/>
        <w:widowControl w:val="0"/>
        <w:kinsoku/>
        <w:wordWrap/>
        <w:overflowPunct/>
        <w:topLinePunct w:val="0"/>
        <w:autoSpaceDE/>
        <w:autoSpaceDN/>
        <w:bidi w:val="0"/>
        <w:adjustRightInd w:val="0"/>
        <w:snapToGrid w:val="0"/>
        <w:spacing w:after="312" w:line="360" w:lineRule="auto"/>
        <w:ind w:firstLine="480" w:firstLineChars="200"/>
        <w:textAlignment w:val="auto"/>
        <w:rPr>
          <w:color w:val="000000" w:themeColor="text1"/>
          <w:sz w:val="24"/>
          <w:szCs w:val="24"/>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1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rPr>
        <w:fldChar w:fldCharType="end"/>
      </w:r>
      <w:r>
        <w:rPr>
          <w:color w:val="000000" w:themeColor="text1"/>
          <w:sz w:val="24"/>
          <w:szCs w:val="24"/>
        </w:rPr>
        <w:t>单一点源衰减模式：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color w:val="FF0000"/>
          <w:sz w:val="24"/>
          <w:szCs w:val="24"/>
        </w:rPr>
      </w:pPr>
      <w:r>
        <w:rPr>
          <w:color w:val="FF0000"/>
          <w:sz w:val="24"/>
          <w:szCs w:val="24"/>
        </w:rPr>
        <w:drawing>
          <wp:inline distT="0" distB="0" distL="114300" distR="114300">
            <wp:extent cx="3006725" cy="283845"/>
            <wp:effectExtent l="0" t="0" r="317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a:stretch>
                      <a:fillRect/>
                    </a:stretch>
                  </pic:blipFill>
                  <pic:spPr>
                    <a:xfrm>
                      <a:off x="0" y="0"/>
                      <a:ext cx="3006725" cy="2838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6"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式中： </w:t>
      </w:r>
      <w:r>
        <w:rPr>
          <w:rFonts w:hint="default" w:ascii="Times New Roman" w:hAnsi="Times New Roman" w:eastAsia="宋体" w:cs="Times New Roman"/>
          <w:color w:val="auto"/>
          <w:sz w:val="24"/>
          <w:szCs w:val="24"/>
        </w:rPr>
        <w:drawing>
          <wp:inline distT="0" distB="0" distL="114300" distR="114300">
            <wp:extent cx="304800" cy="242570"/>
            <wp:effectExtent l="0" t="0" r="0" b="381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44"/>
                    <a:stretch>
                      <a:fillRect/>
                    </a:stretch>
                  </pic:blipFill>
                  <pic:spPr>
                    <a:xfrm>
                      <a:off x="0" y="0"/>
                      <a:ext cx="304800" cy="24257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距离声源</w:t>
      </w:r>
      <w:r>
        <w:rPr>
          <w:rFonts w:hint="default" w:ascii="Times New Roman" w:hAnsi="Times New Roman" w:eastAsia="宋体" w:cs="Times New Roman"/>
          <w:color w:val="auto"/>
          <w:sz w:val="24"/>
          <w:szCs w:val="24"/>
        </w:rPr>
        <w:drawing>
          <wp:inline distT="0" distB="0" distL="114300" distR="114300">
            <wp:extent cx="117475" cy="124460"/>
            <wp:effectExtent l="0" t="0" r="15875"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5"/>
                    <a:stretch>
                      <a:fillRect/>
                    </a:stretch>
                  </pic:blipFill>
                  <pic:spPr>
                    <a:xfrm>
                      <a:off x="0" y="0"/>
                      <a:ext cx="117475" cy="12446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处的声级，dB(A)；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33400" cy="242570"/>
            <wp:effectExtent l="0" t="0" r="0" b="444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6"/>
                    <a:stretch>
                      <a:fillRect/>
                    </a:stretch>
                  </pic:blipFill>
                  <pic:spPr>
                    <a:xfrm>
                      <a:off x="0" y="0"/>
                      <a:ext cx="533400" cy="24257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参考位置</w:t>
      </w:r>
      <w:r>
        <w:rPr>
          <w:rFonts w:hint="default" w:ascii="Times New Roman" w:hAnsi="Times New Roman" w:eastAsia="宋体" w:cs="Times New Roman"/>
          <w:color w:val="auto"/>
          <w:sz w:val="24"/>
          <w:szCs w:val="24"/>
        </w:rPr>
        <w:drawing>
          <wp:inline distT="0" distB="0" distL="114300" distR="114300">
            <wp:extent cx="138430" cy="228600"/>
            <wp:effectExtent l="0" t="0" r="13970"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47"/>
                    <a:stretch>
                      <a:fillRect/>
                    </a:stretch>
                  </pic:blipFill>
                  <pic:spPr>
                    <a:xfrm>
                      <a:off x="0" y="0"/>
                      <a:ext cx="138430" cy="22860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处的声级，dB(A)；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56540" cy="228600"/>
            <wp:effectExtent l="0" t="0" r="10795"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48"/>
                    <a:stretch>
                      <a:fillRect/>
                    </a:stretch>
                  </pic:blipFill>
                  <pic:spPr>
                    <a:xfrm>
                      <a:off x="0" y="0"/>
                      <a:ext cx="256540" cy="22860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声源几何发散引起的声级衰减量，dB(A)；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63525" cy="228600"/>
            <wp:effectExtent l="0" t="0" r="3175" b="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49"/>
                    <a:stretch>
                      <a:fillRect/>
                    </a:stretch>
                  </pic:blipFill>
                  <pic:spPr>
                    <a:xfrm>
                      <a:off x="0" y="0"/>
                      <a:ext cx="263525" cy="22860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遮挡物引起的声级衰减量，dB(A)；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76860" cy="228600"/>
            <wp:effectExtent l="0" t="0" r="8255"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50"/>
                    <a:stretch>
                      <a:fillRect/>
                    </a:stretch>
                  </pic:blipFill>
                  <pic:spPr>
                    <a:xfrm>
                      <a:off x="0" y="0"/>
                      <a:ext cx="276860" cy="22860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空气吸收引起的声级衰减量，dB(A)；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auto"/>
          <w:sz w:val="24"/>
          <w:szCs w:val="24"/>
        </w:rPr>
        <w:drawing>
          <wp:inline distT="0" distB="0" distL="114300" distR="114300">
            <wp:extent cx="256540" cy="228600"/>
            <wp:effectExtent l="0" t="0" r="10795" b="0"/>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51"/>
                    <a:stretch>
                      <a:fillRect/>
                    </a:stretch>
                  </pic:blipFill>
                  <pic:spPr>
                    <a:xfrm>
                      <a:off x="0" y="0"/>
                      <a:ext cx="256540" cy="22860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附加衰减量，dB(A)。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sz w:val="24"/>
          <w:szCs w:val="24"/>
        </w:rPr>
        <w:t>②</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rPr>
        <w:t>室外声源采用衰减公式为</w:t>
      </w:r>
      <w:r>
        <w:rPr>
          <w:rFonts w:hint="eastAsia"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drawing>
          <wp:inline distT="0" distB="0" distL="114300" distR="114300">
            <wp:extent cx="1475740" cy="428625"/>
            <wp:effectExtent l="0" t="0" r="10160" b="762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52" cstate="print"/>
                    <a:srcRect r="17685"/>
                    <a:stretch>
                      <a:fillRect/>
                    </a:stretch>
                  </pic:blipFill>
                  <pic:spPr>
                    <a:xfrm>
                      <a:off x="0" y="0"/>
                      <a:ext cx="1475740" cy="428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式中：L</w:t>
      </w:r>
      <w:r>
        <w:rPr>
          <w:rFonts w:hint="default" w:ascii="Times New Roman" w:hAnsi="Times New Roman" w:eastAsia="宋体" w:cs="Times New Roman"/>
          <w:color w:val="000000" w:themeColor="text1"/>
          <w:sz w:val="24"/>
          <w:szCs w:val="24"/>
          <w:vertAlign w:val="subscript"/>
        </w:rPr>
        <w:t>p</w:t>
      </w:r>
      <w:r>
        <w:rPr>
          <w:rFonts w:hint="default" w:ascii="Times New Roman" w:hAnsi="Times New Roman" w:eastAsia="宋体" w:cs="Times New Roman"/>
          <w:color w:val="000000" w:themeColor="text1"/>
          <w:sz w:val="24"/>
          <w:szCs w:val="24"/>
        </w:rPr>
        <w:t>(r)—声源在预测点的声压级，dB(A)；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L</w:t>
      </w:r>
      <w:r>
        <w:rPr>
          <w:rFonts w:hint="default" w:ascii="Times New Roman" w:hAnsi="Times New Roman" w:eastAsia="宋体" w:cs="Times New Roman"/>
          <w:color w:val="000000" w:themeColor="text1"/>
          <w:sz w:val="24"/>
          <w:szCs w:val="24"/>
          <w:vertAlign w:val="subscript"/>
        </w:rPr>
        <w:t>p</w:t>
      </w:r>
      <w:r>
        <w:rPr>
          <w:rFonts w:hint="default" w:ascii="Times New Roman" w:hAnsi="Times New Roman" w:eastAsia="宋体" w:cs="Times New Roman"/>
          <w:color w:val="000000" w:themeColor="text1"/>
          <w:sz w:val="24"/>
          <w:szCs w:val="24"/>
        </w:rPr>
        <w:t>(r</w:t>
      </w:r>
      <w:r>
        <w:rPr>
          <w:rFonts w:hint="default" w:ascii="Times New Roman" w:hAnsi="Times New Roman" w:eastAsia="宋体" w:cs="Times New Roman"/>
          <w:color w:val="000000" w:themeColor="text1"/>
          <w:sz w:val="24"/>
          <w:szCs w:val="24"/>
          <w:vertAlign w:val="subscript"/>
        </w:rPr>
        <w:t>0</w:t>
      </w:r>
      <w:r>
        <w:rPr>
          <w:rFonts w:hint="default" w:ascii="Times New Roman" w:hAnsi="Times New Roman" w:eastAsia="宋体" w:cs="Times New Roman"/>
          <w:color w:val="000000" w:themeColor="text1"/>
          <w:sz w:val="24"/>
          <w:szCs w:val="24"/>
        </w:rPr>
        <w:t>)—参考位置的声压级，dB(A)；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r—声源</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声源中心</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距预测点间的距离，m。</w:t>
      </w:r>
    </w:p>
    <w:p>
      <w:pPr>
        <w:keepNext w:val="0"/>
        <w:keepLines w:val="0"/>
        <w:pageBreakBefore w:val="0"/>
        <w:widowControl w:val="0"/>
        <w:kinsoku/>
        <w:wordWrap/>
        <w:overflowPunct/>
        <w:topLinePunct w:val="0"/>
        <w:autoSpaceDE/>
        <w:autoSpaceDN/>
        <w:bidi w:val="0"/>
        <w:adjustRightInd w:val="0"/>
        <w:snapToGrid w:val="0"/>
        <w:spacing w:after="156"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3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auto"/>
          <w:sz w:val="24"/>
          <w:szCs w:val="24"/>
        </w:rPr>
        <w:t>预测点的噪声预测值：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819400" cy="304800"/>
            <wp:effectExtent l="0" t="0" r="0" b="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53"/>
                    <a:stretch>
                      <a:fillRect/>
                    </a:stretch>
                  </pic:blipFill>
                  <pic:spPr>
                    <a:xfrm>
                      <a:off x="0" y="0"/>
                      <a:ext cx="2819400" cy="304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rPr>
        <w:drawing>
          <wp:inline distT="0" distB="0" distL="114300" distR="114300">
            <wp:extent cx="304800" cy="228600"/>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54"/>
                    <a:stretch>
                      <a:fillRect/>
                    </a:stretch>
                  </pic:blipFill>
                  <pic:spPr>
                    <a:xfrm>
                      <a:off x="0" y="0"/>
                      <a:ext cx="304800" cy="22860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各预测点的噪声预测值，dB(A)；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29260" cy="242570"/>
            <wp:effectExtent l="0" t="0" r="8890" b="381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55"/>
                    <a:stretch>
                      <a:fillRect/>
                    </a:stretch>
                  </pic:blipFill>
                  <pic:spPr>
                    <a:xfrm>
                      <a:off x="0" y="0"/>
                      <a:ext cx="429260" cy="24257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各噪声源对预测点的噪声贡献值，dB(A)；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FF0000"/>
          <w:sz w:val="24"/>
          <w:szCs w:val="24"/>
          <w:lang w:eastAsia="zh-CN"/>
        </w:rPr>
      </w:pPr>
      <w:r>
        <w:rPr>
          <w:rFonts w:hint="default" w:ascii="Times New Roman" w:hAnsi="Times New Roman" w:eastAsia="宋体" w:cs="Times New Roman"/>
          <w:color w:val="auto"/>
          <w:sz w:val="24"/>
          <w:szCs w:val="24"/>
        </w:rPr>
        <w:drawing>
          <wp:inline distT="0" distB="0" distL="114300" distR="114300">
            <wp:extent cx="443230" cy="242570"/>
            <wp:effectExtent l="0" t="0" r="13970" b="381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pic:cNvPicPr>
                      <a:picLocks noChangeAspect="1"/>
                    </pic:cNvPicPr>
                  </pic:nvPicPr>
                  <pic:blipFill>
                    <a:blip r:embed="rId56"/>
                    <a:stretch>
                      <a:fillRect/>
                    </a:stretch>
                  </pic:blipFill>
                  <pic:spPr>
                    <a:xfrm>
                      <a:off x="0" y="0"/>
                      <a:ext cx="443230" cy="24257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rPr>
        <w:t>—— 各预测点的噪声背景值，dB(A)。</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3</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预测结果与评价</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3"/>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预测结果见表</w:t>
      </w:r>
      <w:r>
        <w:rPr>
          <w:rFonts w:hint="eastAsia" w:ascii="Times New Roman" w:hAnsi="Times New Roman" w:eastAsia="宋体" w:cs="Times New Roman"/>
          <w:color w:val="000000" w:themeColor="text1"/>
          <w:sz w:val="24"/>
          <w:szCs w:val="24"/>
          <w:lang w:val="en-US" w:eastAsia="zh-CN"/>
        </w:rPr>
        <w:t>5.2-13和表5.2-14。</w:t>
      </w:r>
    </w:p>
    <w:p>
      <w:pPr>
        <w:pageBreakBefore w:val="0"/>
        <w:widowControl w:val="0"/>
        <w:kinsoku/>
        <w:wordWrap/>
        <w:overflowPunct/>
        <w:topLinePunct w:val="0"/>
        <w:autoSpaceDE/>
        <w:autoSpaceDN/>
        <w:bidi w:val="0"/>
        <w:adjustRightInd w:val="0"/>
        <w:snapToGrid w:val="0"/>
        <w:spacing w:line="360" w:lineRule="auto"/>
        <w:jc w:val="center"/>
        <w:textAlignment w:val="auto"/>
        <w:outlineLvl w:val="3"/>
        <w:rPr>
          <w:rFonts w:hint="eastAsia"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highlight w:val="none"/>
          <w:lang w:val="en-US" w:eastAsia="zh-CN"/>
        </w:rPr>
        <w:t>表</w:t>
      </w:r>
      <w:r>
        <w:rPr>
          <w:rFonts w:hint="eastAsia" w:ascii="Times New Roman" w:hAnsi="Times New Roman" w:eastAsia="宋体" w:cs="Times New Roman"/>
          <w:b/>
          <w:bCs/>
          <w:color w:val="FF0000"/>
          <w:sz w:val="21"/>
          <w:szCs w:val="21"/>
          <w:highlight w:val="none"/>
          <w:lang w:val="en-US" w:eastAsia="zh-CN"/>
        </w:rPr>
        <w:t>5.2-13</w:t>
      </w:r>
      <w:r>
        <w:rPr>
          <w:rFonts w:hint="default" w:ascii="Times New Roman" w:hAnsi="Times New Roman" w:eastAsia="宋体" w:cs="Times New Roman"/>
          <w:b/>
          <w:bCs/>
          <w:color w:val="FF0000"/>
          <w:sz w:val="21"/>
          <w:szCs w:val="21"/>
          <w:highlight w:val="none"/>
          <w:lang w:val="en-US" w:eastAsia="zh-CN"/>
        </w:rPr>
        <w:t xml:space="preserve">  运营期噪声预测结果</w:t>
      </w:r>
      <w:r>
        <w:rPr>
          <w:rFonts w:hint="eastAsia" w:ascii="Times New Roman" w:hAnsi="Times New Roman" w:eastAsia="宋体" w:cs="Times New Roman"/>
          <w:b/>
          <w:bCs/>
          <w:color w:val="FF0000"/>
          <w:sz w:val="21"/>
          <w:szCs w:val="21"/>
          <w:highlight w:val="none"/>
          <w:lang w:val="en-US" w:eastAsia="zh-CN"/>
        </w:rPr>
        <w:t>（贡献值）</w:t>
      </w:r>
      <w:r>
        <w:rPr>
          <w:rFonts w:hint="default" w:ascii="Times New Roman" w:hAnsi="Times New Roman" w:eastAsia="宋体" w:cs="Times New Roman"/>
          <w:b/>
          <w:bCs/>
          <w:color w:val="FF0000"/>
          <w:sz w:val="21"/>
          <w:szCs w:val="21"/>
          <w:highlight w:val="none"/>
          <w:lang w:val="en-US" w:eastAsia="zh-CN"/>
        </w:rPr>
        <w:t xml:space="preserve">        单位：dB（A）</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788"/>
        <w:gridCol w:w="757"/>
        <w:gridCol w:w="773"/>
        <w:gridCol w:w="794"/>
        <w:gridCol w:w="836"/>
        <w:gridCol w:w="804"/>
        <w:gridCol w:w="725"/>
        <w:gridCol w:w="863"/>
        <w:gridCol w:w="841"/>
        <w:gridCol w:w="8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931" w:type="dxa"/>
            <w:vMerge w:val="restar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eastAsia="zh-CN"/>
              </w:rPr>
            </w:pPr>
            <w:r>
              <w:rPr>
                <w:rFonts w:hint="eastAsia" w:ascii="Times New Roman" w:hAnsi="Times New Roman" w:cs="Times New Roman"/>
                <w:b w:val="0"/>
                <w:bCs/>
                <w:color w:val="FF0000"/>
                <w:sz w:val="21"/>
                <w:szCs w:val="21"/>
                <w:lang w:eastAsia="zh-CN"/>
              </w:rPr>
              <w:t>噪声源</w:t>
            </w:r>
          </w:p>
        </w:tc>
        <w:tc>
          <w:tcPr>
            <w:tcW w:w="6340" w:type="dxa"/>
            <w:gridSpan w:val="8"/>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不同距离处噪声值dB(A)</w:t>
            </w:r>
          </w:p>
        </w:tc>
        <w:tc>
          <w:tcPr>
            <w:tcW w:w="1686" w:type="dxa"/>
            <w:gridSpan w:val="2"/>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达标距离（m）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31" w:type="dxa"/>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p>
        </w:tc>
        <w:tc>
          <w:tcPr>
            <w:tcW w:w="7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w:t>
            </w:r>
          </w:p>
        </w:tc>
        <w:tc>
          <w:tcPr>
            <w:tcW w:w="757"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5</w:t>
            </w:r>
          </w:p>
        </w:tc>
        <w:tc>
          <w:tcPr>
            <w:tcW w:w="77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10</w:t>
            </w:r>
          </w:p>
        </w:tc>
        <w:tc>
          <w:tcPr>
            <w:tcW w:w="79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20</w:t>
            </w:r>
          </w:p>
        </w:tc>
        <w:tc>
          <w:tcPr>
            <w:tcW w:w="836"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50</w:t>
            </w:r>
          </w:p>
        </w:tc>
        <w:tc>
          <w:tcPr>
            <w:tcW w:w="80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100</w:t>
            </w:r>
          </w:p>
        </w:tc>
        <w:tc>
          <w:tcPr>
            <w:tcW w:w="72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150</w:t>
            </w:r>
          </w:p>
        </w:tc>
        <w:tc>
          <w:tcPr>
            <w:tcW w:w="86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200</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昼间</w:t>
            </w: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eastAsia" w:ascii="Times New Roman" w:hAnsi="Times New Roman" w:cs="Times New Roman"/>
                <w:b w:val="0"/>
                <w:bCs/>
                <w:color w:val="FF0000"/>
                <w:sz w:val="21"/>
                <w:szCs w:val="21"/>
                <w:lang w:eastAsia="zh-CN"/>
              </w:rPr>
              <w:t>夜</w:t>
            </w:r>
            <w:r>
              <w:rPr>
                <w:rFonts w:hint="default" w:ascii="Times New Roman" w:hAnsi="Times New Roman" w:cs="Times New Roman"/>
                <w:b w:val="0"/>
                <w:bCs/>
                <w:color w:val="FF0000"/>
                <w:sz w:val="21"/>
                <w:szCs w:val="21"/>
              </w:rPr>
              <w:t>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3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eastAsia" w:ascii="Times New Roman" w:hAnsi="Times New Roman" w:cs="Times New Roman"/>
                <w:b w:val="0"/>
                <w:bCs/>
                <w:color w:val="FF0000"/>
                <w:sz w:val="21"/>
                <w:szCs w:val="21"/>
                <w:lang w:eastAsia="zh-CN"/>
              </w:rPr>
              <w:t>空压机</w:t>
            </w:r>
          </w:p>
        </w:tc>
        <w:tc>
          <w:tcPr>
            <w:tcW w:w="7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80</w:t>
            </w:r>
          </w:p>
        </w:tc>
        <w:tc>
          <w:tcPr>
            <w:tcW w:w="757"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rPr>
            </w:pPr>
            <w:r>
              <w:rPr>
                <w:rFonts w:hint="eastAsia" w:ascii="Times New Roman" w:hAnsi="Times New Roman" w:cs="Times New Roman"/>
                <w:b w:val="0"/>
                <w:bCs/>
                <w:color w:val="FF0000"/>
                <w:sz w:val="21"/>
                <w:szCs w:val="21"/>
                <w:lang w:val="en-US" w:eastAsia="zh-CN"/>
              </w:rPr>
              <w:t>66.02</w:t>
            </w:r>
          </w:p>
        </w:tc>
        <w:tc>
          <w:tcPr>
            <w:tcW w:w="77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60.00</w:t>
            </w:r>
          </w:p>
        </w:tc>
        <w:tc>
          <w:tcPr>
            <w:tcW w:w="79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53.97</w:t>
            </w:r>
          </w:p>
        </w:tc>
        <w:tc>
          <w:tcPr>
            <w:tcW w:w="836"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46.02</w:t>
            </w:r>
          </w:p>
        </w:tc>
        <w:tc>
          <w:tcPr>
            <w:tcW w:w="80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40.00</w:t>
            </w:r>
          </w:p>
        </w:tc>
        <w:tc>
          <w:tcPr>
            <w:tcW w:w="72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36.47</w:t>
            </w:r>
          </w:p>
        </w:tc>
        <w:tc>
          <w:tcPr>
            <w:tcW w:w="86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33.98</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10</w:t>
            </w: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3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eastAsia" w:ascii="Times New Roman" w:hAnsi="Times New Roman" w:cs="Times New Roman"/>
                <w:b w:val="0"/>
                <w:bCs/>
                <w:color w:val="FF0000"/>
                <w:sz w:val="21"/>
                <w:szCs w:val="21"/>
                <w:lang w:eastAsia="zh-CN"/>
              </w:rPr>
              <w:t>风机</w:t>
            </w:r>
          </w:p>
        </w:tc>
        <w:tc>
          <w:tcPr>
            <w:tcW w:w="7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78</w:t>
            </w:r>
          </w:p>
        </w:tc>
        <w:tc>
          <w:tcPr>
            <w:tcW w:w="757"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64.02</w:t>
            </w:r>
          </w:p>
        </w:tc>
        <w:tc>
          <w:tcPr>
            <w:tcW w:w="77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58.00</w:t>
            </w:r>
          </w:p>
        </w:tc>
        <w:tc>
          <w:tcPr>
            <w:tcW w:w="79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51.98</w:t>
            </w:r>
          </w:p>
        </w:tc>
        <w:tc>
          <w:tcPr>
            <w:tcW w:w="836"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44.02</w:t>
            </w:r>
          </w:p>
        </w:tc>
        <w:tc>
          <w:tcPr>
            <w:tcW w:w="80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38.00</w:t>
            </w:r>
          </w:p>
        </w:tc>
        <w:tc>
          <w:tcPr>
            <w:tcW w:w="72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34.47</w:t>
            </w:r>
          </w:p>
        </w:tc>
        <w:tc>
          <w:tcPr>
            <w:tcW w:w="86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31.98</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8</w:t>
            </w: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31" w:type="dxa"/>
            <w:tcBorders>
              <w:tl2br w:val="nil"/>
              <w:tr2bl w:val="nil"/>
            </w:tcBorders>
            <w:noWrap w:val="0"/>
            <w:vAlign w:val="center"/>
          </w:tcPr>
          <w:p>
            <w:pPr>
              <w:pStyle w:val="58"/>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eastAsia="zh-CN"/>
              </w:rPr>
            </w:pPr>
            <w:r>
              <w:rPr>
                <w:rFonts w:hint="default" w:ascii="Times New Roman" w:hAnsi="Times New Roman" w:eastAsia="宋体" w:cs="Times New Roman"/>
                <w:b w:val="0"/>
                <w:bCs/>
                <w:color w:val="FF0000"/>
                <w:sz w:val="21"/>
                <w:szCs w:val="21"/>
                <w:lang w:eastAsia="zh-CN"/>
              </w:rPr>
              <w:t>评价标准</w:t>
            </w:r>
          </w:p>
        </w:tc>
        <w:tc>
          <w:tcPr>
            <w:tcW w:w="8026" w:type="dxa"/>
            <w:gridSpan w:val="10"/>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昼间60dB(A)，夜间50dB(A)</w:t>
            </w:r>
          </w:p>
        </w:tc>
      </w:tr>
    </w:tbl>
    <w:p>
      <w:pPr>
        <w:pageBreakBefore w:val="0"/>
        <w:widowControl w:val="0"/>
        <w:kinsoku/>
        <w:wordWrap/>
        <w:overflowPunct/>
        <w:topLinePunct w:val="0"/>
        <w:autoSpaceDE/>
        <w:autoSpaceDN/>
        <w:bidi w:val="0"/>
        <w:adjustRightInd w:val="0"/>
        <w:snapToGrid w:val="0"/>
        <w:spacing w:line="360" w:lineRule="auto"/>
        <w:jc w:val="center"/>
        <w:textAlignment w:val="auto"/>
        <w:outlineLvl w:val="3"/>
        <w:rPr>
          <w:rFonts w:hint="eastAsia"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highlight w:val="none"/>
          <w:lang w:val="en-US" w:eastAsia="zh-CN"/>
        </w:rPr>
        <w:t>表</w:t>
      </w:r>
      <w:r>
        <w:rPr>
          <w:rFonts w:hint="eastAsia" w:ascii="Times New Roman" w:hAnsi="Times New Roman" w:eastAsia="宋体" w:cs="Times New Roman"/>
          <w:b/>
          <w:bCs/>
          <w:color w:val="FF0000"/>
          <w:sz w:val="21"/>
          <w:szCs w:val="21"/>
          <w:highlight w:val="none"/>
          <w:lang w:val="en-US" w:eastAsia="zh-CN"/>
        </w:rPr>
        <w:t>5.2-14</w:t>
      </w:r>
      <w:r>
        <w:rPr>
          <w:rFonts w:hint="default" w:ascii="Times New Roman" w:hAnsi="Times New Roman" w:eastAsia="宋体" w:cs="Times New Roman"/>
          <w:b/>
          <w:bCs/>
          <w:color w:val="FF0000"/>
          <w:sz w:val="21"/>
          <w:szCs w:val="21"/>
          <w:highlight w:val="none"/>
          <w:lang w:val="en-US" w:eastAsia="zh-CN"/>
        </w:rPr>
        <w:t xml:space="preserve">  运营期噪声预测结果</w:t>
      </w:r>
      <w:r>
        <w:rPr>
          <w:rFonts w:hint="eastAsia" w:ascii="Times New Roman" w:hAnsi="Times New Roman" w:eastAsia="宋体" w:cs="Times New Roman"/>
          <w:b/>
          <w:bCs/>
          <w:color w:val="FF0000"/>
          <w:sz w:val="21"/>
          <w:szCs w:val="21"/>
          <w:highlight w:val="none"/>
          <w:lang w:val="en-US" w:eastAsia="zh-CN"/>
        </w:rPr>
        <w:t>（预测值）</w:t>
      </w:r>
      <w:r>
        <w:rPr>
          <w:rFonts w:hint="default" w:ascii="Times New Roman" w:hAnsi="Times New Roman" w:eastAsia="宋体" w:cs="Times New Roman"/>
          <w:b/>
          <w:bCs/>
          <w:color w:val="FF0000"/>
          <w:sz w:val="21"/>
          <w:szCs w:val="21"/>
          <w:highlight w:val="none"/>
          <w:lang w:val="en-US" w:eastAsia="zh-CN"/>
        </w:rPr>
        <w:t xml:space="preserve">        单位：dB（A）</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565"/>
        <w:gridCol w:w="773"/>
        <w:gridCol w:w="772"/>
        <w:gridCol w:w="795"/>
        <w:gridCol w:w="836"/>
        <w:gridCol w:w="804"/>
        <w:gridCol w:w="725"/>
        <w:gridCol w:w="863"/>
        <w:gridCol w:w="841"/>
        <w:gridCol w:w="8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1138" w:type="dxa"/>
            <w:vMerge w:val="restar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eastAsia="zh-CN"/>
              </w:rPr>
            </w:pPr>
            <w:r>
              <w:rPr>
                <w:rFonts w:hint="eastAsia" w:ascii="Times New Roman" w:hAnsi="Times New Roman" w:cs="Times New Roman"/>
                <w:b w:val="0"/>
                <w:bCs/>
                <w:color w:val="FF0000"/>
                <w:sz w:val="21"/>
                <w:szCs w:val="21"/>
                <w:lang w:eastAsia="zh-CN"/>
              </w:rPr>
              <w:t>噪声源</w:t>
            </w:r>
          </w:p>
        </w:tc>
        <w:tc>
          <w:tcPr>
            <w:tcW w:w="6133" w:type="dxa"/>
            <w:gridSpan w:val="8"/>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不同距离处噪声值dB(A)</w:t>
            </w:r>
          </w:p>
        </w:tc>
        <w:tc>
          <w:tcPr>
            <w:tcW w:w="1686" w:type="dxa"/>
            <w:gridSpan w:val="2"/>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达标距离（m）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138" w:type="dxa"/>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p>
        </w:tc>
        <w:tc>
          <w:tcPr>
            <w:tcW w:w="56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w:t>
            </w:r>
          </w:p>
        </w:tc>
        <w:tc>
          <w:tcPr>
            <w:tcW w:w="77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w:t>
            </w:r>
          </w:p>
        </w:tc>
        <w:tc>
          <w:tcPr>
            <w:tcW w:w="77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10</w:t>
            </w:r>
          </w:p>
        </w:tc>
        <w:tc>
          <w:tcPr>
            <w:tcW w:w="79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20</w:t>
            </w:r>
          </w:p>
        </w:tc>
        <w:tc>
          <w:tcPr>
            <w:tcW w:w="836"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50</w:t>
            </w:r>
          </w:p>
        </w:tc>
        <w:tc>
          <w:tcPr>
            <w:tcW w:w="80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100</w:t>
            </w:r>
          </w:p>
        </w:tc>
        <w:tc>
          <w:tcPr>
            <w:tcW w:w="72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150</w:t>
            </w:r>
          </w:p>
        </w:tc>
        <w:tc>
          <w:tcPr>
            <w:tcW w:w="86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200</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default" w:ascii="Times New Roman" w:hAnsi="Times New Roman" w:cs="Times New Roman"/>
                <w:b w:val="0"/>
                <w:bCs/>
                <w:color w:val="FF0000"/>
                <w:sz w:val="21"/>
                <w:szCs w:val="21"/>
              </w:rPr>
              <w:t>昼间</w:t>
            </w: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eastAsia" w:ascii="Times New Roman" w:hAnsi="Times New Roman" w:cs="Times New Roman"/>
                <w:b w:val="0"/>
                <w:bCs/>
                <w:color w:val="FF0000"/>
                <w:sz w:val="21"/>
                <w:szCs w:val="21"/>
                <w:lang w:eastAsia="zh-CN"/>
              </w:rPr>
              <w:t>夜</w:t>
            </w:r>
            <w:r>
              <w:rPr>
                <w:rFonts w:hint="default" w:ascii="Times New Roman" w:hAnsi="Times New Roman" w:cs="Times New Roman"/>
                <w:b w:val="0"/>
                <w:bCs/>
                <w:color w:val="FF0000"/>
                <w:sz w:val="21"/>
                <w:szCs w:val="21"/>
              </w:rPr>
              <w:t>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13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eastAsia="zh-CN"/>
              </w:rPr>
            </w:pPr>
            <w:r>
              <w:rPr>
                <w:rFonts w:hint="eastAsia" w:ascii="Times New Roman" w:hAnsi="Times New Roman" w:cs="Times New Roman"/>
                <w:b w:val="0"/>
                <w:bCs/>
                <w:color w:val="FF0000"/>
                <w:sz w:val="21"/>
                <w:szCs w:val="21"/>
                <w:lang w:eastAsia="zh-CN"/>
              </w:rPr>
              <w:t>背景值</w:t>
            </w:r>
          </w:p>
        </w:tc>
        <w:tc>
          <w:tcPr>
            <w:tcW w:w="6133" w:type="dxa"/>
            <w:gridSpan w:val="8"/>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53</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b w:val="0"/>
                <w:bCs/>
                <w:color w:val="FF000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13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eastAsia" w:ascii="Times New Roman" w:hAnsi="Times New Roman" w:cs="Times New Roman"/>
                <w:b w:val="0"/>
                <w:bCs/>
                <w:color w:val="FF0000"/>
                <w:sz w:val="21"/>
                <w:szCs w:val="21"/>
                <w:lang w:eastAsia="zh-CN"/>
              </w:rPr>
              <w:t>空压机</w:t>
            </w:r>
          </w:p>
        </w:tc>
        <w:tc>
          <w:tcPr>
            <w:tcW w:w="56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80</w:t>
            </w:r>
          </w:p>
        </w:tc>
        <w:tc>
          <w:tcPr>
            <w:tcW w:w="77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66.23</w:t>
            </w:r>
          </w:p>
        </w:tc>
        <w:tc>
          <w:tcPr>
            <w:tcW w:w="77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60.79</w:t>
            </w:r>
          </w:p>
        </w:tc>
        <w:tc>
          <w:tcPr>
            <w:tcW w:w="79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56.52</w:t>
            </w:r>
          </w:p>
        </w:tc>
        <w:tc>
          <w:tcPr>
            <w:tcW w:w="836"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46.02</w:t>
            </w:r>
          </w:p>
        </w:tc>
        <w:tc>
          <w:tcPr>
            <w:tcW w:w="80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rPr>
            </w:pPr>
            <w:r>
              <w:rPr>
                <w:rFonts w:hint="eastAsia" w:ascii="Times New Roman" w:hAnsi="Times New Roman" w:cs="Times New Roman"/>
                <w:b w:val="0"/>
                <w:bCs/>
                <w:color w:val="FF0000"/>
                <w:sz w:val="21"/>
                <w:szCs w:val="21"/>
                <w:lang w:val="en-US" w:eastAsia="zh-CN"/>
              </w:rPr>
              <w:t>53.79</w:t>
            </w:r>
          </w:p>
        </w:tc>
        <w:tc>
          <w:tcPr>
            <w:tcW w:w="72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53.10</w:t>
            </w:r>
          </w:p>
        </w:tc>
        <w:tc>
          <w:tcPr>
            <w:tcW w:w="86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53.05</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11</w:t>
            </w: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13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rPr>
            </w:pPr>
            <w:r>
              <w:rPr>
                <w:rFonts w:hint="eastAsia" w:ascii="Times New Roman" w:hAnsi="Times New Roman" w:cs="Times New Roman"/>
                <w:b w:val="0"/>
                <w:bCs/>
                <w:color w:val="FF0000"/>
                <w:sz w:val="21"/>
                <w:szCs w:val="21"/>
                <w:lang w:eastAsia="zh-CN"/>
              </w:rPr>
              <w:t>风机</w:t>
            </w:r>
          </w:p>
        </w:tc>
        <w:tc>
          <w:tcPr>
            <w:tcW w:w="56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78</w:t>
            </w:r>
          </w:p>
        </w:tc>
        <w:tc>
          <w:tcPr>
            <w:tcW w:w="77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64.02</w:t>
            </w:r>
          </w:p>
        </w:tc>
        <w:tc>
          <w:tcPr>
            <w:tcW w:w="77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58.00</w:t>
            </w:r>
          </w:p>
        </w:tc>
        <w:tc>
          <w:tcPr>
            <w:tcW w:w="79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51.98</w:t>
            </w:r>
          </w:p>
        </w:tc>
        <w:tc>
          <w:tcPr>
            <w:tcW w:w="836"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44.02</w:t>
            </w:r>
          </w:p>
        </w:tc>
        <w:tc>
          <w:tcPr>
            <w:tcW w:w="804"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38.00</w:t>
            </w:r>
          </w:p>
        </w:tc>
        <w:tc>
          <w:tcPr>
            <w:tcW w:w="72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34.47</w:t>
            </w:r>
          </w:p>
        </w:tc>
        <w:tc>
          <w:tcPr>
            <w:tcW w:w="863"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cs="Times New Roman" w:eastAsiaTheme="minorEastAsia"/>
                <w:b w:val="0"/>
                <w:bCs/>
                <w:color w:val="FF0000"/>
                <w:sz w:val="21"/>
                <w:szCs w:val="21"/>
                <w:lang w:val="en-US" w:eastAsia="zh-CN" w:bidi="ar-SA"/>
              </w:rPr>
            </w:pPr>
            <w:r>
              <w:rPr>
                <w:rFonts w:hint="eastAsia" w:ascii="Times New Roman" w:hAnsi="Times New Roman" w:cs="Times New Roman"/>
                <w:b w:val="0"/>
                <w:bCs/>
                <w:color w:val="FF0000"/>
                <w:sz w:val="21"/>
                <w:szCs w:val="21"/>
                <w:lang w:val="en-US" w:eastAsia="zh-CN"/>
              </w:rPr>
              <w:t>31.98</w:t>
            </w:r>
          </w:p>
        </w:tc>
        <w:tc>
          <w:tcPr>
            <w:tcW w:w="84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9</w:t>
            </w:r>
          </w:p>
        </w:tc>
        <w:tc>
          <w:tcPr>
            <w:tcW w:w="845" w:type="dxa"/>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jc w:val="center"/>
        </w:trPr>
        <w:tc>
          <w:tcPr>
            <w:tcW w:w="1138" w:type="dxa"/>
            <w:tcBorders>
              <w:tl2br w:val="nil"/>
              <w:tr2bl w:val="nil"/>
            </w:tcBorders>
            <w:noWrap w:val="0"/>
            <w:vAlign w:val="center"/>
          </w:tcPr>
          <w:p>
            <w:pPr>
              <w:pStyle w:val="58"/>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eastAsia="宋体" w:cs="Times New Roman"/>
                <w:b w:val="0"/>
                <w:bCs/>
                <w:color w:val="FF0000"/>
                <w:sz w:val="21"/>
                <w:szCs w:val="21"/>
                <w:lang w:eastAsia="zh-CN"/>
              </w:rPr>
            </w:pPr>
            <w:r>
              <w:rPr>
                <w:rFonts w:hint="default" w:ascii="Times New Roman" w:hAnsi="Times New Roman" w:eastAsia="宋体" w:cs="Times New Roman"/>
                <w:b w:val="0"/>
                <w:bCs/>
                <w:color w:val="FF0000"/>
                <w:sz w:val="21"/>
                <w:szCs w:val="21"/>
                <w:lang w:eastAsia="zh-CN"/>
              </w:rPr>
              <w:t>评价标准</w:t>
            </w:r>
          </w:p>
        </w:tc>
        <w:tc>
          <w:tcPr>
            <w:tcW w:w="7819" w:type="dxa"/>
            <w:gridSpan w:val="10"/>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spacing w:line="320" w:lineRule="exact"/>
              <w:ind w:firstLine="0" w:firstLineChars="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昼间60dB(A)，夜间50dB(A)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预测结果可知，</w:t>
      </w:r>
      <w:r>
        <w:rPr>
          <w:rFonts w:hint="eastAsia" w:ascii="Times New Roman" w:hAnsi="Times New Roman" w:cs="Times New Roman"/>
          <w:color w:val="FF0000"/>
          <w:sz w:val="24"/>
          <w:szCs w:val="24"/>
          <w:lang w:eastAsia="zh-CN"/>
        </w:rPr>
        <w:t>经过采取措施的</w:t>
      </w:r>
      <w:r>
        <w:rPr>
          <w:rFonts w:hint="default" w:ascii="Times New Roman" w:hAnsi="Times New Roman" w:cs="Times New Roman"/>
          <w:color w:val="FF0000"/>
          <w:sz w:val="24"/>
          <w:szCs w:val="24"/>
        </w:rPr>
        <w:t>空压机房的影响</w:t>
      </w:r>
      <w:r>
        <w:rPr>
          <w:rFonts w:hint="eastAsia" w:ascii="Times New Roman" w:hAnsi="Times New Roman" w:cs="Times New Roman"/>
          <w:color w:val="FF0000"/>
          <w:sz w:val="24"/>
          <w:szCs w:val="24"/>
          <w:lang w:eastAsia="zh-CN"/>
        </w:rPr>
        <w:t>昼间</w:t>
      </w:r>
      <w:r>
        <w:rPr>
          <w:rFonts w:hint="default" w:ascii="Times New Roman" w:hAnsi="Times New Roman" w:cs="Times New Roman"/>
          <w:color w:val="FF0000"/>
          <w:sz w:val="24"/>
          <w:szCs w:val="24"/>
        </w:rPr>
        <w:t>范围在</w:t>
      </w:r>
      <w:r>
        <w:rPr>
          <w:rFonts w:hint="eastAsia" w:ascii="Times New Roman" w:hAnsi="Times New Roman" w:cs="Times New Roman"/>
          <w:color w:val="FF0000"/>
          <w:sz w:val="24"/>
          <w:szCs w:val="24"/>
          <w:lang w:val="en-US" w:eastAsia="zh-CN"/>
        </w:rPr>
        <w:t>11</w:t>
      </w:r>
      <w:r>
        <w:rPr>
          <w:rFonts w:hint="default" w:ascii="Times New Roman" w:hAnsi="Times New Roman" w:cs="Times New Roman"/>
          <w:color w:val="FF0000"/>
          <w:sz w:val="24"/>
          <w:szCs w:val="24"/>
        </w:rPr>
        <w:t>m以内；</w:t>
      </w:r>
      <w:r>
        <w:rPr>
          <w:rFonts w:hint="eastAsia" w:ascii="Times New Roman" w:hAnsi="Times New Roman" w:cs="Times New Roman"/>
          <w:color w:val="FF0000"/>
          <w:sz w:val="24"/>
          <w:szCs w:val="24"/>
          <w:lang w:eastAsia="zh-CN"/>
        </w:rPr>
        <w:t>风机</w:t>
      </w:r>
      <w:r>
        <w:rPr>
          <w:rFonts w:hint="default" w:ascii="Times New Roman" w:hAnsi="Times New Roman" w:cs="Times New Roman"/>
          <w:color w:val="FF0000"/>
          <w:sz w:val="24"/>
          <w:szCs w:val="24"/>
        </w:rPr>
        <w:t>的</w:t>
      </w:r>
      <w:r>
        <w:rPr>
          <w:rFonts w:hint="eastAsia" w:ascii="Times New Roman" w:hAnsi="Times New Roman" w:cs="Times New Roman"/>
          <w:color w:val="FF0000"/>
          <w:sz w:val="24"/>
          <w:szCs w:val="24"/>
          <w:lang w:eastAsia="zh-CN"/>
        </w:rPr>
        <w:t>昼间</w:t>
      </w:r>
      <w:r>
        <w:rPr>
          <w:rFonts w:hint="default" w:ascii="Times New Roman" w:hAnsi="Times New Roman" w:cs="Times New Roman"/>
          <w:color w:val="FF0000"/>
          <w:sz w:val="24"/>
          <w:szCs w:val="24"/>
        </w:rPr>
        <w:t>影响范围在</w:t>
      </w:r>
      <w:r>
        <w:rPr>
          <w:rFonts w:hint="eastAsia" w:ascii="Times New Roman" w:hAnsi="Times New Roman" w:cs="Times New Roman"/>
          <w:color w:val="FF0000"/>
          <w:sz w:val="24"/>
          <w:szCs w:val="24"/>
          <w:lang w:val="en-US" w:eastAsia="zh-CN"/>
        </w:rPr>
        <w:t>9</w:t>
      </w:r>
      <w:r>
        <w:rPr>
          <w:rFonts w:hint="default" w:ascii="Times New Roman" w:hAnsi="Times New Roman" w:cs="Times New Roman"/>
          <w:color w:val="FF0000"/>
          <w:sz w:val="24"/>
          <w:szCs w:val="24"/>
        </w:rPr>
        <w:t>m以内。据调查，本矿采矿工业场地周围</w:t>
      </w:r>
      <w:r>
        <w:rPr>
          <w:rFonts w:hint="eastAsia" w:ascii="Times New Roman" w:hAnsi="Times New Roman" w:cs="Times New Roman"/>
          <w:color w:val="FF0000"/>
          <w:sz w:val="24"/>
          <w:szCs w:val="24"/>
          <w:lang w:val="en-US" w:eastAsia="zh-CN"/>
        </w:rPr>
        <w:t>20</w:t>
      </w:r>
      <w:r>
        <w:rPr>
          <w:rFonts w:hint="default" w:ascii="Times New Roman" w:hAnsi="Times New Roman" w:cs="Times New Roman"/>
          <w:color w:val="FF0000"/>
          <w:sz w:val="24"/>
          <w:szCs w:val="24"/>
        </w:rPr>
        <w:t>0m范围内无居民点，</w:t>
      </w:r>
      <w:r>
        <w:rPr>
          <w:rFonts w:hint="eastAsia" w:ascii="Times New Roman" w:hAnsi="Times New Roman" w:cs="Times New Roman"/>
          <w:color w:val="FF0000"/>
          <w:sz w:val="24"/>
          <w:szCs w:val="24"/>
          <w:lang w:eastAsia="zh-CN"/>
        </w:rPr>
        <w:t>本项目</w:t>
      </w:r>
      <w:r>
        <w:rPr>
          <w:rFonts w:hint="default" w:ascii="Times New Roman" w:hAnsi="Times New Roman" w:cs="Times New Roman"/>
          <w:color w:val="FF0000"/>
          <w:sz w:val="24"/>
          <w:szCs w:val="24"/>
        </w:rPr>
        <w:t>噪声</w:t>
      </w:r>
      <w:r>
        <w:rPr>
          <w:rFonts w:hint="eastAsia" w:ascii="Times New Roman" w:hAnsi="Times New Roman" w:cs="Times New Roman"/>
          <w:color w:val="FF0000"/>
          <w:sz w:val="24"/>
          <w:szCs w:val="24"/>
          <w:lang w:eastAsia="zh-CN"/>
        </w:rPr>
        <w:t>对周围</w:t>
      </w:r>
      <w:r>
        <w:rPr>
          <w:rFonts w:hint="default" w:ascii="Times New Roman" w:hAnsi="Times New Roman" w:cs="Times New Roman"/>
          <w:color w:val="FF0000"/>
          <w:sz w:val="24"/>
          <w:szCs w:val="24"/>
        </w:rPr>
        <w:t>影响</w:t>
      </w:r>
      <w:r>
        <w:rPr>
          <w:rFonts w:hint="eastAsia" w:ascii="Times New Roman" w:hAnsi="Times New Roman" w:cs="Times New Roman"/>
          <w:color w:val="FF0000"/>
          <w:sz w:val="24"/>
          <w:szCs w:val="24"/>
          <w:lang w:eastAsia="zh-CN"/>
        </w:rPr>
        <w:t>小</w:t>
      </w:r>
      <w:r>
        <w:rPr>
          <w:rFonts w:hint="default" w:ascii="Times New Roman" w:hAnsi="Times New Roman" w:cs="Times New Roman"/>
          <w:color w:val="FF0000"/>
          <w:sz w:val="24"/>
          <w:szCs w:val="24"/>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9"/>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color w:val="FF0000"/>
          <w:sz w:val="24"/>
          <w:szCs w:val="24"/>
          <w:lang w:val="en-US" w:eastAsia="zh-CN"/>
        </w:rPr>
        <w:t>5.2.</w:t>
      </w:r>
      <w:r>
        <w:rPr>
          <w:rFonts w:hint="eastAsia" w:ascii="Times New Roman" w:hAnsi="Times New Roman" w:eastAsia="宋体" w:cs="Times New Roman"/>
          <w:b/>
          <w:bCs/>
          <w:color w:val="FF0000"/>
          <w:sz w:val="24"/>
          <w:szCs w:val="24"/>
          <w:lang w:val="en-US" w:eastAsia="zh-CN"/>
        </w:rPr>
        <w:t>3</w:t>
      </w:r>
      <w:r>
        <w:rPr>
          <w:rFonts w:hint="default" w:ascii="Times New Roman" w:hAnsi="Times New Roman" w:eastAsia="宋体" w:cs="Times New Roman"/>
          <w:b/>
          <w:bCs/>
          <w:color w:val="FF0000"/>
          <w:sz w:val="24"/>
          <w:szCs w:val="24"/>
          <w:lang w:val="en-US" w:eastAsia="zh-CN"/>
        </w:rPr>
        <w:t>.</w:t>
      </w:r>
      <w:r>
        <w:rPr>
          <w:rFonts w:hint="eastAsia" w:ascii="Times New Roman" w:hAnsi="Times New Roman" w:eastAsia="宋体" w:cs="Times New Roman"/>
          <w:b/>
          <w:bCs/>
          <w:color w:val="FF0000"/>
          <w:sz w:val="24"/>
          <w:szCs w:val="24"/>
          <w:lang w:val="en-US" w:eastAsia="zh-CN"/>
        </w:rPr>
        <w:t>3</w:t>
      </w:r>
      <w:r>
        <w:rPr>
          <w:rFonts w:hint="default" w:ascii="Times New Roman" w:hAnsi="Times New Roman" w:eastAsia="宋体" w:cs="Times New Roman"/>
          <w:b/>
          <w:bCs/>
          <w:color w:val="FF0000"/>
          <w:sz w:val="24"/>
          <w:szCs w:val="24"/>
          <w:lang w:val="en-US" w:eastAsia="zh-CN"/>
        </w:rPr>
        <w:t xml:space="preserve"> </w:t>
      </w:r>
      <w:r>
        <w:rPr>
          <w:rFonts w:hint="eastAsia" w:ascii="Times New Roman" w:hAnsi="Times New Roman" w:eastAsia="宋体" w:cs="Times New Roman"/>
          <w:b/>
          <w:bCs/>
          <w:color w:val="FF0000"/>
          <w:sz w:val="24"/>
          <w:szCs w:val="24"/>
          <w:lang w:val="en-US" w:eastAsia="zh-CN"/>
        </w:rPr>
        <w:t>运输噪声</w:t>
      </w:r>
      <w:r>
        <w:rPr>
          <w:rFonts w:hint="default" w:ascii="Times New Roman" w:hAnsi="Times New Roman" w:eastAsia="宋体" w:cs="Times New Roman"/>
          <w:b/>
          <w:bCs/>
          <w:color w:val="FF0000"/>
          <w:sz w:val="24"/>
          <w:szCs w:val="24"/>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本项目运矿车辆采用卡车进行运输，卡车单次载运量为10t，每年运输次数为5000次，年运行300天，平均每天运行16.7次。由于本项目的车流量较少，运输车辆不连续，其噪声对周围环境的影响按照室外点声源随距离衰减模式预测。预测结果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表5.2-15  矿石运输车预测结果表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19"/>
        <w:gridCol w:w="1120"/>
        <w:gridCol w:w="1120"/>
        <w:gridCol w:w="1120"/>
        <w:gridCol w:w="1119"/>
        <w:gridCol w:w="1120"/>
        <w:gridCol w:w="1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声源设备</w:t>
            </w:r>
          </w:p>
        </w:tc>
        <w:tc>
          <w:tcPr>
            <w:tcW w:w="1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声源源强</w:t>
            </w:r>
          </w:p>
        </w:tc>
        <w:tc>
          <w:tcPr>
            <w:tcW w:w="6719"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噪声随距离衰减的预测值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运输车辆</w:t>
            </w:r>
          </w:p>
        </w:tc>
        <w:tc>
          <w:tcPr>
            <w:tcW w:w="11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85dB</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5</w:t>
            </w:r>
            <w:r>
              <w:rPr>
                <w:rFonts w:hint="eastAsia" w:ascii="Times New Roman" w:hAnsi="Times New Roman" w:eastAsia="宋体" w:cs="Times New Roman"/>
                <w:color w:val="FF0000"/>
                <w:sz w:val="24"/>
                <w:szCs w:val="24"/>
                <w:lang w:val="en-US" w:eastAsia="zh-CN"/>
              </w:rPr>
              <w:t>m</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10</w:t>
            </w:r>
            <w:r>
              <w:rPr>
                <w:rFonts w:hint="eastAsia" w:ascii="Times New Roman" w:hAnsi="Times New Roman" w:eastAsia="宋体" w:cs="Times New Roman"/>
                <w:color w:val="FF0000"/>
                <w:sz w:val="24"/>
                <w:szCs w:val="24"/>
                <w:lang w:val="en-US" w:eastAsia="zh-CN"/>
              </w:rPr>
              <w:t>m</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15</w:t>
            </w:r>
            <w:r>
              <w:rPr>
                <w:rFonts w:hint="eastAsia" w:ascii="Times New Roman" w:hAnsi="Times New Roman" w:eastAsia="宋体" w:cs="Times New Roman"/>
                <w:color w:val="FF0000"/>
                <w:sz w:val="24"/>
                <w:szCs w:val="24"/>
                <w:lang w:val="en-US" w:eastAsia="zh-CN"/>
              </w:rPr>
              <w:t>m</w:t>
            </w:r>
          </w:p>
        </w:tc>
        <w:tc>
          <w:tcPr>
            <w:tcW w:w="1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20</w:t>
            </w:r>
            <w:r>
              <w:rPr>
                <w:rFonts w:hint="eastAsia" w:ascii="Times New Roman" w:hAnsi="Times New Roman" w:eastAsia="宋体" w:cs="Times New Roman"/>
                <w:color w:val="FF0000"/>
                <w:sz w:val="24"/>
                <w:szCs w:val="24"/>
                <w:lang w:val="en-US" w:eastAsia="zh-CN"/>
              </w:rPr>
              <w:t>m</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50</w:t>
            </w:r>
            <w:r>
              <w:rPr>
                <w:rFonts w:hint="eastAsia" w:ascii="Times New Roman" w:hAnsi="Times New Roman" w:eastAsia="宋体" w:cs="Times New Roman"/>
                <w:color w:val="FF0000"/>
                <w:sz w:val="24"/>
                <w:szCs w:val="24"/>
                <w:lang w:val="en-US" w:eastAsia="zh-CN"/>
              </w:rPr>
              <w:t>m</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100</w:t>
            </w:r>
            <w:r>
              <w:rPr>
                <w:rFonts w:hint="eastAsia" w:ascii="Times New Roman" w:hAnsi="Times New Roman" w:eastAsia="宋体" w:cs="Times New Roman"/>
                <w:color w:val="FF0000"/>
                <w:sz w:val="24"/>
                <w:szCs w:val="24"/>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p>
        </w:tc>
        <w:tc>
          <w:tcPr>
            <w:tcW w:w="11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71dB</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65dB</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61dB</w:t>
            </w:r>
          </w:p>
        </w:tc>
        <w:tc>
          <w:tcPr>
            <w:tcW w:w="1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59dB</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51dB</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45dB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p>
        </w:tc>
        <w:tc>
          <w:tcPr>
            <w:tcW w:w="11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p>
        </w:tc>
        <w:tc>
          <w:tcPr>
            <w:tcW w:w="6719"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标准：昼间60dB，夜间50dB</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由预测结果可知，运输车辆经过居民点时的瞬间噪声影响较大，昼间18m可达标，夜间56m可达标。本项目夜间不运输，本项目运输路线上最近的居民分布在距离线路10m左右的位置，对居民的影响主要集中在昼间。为减少运输噪声对居民的影响，环评提出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在车辆路过居民点时减速慢行，禁止鸣笛。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本项目在夜间停止运输，只在昼间运输，环评要求，在午休时间12:00-14:00停止运输。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对运输车辆定期维修保养。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（4）定期与道路两侧的居民进行交流沟通，询问其是否受到本项目交通噪声的影响，如有居民不满，建设单位应立即改正，避免造成纠纷。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综上所述，评价认为在采取消声、隔声措施后，采矿地表工业场地及风井场噪声源对外界环境影响小。</w:t>
      </w:r>
      <w:r>
        <w:rPr>
          <w:rFonts w:hint="eastAsia" w:ascii="Times New Roman" w:hAnsi="Times New Roman" w:eastAsia="宋体" w:cs="Times New Roman"/>
          <w:color w:val="000000" w:themeColor="text1"/>
          <w:sz w:val="24"/>
          <w:szCs w:val="24"/>
          <w:lang w:val="en-US" w:eastAsia="zh-CN"/>
        </w:rPr>
        <w:t>项目运输线路沿线的居民会受到项目运矿车的噪声影响，环评要求车辆在经过居民点时减速慢行，禁止鸣笛，加上当地植被覆盖率高，对噪声有一定的吸收作用，本项目的运输量相对较小，交通噪声对周边居民的影响较小。声环境影响自查表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表5.2-16  声环境影响调查表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462"/>
        <w:gridCol w:w="1061"/>
        <w:gridCol w:w="357"/>
        <w:gridCol w:w="203"/>
        <w:gridCol w:w="486"/>
        <w:gridCol w:w="54"/>
        <w:gridCol w:w="1007"/>
        <w:gridCol w:w="73"/>
        <w:gridCol w:w="972"/>
        <w:gridCol w:w="109"/>
        <w:gridCol w:w="540"/>
        <w:gridCol w:w="557"/>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72" w:type="dxa"/>
            <w:gridSpan w:val="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工作内容</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评价等级与范围</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评价等级</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一级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w:t>
            </w:r>
            <w:r>
              <w:rPr>
                <w:rFonts w:hint="eastAsia"/>
                <w:color w:val="000000" w:themeColor="text1"/>
                <w:vertAlign w:val="baseline"/>
                <w:lang w:val="en-US" w:eastAsia="zh-CN"/>
              </w:rPr>
              <w:t>二级</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w:t>
            </w:r>
            <w:r>
              <w:rPr>
                <w:rFonts w:hint="eastAsia"/>
                <w:color w:val="000000" w:themeColor="text1"/>
                <w:vertAlign w:val="baseline"/>
                <w:lang w:val="en-US" w:eastAsia="zh-CN"/>
              </w:rPr>
              <w:t>三级</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评价范围</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default" w:ascii="Times New Roman" w:hAnsi="Times New Roman" w:eastAsia="宋体" w:cs="Times New Roman"/>
                <w:color w:val="000000" w:themeColor="text1"/>
                <w:vertAlign w:val="baseline"/>
                <w:lang w:val="en-US" w:eastAsia="zh-CN"/>
              </w:rPr>
              <w:t>200m</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大于</w:t>
            </w:r>
            <w:r>
              <w:rPr>
                <w:rFonts w:hint="default" w:ascii="Times New Roman" w:hAnsi="Times New Roman" w:eastAsia="宋体" w:cs="Times New Roman"/>
                <w:color w:val="000000" w:themeColor="text1"/>
                <w:vertAlign w:val="baseline"/>
                <w:lang w:val="en-US" w:eastAsia="zh-CN"/>
              </w:rPr>
              <w:t>200m</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小于</w:t>
            </w:r>
            <w:r>
              <w:rPr>
                <w:rFonts w:hint="default" w:ascii="Times New Roman" w:hAnsi="Times New Roman" w:eastAsia="宋体" w:cs="Times New Roman"/>
                <w:color w:val="000000" w:themeColor="text1"/>
                <w:vertAlign w:val="baseline"/>
                <w:lang w:val="en-US" w:eastAsia="zh-CN"/>
              </w:rPr>
              <w:t>200m</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10"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评价因子</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评价因子</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default" w:ascii="Times New Roman" w:hAnsi="Times New Roman" w:eastAsia="宋体" w:cs="Times New Roman"/>
                <w:color w:val="000000" w:themeColor="text1"/>
                <w:vertAlign w:val="baseline"/>
                <w:lang w:val="en-US" w:eastAsia="zh-CN"/>
              </w:rPr>
              <w:t>等效连续A声级</w:t>
            </w:r>
            <w:r>
              <w:rPr>
                <w:rFonts w:hint="default" w:ascii="Times New Roman" w:hAnsi="Times New Roman" w:eastAsia="宋体" w:cs="Times New Roman"/>
                <w:color w:val="000000" w:themeColor="text1"/>
                <w:sz w:val="21"/>
                <w:szCs w:val="21"/>
                <w:vertAlign w:val="baseline"/>
                <w:lang w:val="en-US" w:eastAsia="zh-CN"/>
              </w:rPr>
              <w:sym w:font="Wingdings 2" w:char="0052"/>
            </w:r>
            <w:r>
              <w:rPr>
                <w:rFonts w:hint="eastAsia" w:ascii="Times New Roman" w:hAnsi="Times New Roman" w:eastAsia="宋体" w:cs="Times New Roman"/>
                <w:color w:val="000000" w:themeColor="text1"/>
                <w:sz w:val="21"/>
                <w:szCs w:val="21"/>
                <w:vertAlign w:val="baseline"/>
                <w:lang w:val="en-US" w:eastAsia="zh-CN"/>
              </w:rPr>
              <w:t xml:space="preserve">  最大A声级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计权等效连续感觉噪声级</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评价标准</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评价标准</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国家标准</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地方标准</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国外标准</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现状评价</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环境功能区</w:t>
            </w:r>
          </w:p>
        </w:tc>
        <w:tc>
          <w:tcPr>
            <w:tcW w:w="1061" w:type="dxa"/>
            <w:tcBorders>
              <w:tl2br w:val="nil"/>
              <w:tr2bl w:val="nil"/>
            </w:tcBorders>
            <w:vAlign w:val="center"/>
          </w:tcPr>
          <w:p>
            <w:pPr>
              <w:jc w:val="center"/>
              <w:rPr>
                <w:rFonts w:hint="default" w:ascii="Times New Roman" w:hAnsi="Times New Roman" w:eastAsia="宋体" w:cs="Times New Roman"/>
                <w:color w:val="000000" w:themeColor="text1"/>
                <w:vertAlign w:val="baseline"/>
                <w:lang w:val="en-US" w:eastAsia="zh-CN"/>
              </w:rPr>
            </w:pPr>
            <w:r>
              <w:rPr>
                <w:rFonts w:hint="default" w:ascii="Times New Roman" w:hAnsi="Times New Roman" w:eastAsia="宋体" w:cs="Times New Roman"/>
                <w:color w:val="000000" w:themeColor="text1"/>
                <w:vertAlign w:val="baseline"/>
                <w:lang w:val="en-US" w:eastAsia="zh-CN"/>
              </w:rPr>
              <w:t>0类区</w:t>
            </w:r>
            <w:r>
              <w:rPr>
                <w:rFonts w:hint="eastAsia"/>
                <w:color w:val="000000" w:themeColor="text1"/>
                <w:sz w:val="21"/>
                <w:szCs w:val="21"/>
                <w:vertAlign w:val="baseline"/>
                <w:lang w:val="en-US" w:eastAsia="zh-CN"/>
              </w:rPr>
              <w:sym w:font="Wingdings 2" w:char="00A3"/>
            </w:r>
          </w:p>
        </w:tc>
        <w:tc>
          <w:tcPr>
            <w:tcW w:w="1046" w:type="dxa"/>
            <w:gridSpan w:val="3"/>
            <w:tcBorders>
              <w:tl2br w:val="nil"/>
              <w:tr2bl w:val="nil"/>
            </w:tcBorders>
            <w:vAlign w:val="center"/>
          </w:tcPr>
          <w:p>
            <w:pPr>
              <w:jc w:val="center"/>
              <w:rPr>
                <w:rFonts w:hint="default" w:ascii="Times New Roman" w:hAnsi="Times New Roman" w:eastAsia="宋体" w:cs="Times New Roman"/>
                <w:color w:val="000000" w:themeColor="text1"/>
                <w:vertAlign w:val="baseline"/>
                <w:lang w:val="en-US" w:eastAsia="zh-CN"/>
              </w:rPr>
            </w:pPr>
            <w:r>
              <w:rPr>
                <w:rFonts w:hint="default" w:ascii="Times New Roman" w:hAnsi="Times New Roman" w:eastAsia="宋体" w:cs="Times New Roman"/>
                <w:color w:val="000000" w:themeColor="text1"/>
                <w:vertAlign w:val="baseline"/>
                <w:lang w:val="en-US" w:eastAsia="zh-CN"/>
              </w:rPr>
              <w:t>1类区</w:t>
            </w:r>
            <w:r>
              <w:rPr>
                <w:rFonts w:hint="eastAsia"/>
                <w:color w:val="000000" w:themeColor="text1"/>
                <w:sz w:val="21"/>
                <w:szCs w:val="21"/>
                <w:vertAlign w:val="baseline"/>
                <w:lang w:val="en-US" w:eastAsia="zh-CN"/>
              </w:rPr>
              <w:sym w:font="Wingdings 2" w:char="00A3"/>
            </w:r>
          </w:p>
        </w:tc>
        <w:tc>
          <w:tcPr>
            <w:tcW w:w="1061" w:type="dxa"/>
            <w:gridSpan w:val="2"/>
            <w:tcBorders>
              <w:tl2br w:val="nil"/>
              <w:tr2bl w:val="nil"/>
            </w:tcBorders>
            <w:vAlign w:val="center"/>
          </w:tcPr>
          <w:p>
            <w:pPr>
              <w:jc w:val="center"/>
              <w:rPr>
                <w:rFonts w:hint="default"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2</w:t>
            </w:r>
            <w:r>
              <w:rPr>
                <w:rFonts w:hint="default" w:ascii="Times New Roman" w:hAnsi="Times New Roman" w:eastAsia="宋体" w:cs="Times New Roman"/>
                <w:color w:val="000000" w:themeColor="text1"/>
                <w:vertAlign w:val="baseline"/>
                <w:lang w:val="en-US" w:eastAsia="zh-CN"/>
              </w:rPr>
              <w:t>类区</w:t>
            </w:r>
            <w:r>
              <w:rPr>
                <w:rFonts w:hint="eastAsia"/>
                <w:color w:val="000000" w:themeColor="text1"/>
                <w:sz w:val="21"/>
                <w:szCs w:val="21"/>
                <w:vertAlign w:val="baseline"/>
                <w:lang w:val="en-US" w:eastAsia="zh-CN"/>
              </w:rPr>
              <w:sym w:font="Wingdings 2" w:char="0052"/>
            </w:r>
          </w:p>
        </w:tc>
        <w:tc>
          <w:tcPr>
            <w:tcW w:w="1045" w:type="dxa"/>
            <w:gridSpan w:val="2"/>
            <w:tcBorders>
              <w:tl2br w:val="nil"/>
              <w:tr2bl w:val="nil"/>
            </w:tcBorders>
            <w:vAlign w:val="center"/>
          </w:tcPr>
          <w:p>
            <w:pPr>
              <w:jc w:val="center"/>
              <w:rPr>
                <w:rFonts w:hint="default"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3</w:t>
            </w:r>
            <w:r>
              <w:rPr>
                <w:rFonts w:hint="default" w:ascii="Times New Roman" w:hAnsi="Times New Roman" w:eastAsia="宋体" w:cs="Times New Roman"/>
                <w:color w:val="000000" w:themeColor="text1"/>
                <w:vertAlign w:val="baseline"/>
                <w:lang w:val="en-US" w:eastAsia="zh-CN"/>
              </w:rPr>
              <w:t>类区</w:t>
            </w:r>
            <w:r>
              <w:rPr>
                <w:rFonts w:hint="eastAsia"/>
                <w:color w:val="000000" w:themeColor="text1"/>
                <w:sz w:val="21"/>
                <w:szCs w:val="21"/>
                <w:vertAlign w:val="baseline"/>
                <w:lang w:val="en-US" w:eastAsia="zh-CN"/>
              </w:rPr>
              <w:sym w:font="Wingdings 2" w:char="00A3"/>
            </w:r>
          </w:p>
        </w:tc>
        <w:tc>
          <w:tcPr>
            <w:tcW w:w="1206" w:type="dxa"/>
            <w:gridSpan w:val="3"/>
            <w:tcBorders>
              <w:tl2br w:val="nil"/>
              <w:tr2bl w:val="nil"/>
            </w:tcBorders>
            <w:vAlign w:val="center"/>
          </w:tcPr>
          <w:p>
            <w:pPr>
              <w:jc w:val="center"/>
              <w:rPr>
                <w:rFonts w:hint="default"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4a</w:t>
            </w:r>
            <w:r>
              <w:rPr>
                <w:rFonts w:hint="default" w:ascii="Times New Roman" w:hAnsi="Times New Roman" w:eastAsia="宋体" w:cs="Times New Roman"/>
                <w:color w:val="000000" w:themeColor="text1"/>
                <w:vertAlign w:val="baseline"/>
                <w:lang w:val="en-US" w:eastAsia="zh-CN"/>
              </w:rPr>
              <w:t>类区</w:t>
            </w:r>
            <w:r>
              <w:rPr>
                <w:rFonts w:hint="eastAsia"/>
                <w:color w:val="000000" w:themeColor="text1"/>
                <w:sz w:val="21"/>
                <w:szCs w:val="21"/>
                <w:vertAlign w:val="baseline"/>
                <w:lang w:val="en-US" w:eastAsia="zh-CN"/>
              </w:rPr>
              <w:sym w:font="Wingdings 2" w:char="00A3"/>
            </w:r>
          </w:p>
        </w:tc>
        <w:tc>
          <w:tcPr>
            <w:tcW w:w="1066" w:type="dxa"/>
            <w:tcBorders>
              <w:tl2br w:val="nil"/>
              <w:tr2bl w:val="nil"/>
            </w:tcBorders>
            <w:vAlign w:val="center"/>
          </w:tcPr>
          <w:p>
            <w:pPr>
              <w:jc w:val="center"/>
              <w:rPr>
                <w:rFonts w:hint="default" w:ascii="Times New Roman" w:hAnsi="Times New Roman" w:eastAsia="宋体" w:cs="Times New Roman"/>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4b</w:t>
            </w:r>
            <w:r>
              <w:rPr>
                <w:rFonts w:hint="default" w:ascii="Times New Roman" w:hAnsi="Times New Roman" w:eastAsia="宋体" w:cs="Times New Roman"/>
                <w:color w:val="000000" w:themeColor="text1"/>
                <w:vertAlign w:val="baseline"/>
                <w:lang w:val="en-US" w:eastAsia="zh-CN"/>
              </w:rPr>
              <w:t>类区</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评价年度</w:t>
            </w:r>
          </w:p>
        </w:tc>
        <w:tc>
          <w:tcPr>
            <w:tcW w:w="1621" w:type="dxa"/>
            <w:gridSpan w:val="3"/>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初期</w:t>
            </w:r>
            <w:r>
              <w:rPr>
                <w:rFonts w:hint="eastAsia"/>
                <w:color w:val="000000" w:themeColor="text1"/>
                <w:sz w:val="21"/>
                <w:szCs w:val="21"/>
                <w:vertAlign w:val="baseline"/>
                <w:lang w:val="en-US" w:eastAsia="zh-CN"/>
              </w:rPr>
              <w:sym w:font="Wingdings 2" w:char="0052"/>
            </w:r>
          </w:p>
        </w:tc>
        <w:tc>
          <w:tcPr>
            <w:tcW w:w="1620" w:type="dxa"/>
            <w:gridSpan w:val="4"/>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近期</w:t>
            </w:r>
            <w:r>
              <w:rPr>
                <w:rFonts w:hint="eastAsia"/>
                <w:color w:val="000000" w:themeColor="text1"/>
                <w:sz w:val="21"/>
                <w:szCs w:val="21"/>
                <w:vertAlign w:val="baseline"/>
                <w:lang w:val="en-US" w:eastAsia="zh-CN"/>
              </w:rPr>
              <w:sym w:font="Wingdings 2" w:char="00A3"/>
            </w:r>
          </w:p>
        </w:tc>
        <w:tc>
          <w:tcPr>
            <w:tcW w:w="1621" w:type="dxa"/>
            <w:gridSpan w:val="3"/>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中期</w:t>
            </w:r>
            <w:r>
              <w:rPr>
                <w:rFonts w:hint="eastAsia"/>
                <w:color w:val="000000" w:themeColor="text1"/>
                <w:sz w:val="21"/>
                <w:szCs w:val="21"/>
                <w:vertAlign w:val="baseline"/>
                <w:lang w:val="en-US" w:eastAsia="zh-CN"/>
              </w:rPr>
              <w:sym w:font="Wingdings 2" w:char="00A3"/>
            </w:r>
          </w:p>
        </w:tc>
        <w:tc>
          <w:tcPr>
            <w:tcW w:w="1623" w:type="dxa"/>
            <w:gridSpan w:val="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远期</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现状调查方法</w:t>
            </w:r>
          </w:p>
        </w:tc>
        <w:tc>
          <w:tcPr>
            <w:tcW w:w="6485" w:type="dxa"/>
            <w:gridSpan w:val="12"/>
            <w:tcBorders>
              <w:tl2br w:val="nil"/>
              <w:tr2bl w:val="nil"/>
            </w:tcBorders>
            <w:vAlign w:val="center"/>
          </w:tcPr>
          <w:p>
            <w:pPr>
              <w:jc w:val="both"/>
              <w:rPr>
                <w:rFonts w:hint="eastAsia" w:eastAsia="宋体"/>
                <w:color w:val="000000" w:themeColor="text1"/>
                <w:vertAlign w:val="baseline"/>
                <w:lang w:val="en-US" w:eastAsia="zh-CN"/>
              </w:rPr>
            </w:pPr>
            <w:r>
              <w:rPr>
                <w:rFonts w:hint="eastAsia"/>
                <w:color w:val="000000" w:themeColor="text1"/>
                <w:vertAlign w:val="baseline"/>
                <w:lang w:val="en-US" w:eastAsia="zh-CN"/>
              </w:rPr>
              <w:t>现场实测法</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现场实测加模型计算法</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收集资料法</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现状评价</w:t>
            </w:r>
          </w:p>
        </w:tc>
        <w:tc>
          <w:tcPr>
            <w:tcW w:w="1418" w:type="dxa"/>
            <w:gridSpan w:val="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达标百分比</w:t>
            </w:r>
          </w:p>
        </w:tc>
        <w:tc>
          <w:tcPr>
            <w:tcW w:w="5067" w:type="dxa"/>
            <w:gridSpan w:val="10"/>
            <w:tcBorders>
              <w:tl2br w:val="nil"/>
              <w:tr2bl w:val="nil"/>
            </w:tcBorders>
            <w:vAlign w:val="center"/>
          </w:tcPr>
          <w:p>
            <w:pPr>
              <w:jc w:val="center"/>
              <w:rPr>
                <w:rFonts w:hint="eastAsia" w:eastAsia="宋体"/>
                <w:color w:val="000000" w:themeColor="text1"/>
                <w:vertAlign w:val="baseline"/>
                <w:lang w:val="en-US" w:eastAsia="zh-CN"/>
              </w:rPr>
            </w:pPr>
            <w:r>
              <w:rPr>
                <w:rFonts w:hint="eastAsia" w:ascii="Times New Roman" w:hAnsi="Times New Roman" w:eastAsia="宋体" w:cs="Times New Roman"/>
                <w:color w:val="000000" w:themeColor="text1"/>
                <w:vertAlign w:val="baseline"/>
                <w:lang w:val="en-US" w:eastAsia="zh-CN"/>
              </w:rPr>
              <w:t>100</w:t>
            </w:r>
            <w:r>
              <w:rPr>
                <w:rFonts w:hint="default" w:ascii="Times New Roman" w:hAnsi="Times New Roman" w:eastAsia="宋体" w:cs="Times New Roman"/>
                <w:color w:val="000000" w:themeColor="text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噪声源调查</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噪声源调查方法</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现场实测</w:t>
            </w:r>
            <w:r>
              <w:rPr>
                <w:rFonts w:hint="eastAsia"/>
                <w:color w:val="000000" w:themeColor="text1"/>
                <w:sz w:val="21"/>
                <w:szCs w:val="21"/>
                <w:vertAlign w:val="baseline"/>
                <w:lang w:val="en-US" w:eastAsia="zh-CN"/>
              </w:rPr>
              <w:sym w:font="Wingdings 2" w:char="00A3"/>
            </w:r>
            <w:r>
              <w:rPr>
                <w:rFonts w:hint="eastAsia"/>
                <w:color w:val="000000" w:themeColor="text1"/>
                <w:vertAlign w:val="baseline"/>
                <w:lang w:val="en-US" w:eastAsia="zh-CN"/>
              </w:rPr>
              <w:t xml:space="preserve">           已有资料</w:t>
            </w:r>
            <w:r>
              <w:rPr>
                <w:rFonts w:hint="eastAsia"/>
                <w:color w:val="000000" w:themeColor="text1"/>
                <w:sz w:val="21"/>
                <w:szCs w:val="21"/>
                <w:vertAlign w:val="baseline"/>
                <w:lang w:val="en-US" w:eastAsia="zh-CN"/>
              </w:rPr>
              <w:sym w:font="Wingdings 2" w:char="00A3"/>
            </w:r>
            <w:r>
              <w:rPr>
                <w:rFonts w:hint="eastAsia"/>
                <w:color w:val="000000" w:themeColor="text1"/>
                <w:vertAlign w:val="baseline"/>
                <w:lang w:val="en-US" w:eastAsia="zh-CN"/>
              </w:rPr>
              <w:t xml:space="preserve">        研究成果</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声环境影响预测与评价</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预测模型</w:t>
            </w:r>
          </w:p>
        </w:tc>
        <w:tc>
          <w:tcPr>
            <w:tcW w:w="6485" w:type="dxa"/>
            <w:gridSpan w:val="12"/>
            <w:tcBorders>
              <w:tl2br w:val="nil"/>
              <w:tr2bl w:val="nil"/>
            </w:tcBorders>
            <w:vAlign w:val="center"/>
          </w:tcPr>
          <w:p>
            <w:pPr>
              <w:ind w:firstLine="420" w:firstLineChars="200"/>
              <w:jc w:val="both"/>
              <w:rPr>
                <w:rFonts w:hint="eastAsia" w:eastAsia="宋体"/>
                <w:color w:val="000000" w:themeColor="text1"/>
                <w:vertAlign w:val="baseline"/>
                <w:lang w:val="en-US" w:eastAsia="zh-CN"/>
              </w:rPr>
            </w:pPr>
            <w:r>
              <w:rPr>
                <w:rFonts w:hint="eastAsia"/>
                <w:color w:val="000000" w:themeColor="text1"/>
                <w:vertAlign w:val="baseline"/>
                <w:lang w:val="en-US" w:eastAsia="zh-CN"/>
              </w:rPr>
              <w:t>导则推荐模型</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其他</w:t>
            </w:r>
            <w:r>
              <w:rPr>
                <w:rFonts w:hint="eastAsia"/>
                <w:color w:val="000000" w:themeColor="text1"/>
                <w:sz w:val="21"/>
                <w:szCs w:val="21"/>
                <w:vertAlign w:val="baseline"/>
                <w:lang w:val="en-US" w:eastAsia="zh-CN"/>
              </w:rPr>
              <w:sym w:font="Wingdings 2" w:char="00A3"/>
            </w:r>
            <w:r>
              <w:rPr>
                <w:rFonts w:hint="eastAsia"/>
                <w:color w:val="000000" w:themeColor="text1"/>
                <w:sz w:val="21"/>
                <w:szCs w:val="21"/>
                <w:u w:val="single"/>
                <w:vertAlign w:val="baseli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预测范围</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default" w:ascii="Times New Roman" w:hAnsi="Times New Roman" w:eastAsia="宋体" w:cs="Times New Roman"/>
                <w:color w:val="000000" w:themeColor="text1"/>
                <w:vertAlign w:val="baseline"/>
                <w:lang w:val="en-US" w:eastAsia="zh-CN"/>
              </w:rPr>
              <w:t>200m</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大于</w:t>
            </w:r>
            <w:r>
              <w:rPr>
                <w:rFonts w:hint="default" w:ascii="Times New Roman" w:hAnsi="Times New Roman" w:eastAsia="宋体" w:cs="Times New Roman"/>
                <w:color w:val="000000" w:themeColor="text1"/>
                <w:vertAlign w:val="baseline"/>
                <w:lang w:val="en-US" w:eastAsia="zh-CN"/>
              </w:rPr>
              <w:t>200m</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小于</w:t>
            </w:r>
            <w:r>
              <w:rPr>
                <w:rFonts w:hint="default" w:ascii="Times New Roman" w:hAnsi="Times New Roman" w:eastAsia="宋体" w:cs="Times New Roman"/>
                <w:color w:val="000000" w:themeColor="text1"/>
                <w:vertAlign w:val="baseline"/>
                <w:lang w:val="en-US" w:eastAsia="zh-CN"/>
              </w:rPr>
              <w:t>200m</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预测因子</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default" w:ascii="Times New Roman" w:hAnsi="Times New Roman" w:eastAsia="宋体" w:cs="Times New Roman"/>
                <w:color w:val="000000" w:themeColor="text1"/>
                <w:vertAlign w:val="baseline"/>
                <w:lang w:val="en-US" w:eastAsia="zh-CN"/>
              </w:rPr>
              <w:t>等效连续A声级</w:t>
            </w:r>
            <w:r>
              <w:rPr>
                <w:rFonts w:hint="default" w:ascii="Times New Roman" w:hAnsi="Times New Roman" w:eastAsia="宋体" w:cs="Times New Roman"/>
                <w:color w:val="000000" w:themeColor="text1"/>
                <w:sz w:val="21"/>
                <w:szCs w:val="21"/>
                <w:vertAlign w:val="baseline"/>
                <w:lang w:val="en-US" w:eastAsia="zh-CN"/>
              </w:rPr>
              <w:sym w:font="Wingdings 2" w:char="0052"/>
            </w:r>
            <w:r>
              <w:rPr>
                <w:rFonts w:hint="eastAsia" w:ascii="Times New Roman" w:hAnsi="Times New Roman" w:eastAsia="宋体" w:cs="Times New Roman"/>
                <w:color w:val="000000" w:themeColor="text1"/>
                <w:sz w:val="21"/>
                <w:szCs w:val="21"/>
                <w:vertAlign w:val="baseline"/>
                <w:lang w:val="en-US" w:eastAsia="zh-CN"/>
              </w:rPr>
              <w:t xml:space="preserve">  最大A声级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计权等效连续感觉噪声级</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厂界噪声贡献值</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达标</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不达标</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声环境保护目标处噪声值</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达标</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不达标</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环境监测计划</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排放监测</w:t>
            </w:r>
          </w:p>
        </w:tc>
        <w:tc>
          <w:tcPr>
            <w:tcW w:w="6485" w:type="dxa"/>
            <w:gridSpan w:val="12"/>
            <w:tcBorders>
              <w:tl2br w:val="nil"/>
              <w:tr2bl w:val="nil"/>
            </w:tcBorders>
            <w:vAlign w:val="center"/>
          </w:tcPr>
          <w:p>
            <w:pPr>
              <w:jc w:val="both"/>
              <w:rPr>
                <w:rFonts w:hint="eastAsia" w:eastAsia="宋体"/>
                <w:color w:val="000000" w:themeColor="text1"/>
                <w:vertAlign w:val="baseline"/>
                <w:lang w:val="en-US" w:eastAsia="zh-CN"/>
              </w:rPr>
            </w:pPr>
            <w:r>
              <w:rPr>
                <w:rFonts w:hint="eastAsia"/>
                <w:color w:val="000000" w:themeColor="text1"/>
                <w:vertAlign w:val="baseline"/>
                <w:lang w:val="en-US" w:eastAsia="zh-CN"/>
              </w:rPr>
              <w:t>厂界监测</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固定位置监测</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自动监测</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手动监测</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无监测</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jc w:val="center"/>
              <w:rPr>
                <w:rFonts w:hint="eastAsia" w:eastAsia="宋体"/>
                <w:color w:val="000000" w:themeColor="text1"/>
                <w:vertAlign w:val="baseline"/>
                <w:lang w:val="en-US" w:eastAsia="zh-CN"/>
              </w:rPr>
            </w:pP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声环境保护目标处噪声监测</w:t>
            </w:r>
          </w:p>
        </w:tc>
        <w:tc>
          <w:tcPr>
            <w:tcW w:w="2161" w:type="dxa"/>
            <w:gridSpan w:val="5"/>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监测因子：（   ）</w:t>
            </w:r>
          </w:p>
        </w:tc>
        <w:tc>
          <w:tcPr>
            <w:tcW w:w="2161" w:type="dxa"/>
            <w:gridSpan w:val="4"/>
            <w:tcBorders>
              <w:tl2br w:val="nil"/>
              <w:tr2bl w:val="nil"/>
            </w:tcBorders>
            <w:vAlign w:val="center"/>
          </w:tcPr>
          <w:p>
            <w:pPr>
              <w:jc w:val="center"/>
              <w:rPr>
                <w:rFonts w:hint="eastAsia"/>
                <w:color w:val="000000" w:themeColor="text1"/>
                <w:vertAlign w:val="baseline"/>
                <w:lang w:val="en-US" w:eastAsia="zh-CN"/>
              </w:rPr>
            </w:pPr>
            <w:r>
              <w:rPr>
                <w:rFonts w:hint="eastAsia"/>
                <w:color w:val="000000" w:themeColor="text1"/>
                <w:vertAlign w:val="baseline"/>
                <w:lang w:val="en-US" w:eastAsia="zh-CN"/>
              </w:rPr>
              <w:t>监测点位数（ ）</w:t>
            </w:r>
          </w:p>
        </w:tc>
        <w:tc>
          <w:tcPr>
            <w:tcW w:w="2163" w:type="dxa"/>
            <w:gridSpan w:val="3"/>
            <w:tcBorders>
              <w:tl2br w:val="nil"/>
              <w:tr2bl w:val="nil"/>
            </w:tcBorders>
            <w:vAlign w:val="center"/>
          </w:tcPr>
          <w:p>
            <w:pPr>
              <w:jc w:val="center"/>
              <w:rPr>
                <w:rFonts w:hint="eastAsia"/>
                <w:color w:val="000000" w:themeColor="text1"/>
                <w:vertAlign w:val="baseline"/>
                <w:lang w:val="en-US" w:eastAsia="zh-CN"/>
              </w:rPr>
            </w:pPr>
            <w:r>
              <w:rPr>
                <w:rFonts w:hint="eastAsia"/>
                <w:color w:val="000000" w:themeColor="text1"/>
                <w:vertAlign w:val="baseline"/>
                <w:lang w:val="en-US" w:eastAsia="zh-CN"/>
              </w:rPr>
              <w:t>无监测（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0"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评价结论</w:t>
            </w:r>
          </w:p>
        </w:tc>
        <w:tc>
          <w:tcPr>
            <w:tcW w:w="1462" w:type="dxa"/>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环境影响</w:t>
            </w:r>
          </w:p>
        </w:tc>
        <w:tc>
          <w:tcPr>
            <w:tcW w:w="6485" w:type="dxa"/>
            <w:gridSpan w:val="12"/>
            <w:tcBorders>
              <w:tl2br w:val="nil"/>
              <w:tr2bl w:val="nil"/>
            </w:tcBorders>
            <w:vAlign w:val="center"/>
          </w:tcPr>
          <w:p>
            <w:pPr>
              <w:jc w:val="center"/>
              <w:rPr>
                <w:rFonts w:hint="eastAsia" w:eastAsia="宋体"/>
                <w:color w:val="000000" w:themeColor="text1"/>
                <w:vertAlign w:val="baseline"/>
                <w:lang w:val="en-US" w:eastAsia="zh-CN"/>
              </w:rPr>
            </w:pPr>
            <w:r>
              <w:rPr>
                <w:rFonts w:hint="eastAsia"/>
                <w:color w:val="000000" w:themeColor="text1"/>
                <w:vertAlign w:val="baseline"/>
                <w:lang w:val="en-US" w:eastAsia="zh-CN"/>
              </w:rPr>
              <w:t>可行</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不可行</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7" w:type="dxa"/>
            <w:gridSpan w:val="1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vertAlign w:val="baseline"/>
                <w:lang w:val="en-US" w:eastAsia="zh-CN"/>
              </w:rPr>
            </w:pPr>
            <w:r>
              <w:rPr>
                <w:rFonts w:hint="eastAsia"/>
                <w:color w:val="000000" w:themeColor="text1"/>
                <w:sz w:val="21"/>
                <w:szCs w:val="21"/>
                <w:vertAlign w:val="baseline"/>
                <w:lang w:val="en-US" w:eastAsia="zh-CN"/>
              </w:rPr>
              <w:t>注：“</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”为勾选项，可</w:t>
            </w:r>
            <w:r>
              <w:rPr>
                <w:rFonts w:hint="default" w:ascii="Arial" w:hAnsi="Arial" w:cs="Arial"/>
                <w:color w:val="000000" w:themeColor="text1"/>
                <w:sz w:val="21"/>
                <w:szCs w:val="21"/>
                <w:vertAlign w:val="baseline"/>
                <w:lang w:val="en-US" w:eastAsia="zh-CN"/>
              </w:rPr>
              <w:t>√</w:t>
            </w:r>
            <w:r>
              <w:rPr>
                <w:rFonts w:hint="eastAsia"/>
                <w:color w:val="000000" w:themeColor="text1"/>
                <w:sz w:val="21"/>
                <w:szCs w:val="21"/>
                <w:vertAlign w:val="baseline"/>
                <w:lang w:val="en-US" w:eastAsia="zh-CN"/>
              </w:rPr>
              <w:t>；“（ ）”为内容填写项。</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z w:val="21"/>
          <w:szCs w:val="21"/>
          <w:lang w:val="en-US" w:eastAsia="zh-CN"/>
        </w:rPr>
      </w:pPr>
    </w:p>
    <w:p>
      <w:pPr>
        <w:pStyle w:val="5"/>
        <w:rPr>
          <w:rFonts w:hint="default"/>
          <w:color w:val="000000" w:themeColor="text1"/>
          <w:lang w:val="en-US" w:eastAsia="zh-CN"/>
        </w:rPr>
      </w:pPr>
      <w:bookmarkStart w:id="787" w:name="_Toc10946"/>
      <w:bookmarkStart w:id="788" w:name="_Toc13436"/>
      <w:r>
        <w:rPr>
          <w:rFonts w:hint="default"/>
          <w:color w:val="000000" w:themeColor="text1"/>
          <w:lang w:val="en-US" w:eastAsia="zh-CN"/>
        </w:rPr>
        <w:t>地下水环境影响分析</w:t>
      </w:r>
      <w:bookmarkEnd w:id="787"/>
    </w:p>
    <w:bookmarkEnd w:id="788"/>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由于</w:t>
      </w:r>
      <w:r>
        <w:rPr>
          <w:rFonts w:hint="eastAsia" w:ascii="Times New Roman" w:hAnsi="Times New Roman" w:eastAsia="宋体" w:cs="Times New Roman"/>
          <w:color w:val="000000" w:themeColor="text1"/>
          <w:sz w:val="24"/>
          <w:szCs w:val="24"/>
          <w:lang w:val="en-US" w:eastAsia="zh-CN"/>
        </w:rPr>
        <w:t>K1和K2矿体的环境特征、工程影响等相似，且K1矿体的体量相对较大且存在废石场，按照最不利条件考虑，主要对K1矿体进行影响分析。</w:t>
      </w:r>
      <w:r>
        <w:rPr>
          <w:rFonts w:hint="default" w:ascii="Times New Roman" w:hAnsi="Times New Roman" w:eastAsia="宋体" w:cs="Times New Roman"/>
          <w:color w:val="000000" w:themeColor="text1"/>
          <w:sz w:val="24"/>
          <w:szCs w:val="24"/>
        </w:rPr>
        <w:t>为了采取较严格的污染防治措施，本次地下水污染按最不利条件预测，在预测中不考虑污染物在含水层中的吸附、挥发、生物化学反应，将其作为保守物质看待，预测中各项参数，只按保守型污染质考虑，即只考虑运移过程中的对流、弥散作用。主要基于以下理由：</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1）从保守性角度考虑，假设污染质在运移中不与含水层介质发生反应，可以被认为是保守性污染物质，只按保守型污染物质来计算，即只考虑运移过程中的对流、弥散作用。</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2）有机污染物在地下水中的运移非常复杂，影响因素除对流、弥散作用以外，还存在物理、化学、微生物等作用，这些作用常常会使污染浓度衰减。</w:t>
      </w:r>
    </w:p>
    <w:p>
      <w:pPr>
        <w:keepNext/>
        <w:keepLines/>
        <w:pageBreakBefore w:val="0"/>
        <w:widowControl/>
        <w:kinsoku/>
        <w:wordWrap/>
        <w:overflowPunct/>
        <w:topLinePunct w:val="0"/>
        <w:autoSpaceDE/>
        <w:autoSpaceDN/>
        <w:bidi w:val="0"/>
        <w:adjustRightInd w:val="0"/>
        <w:snapToGrid w:val="0"/>
        <w:spacing w:line="360" w:lineRule="auto"/>
        <w:ind w:left="0"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5.2.4.1</w:t>
      </w:r>
      <w:r>
        <w:rPr>
          <w:rFonts w:hint="default" w:ascii="Times New Roman" w:hAnsi="Times New Roman" w:eastAsia="宋体" w:cs="Times New Roman"/>
          <w:b/>
          <w:bCs/>
          <w:color w:val="000000" w:themeColor="text1"/>
          <w:sz w:val="24"/>
          <w:szCs w:val="24"/>
        </w:rPr>
        <w:t xml:space="preserve"> </w:t>
      </w:r>
      <w:r>
        <w:rPr>
          <w:rFonts w:hint="eastAsia" w:ascii="Times New Roman" w:hAnsi="Times New Roman" w:eastAsia="宋体" w:cs="Times New Roman"/>
          <w:b/>
          <w:bCs/>
          <w:color w:val="000000" w:themeColor="text1"/>
          <w:sz w:val="24"/>
          <w:szCs w:val="24"/>
          <w:lang w:eastAsia="zh-CN"/>
        </w:rPr>
        <w:t>采</w:t>
      </w:r>
      <w:r>
        <w:rPr>
          <w:rFonts w:hint="default" w:ascii="Times New Roman" w:hAnsi="Times New Roman" w:eastAsia="宋体" w:cs="Times New Roman"/>
          <w:b/>
          <w:bCs/>
          <w:color w:val="000000" w:themeColor="text1"/>
          <w:sz w:val="24"/>
          <w:szCs w:val="24"/>
        </w:rPr>
        <w:t>矿区地下水</w:t>
      </w:r>
      <w:r>
        <w:rPr>
          <w:rFonts w:hint="eastAsia" w:ascii="Times New Roman" w:hAnsi="Times New Roman" w:eastAsia="宋体" w:cs="Times New Roman"/>
          <w:b/>
          <w:bCs/>
          <w:color w:val="000000" w:themeColor="text1"/>
          <w:sz w:val="24"/>
          <w:szCs w:val="24"/>
          <w:lang w:val="en-US" w:eastAsia="zh-CN"/>
        </w:rPr>
        <w:t>水位</w:t>
      </w:r>
      <w:r>
        <w:rPr>
          <w:rFonts w:hint="default" w:ascii="Times New Roman" w:hAnsi="Times New Roman" w:eastAsia="宋体" w:cs="Times New Roman"/>
          <w:b/>
          <w:bCs/>
          <w:color w:val="000000" w:themeColor="text1"/>
          <w:sz w:val="24"/>
          <w:szCs w:val="24"/>
        </w:rPr>
        <w:t>影响分析</w:t>
      </w:r>
    </w:p>
    <w:p>
      <w:pPr>
        <w:pageBreakBefore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矿区水文地质特征，矿区开采以后地下水位受影响的主要是采矿岩移影响范围及其汇水区域内的基岩裂隙地下水，采矿岩移范围内基岩风化裂隙带内地下水可能通过矿体围岩形成的导水裂隙下渗进入矿井，采矿地表岩石移动范围及其汇水范围以外的地下水仍以采矿前自然状态存在，其地下水径流基本不受采矿影响。本矿区地下水为松散岩类孔隙水和基岩裂隙水，松散岩类岩性主要由第四系冲洪积，残坡积而形成的砾卵（碎）石层，含泥质碎石层、泥土，残坡积物组成，厚度1.5~10m。富水性分布不一，透水性好。地下水位和水量随季节性变化较大，其主要受大气降水和两侧基岩裂隙水的补给。排泄以地下径流与蒸发的形式为主。该含水层小，分布范围小，水量有限，且距矿区甚远，因此对矿床水文地质影响不大；区内的基岩裂隙含水层富水性较弱，且分布不连续。该层地下水接受大气降水补给，排泄去向为沿裂隙径流以泉水形式排入地表水，部分下渗补给深层地下水。</w:t>
      </w:r>
    </w:p>
    <w:p>
      <w:pPr>
        <w:pageBreakBefore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另外，根据《陕西省旬阳县赤岩镇水磨河口构皮沟毒重石矿矿产资源开发利用方案》报告资料，各施工平硐基本无大的地下水涌水点，仅在进硐段局部有点滴状地下水从顶板渗出，矿坑涌水量很小。因此评价认为工程矿山开采对区域地下水水量影响小。</w:t>
      </w:r>
    </w:p>
    <w:p>
      <w:pPr>
        <w:pageBreakBefore w:val="0"/>
        <w:kinsoku/>
        <w:wordWrap/>
        <w:overflowPunct/>
        <w:topLinePunct w:val="0"/>
        <w:autoSpaceDE/>
        <w:autoSpaceDN/>
        <w:bidi w:val="0"/>
        <w:adjustRightInd w:val="0"/>
        <w:snapToGrid w:val="0"/>
        <w:spacing w:line="360" w:lineRule="auto"/>
        <w:ind w:left="0" w:firstLine="480" w:firstLineChars="200"/>
        <w:jc w:val="left"/>
        <w:textAlignment w:val="auto"/>
        <w:outlineLvl w:val="9"/>
        <w:rPr>
          <w:color w:val="000000" w:themeColor="text1"/>
          <w:szCs w:val="24"/>
        </w:rPr>
      </w:pPr>
      <w:r>
        <w:rPr>
          <w:rFonts w:hint="default" w:ascii="Times New Roman" w:hAnsi="Times New Roman" w:eastAsia="宋体" w:cs="Times New Roman"/>
          <w:color w:val="000000" w:themeColor="text1"/>
          <w:sz w:val="24"/>
          <w:szCs w:val="24"/>
        </w:rPr>
        <w:t>综上可以看出，矿区开采时对区内地下水水位影响较小。</w:t>
      </w:r>
    </w:p>
    <w:p>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en-US" w:eastAsia="zh-CN"/>
        </w:rPr>
        <w:t xml:space="preserve">5.2.4.2 </w:t>
      </w:r>
      <w:r>
        <w:rPr>
          <w:rFonts w:hint="default" w:ascii="Times New Roman" w:hAnsi="Times New Roman" w:eastAsia="宋体" w:cs="Times New Roman"/>
          <w:b/>
          <w:bCs/>
          <w:color w:val="000000" w:themeColor="text1"/>
          <w:sz w:val="24"/>
          <w:szCs w:val="24"/>
        </w:rPr>
        <w:t>工业场地地下水影响分析</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zh-CN"/>
        </w:rPr>
      </w:pPr>
      <w:r>
        <w:rPr>
          <w:rFonts w:hint="default" w:ascii="Times New Roman" w:hAnsi="Times New Roman" w:eastAsia="宋体" w:cs="Times New Roman"/>
          <w:color w:val="000000" w:themeColor="text1"/>
          <w:sz w:val="24"/>
          <w:szCs w:val="24"/>
          <w:lang w:val="zh-CN"/>
        </w:rPr>
        <w:t>采矿工业场地生产污水、生活污水收集</w:t>
      </w:r>
      <w:r>
        <w:rPr>
          <w:rFonts w:hint="eastAsia" w:ascii="Times New Roman" w:hAnsi="Times New Roman" w:eastAsia="宋体" w:cs="Times New Roman"/>
          <w:color w:val="000000" w:themeColor="text1"/>
          <w:sz w:val="24"/>
          <w:szCs w:val="24"/>
          <w:lang w:val="zh-CN"/>
        </w:rPr>
        <w:t>设施、危险废物暂存间</w:t>
      </w:r>
      <w:r>
        <w:rPr>
          <w:rFonts w:hint="default" w:ascii="Times New Roman" w:hAnsi="Times New Roman" w:eastAsia="宋体" w:cs="Times New Roman"/>
          <w:color w:val="000000" w:themeColor="text1"/>
          <w:sz w:val="24"/>
          <w:szCs w:val="24"/>
          <w:lang w:val="zh-CN"/>
        </w:rPr>
        <w:t>等均在</w:t>
      </w:r>
      <w:r>
        <w:rPr>
          <w:rFonts w:hint="eastAsia" w:ascii="Times New Roman" w:hAnsi="Times New Roman" w:eastAsia="宋体" w:cs="Times New Roman"/>
          <w:color w:val="000000" w:themeColor="text1"/>
          <w:sz w:val="24"/>
          <w:szCs w:val="24"/>
          <w:lang w:val="en-US" w:eastAsia="zh-CN"/>
        </w:rPr>
        <w:t>底部</w:t>
      </w:r>
      <w:r>
        <w:rPr>
          <w:rFonts w:hint="default" w:ascii="Times New Roman" w:hAnsi="Times New Roman" w:eastAsia="宋体" w:cs="Times New Roman"/>
          <w:color w:val="000000" w:themeColor="text1"/>
          <w:sz w:val="24"/>
          <w:szCs w:val="24"/>
          <w:lang w:val="zh-CN"/>
        </w:rPr>
        <w:t>进行防渗处置，回水管道与构筑物的连接应采用防水套管，管道连接口处，应严把设计和施工质量关，防止管线泄露，可有效防止废水渗漏造成地下水污染。废水经过处理后循环利用，因此，工业场地对地下水水质的影响较小。</w:t>
      </w:r>
    </w:p>
    <w:p>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9"/>
        <w:rPr>
          <w:snapToGrid w:val="0"/>
          <w:color w:val="FF0000"/>
          <w:sz w:val="24"/>
          <w:szCs w:val="24"/>
        </w:rPr>
      </w:pPr>
      <w:r>
        <w:rPr>
          <w:rFonts w:hint="default" w:ascii="Times New Roman" w:hAnsi="Times New Roman" w:eastAsia="宋体" w:cs="Times New Roman"/>
          <w:b/>
          <w:bCs/>
          <w:color w:val="FF0000"/>
          <w:sz w:val="24"/>
          <w:szCs w:val="24"/>
          <w:lang w:val="en-US" w:eastAsia="zh-CN"/>
        </w:rPr>
        <w:t>5.2.4.</w:t>
      </w:r>
      <w:r>
        <w:rPr>
          <w:rFonts w:hint="eastAsia" w:ascii="Times New Roman" w:hAnsi="Times New Roman" w:eastAsia="宋体" w:cs="Times New Roman"/>
          <w:b/>
          <w:bCs/>
          <w:color w:val="FF0000"/>
          <w:sz w:val="24"/>
          <w:szCs w:val="24"/>
          <w:lang w:val="en-US" w:eastAsia="zh-CN"/>
        </w:rPr>
        <w:t>3</w:t>
      </w:r>
      <w:r>
        <w:rPr>
          <w:rFonts w:hint="default" w:ascii="Times New Roman" w:hAnsi="Times New Roman" w:eastAsia="宋体" w:cs="Times New Roman"/>
          <w:b/>
          <w:bCs/>
          <w:color w:val="FF0000"/>
          <w:sz w:val="24"/>
          <w:szCs w:val="24"/>
          <w:lang w:val="en-US" w:eastAsia="zh-CN"/>
        </w:rPr>
        <w:t xml:space="preserve"> </w:t>
      </w:r>
      <w:r>
        <w:rPr>
          <w:rFonts w:hint="eastAsia" w:ascii="Times New Roman" w:hAnsi="Times New Roman" w:eastAsia="宋体" w:cs="Times New Roman"/>
          <w:b/>
          <w:bCs/>
          <w:color w:val="FF0000"/>
          <w:sz w:val="24"/>
          <w:szCs w:val="24"/>
          <w:lang w:eastAsia="zh-CN"/>
        </w:rPr>
        <w:t>废石场</w:t>
      </w:r>
      <w:r>
        <w:rPr>
          <w:rFonts w:hint="default" w:ascii="Times New Roman" w:hAnsi="Times New Roman" w:eastAsia="宋体" w:cs="Times New Roman"/>
          <w:b/>
          <w:bCs/>
          <w:color w:val="FF0000"/>
          <w:sz w:val="24"/>
          <w:szCs w:val="24"/>
        </w:rPr>
        <w:t>地下水影响分析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snapToGrid w:val="0"/>
          <w:color w:val="FF0000"/>
        </w:rPr>
      </w:pPr>
      <w:r>
        <w:rPr>
          <w:rFonts w:hint="default" w:ascii="Times New Roman" w:hAnsi="Times New Roman" w:eastAsia="宋体" w:cs="Times New Roman"/>
          <w:snapToGrid w:val="0"/>
          <w:color w:val="FF0000"/>
          <w:sz w:val="24"/>
          <w:szCs w:val="24"/>
        </w:rPr>
        <w:t>废石场对地下水的影响主要为废石场淋溶水渗入污染地下水。</w:t>
      </w:r>
      <w:r>
        <w:rPr>
          <w:rFonts w:hint="default" w:ascii="Times New Roman" w:hAnsi="Times New Roman" w:eastAsia="宋体" w:cs="Times New Roman"/>
          <w:color w:val="FF0000"/>
          <w:sz w:val="24"/>
          <w:szCs w:val="24"/>
        </w:rPr>
        <w:t>根据工程分析可知，项目废石浸出液中的有害元素浓度均低于《危险废物鉴别标准浸出毒性鉴别》（GB5085.3-2007）中标准限值，也低于《污水综合排放标准》（GB8978-1996）中的允许排放值，本项目废石属于第Ⅰ类一般工业固体废物。</w:t>
      </w:r>
      <w:r>
        <w:rPr>
          <w:snapToGrid w:val="0"/>
          <w:color w:val="FF0000"/>
          <w:sz w:val="24"/>
          <w:szCs w:val="24"/>
        </w:rPr>
        <w:t>采矿废石长</w:t>
      </w:r>
      <w:r>
        <w:rPr>
          <w:rFonts w:hint="default" w:ascii="Times New Roman" w:hAnsi="Times New Roman" w:eastAsia="宋体" w:cs="Times New Roman"/>
          <w:snapToGrid w:val="0"/>
          <w:color w:val="FF0000"/>
          <w:sz w:val="24"/>
          <w:szCs w:val="24"/>
        </w:rPr>
        <w:t>期堆存于废石场，废石中含有的有害元素在降雨淋溶后可能随雨水迁移进入土壤和水体，可能对水环境产生一定的影响。</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color w:val="FF0000"/>
          <w:sz w:val="24"/>
          <w:szCs w:val="24"/>
          <w:lang w:val="zh-CN" w:bidi="zh-CN"/>
        </w:rPr>
      </w:pPr>
      <w:r>
        <w:rPr>
          <w:rFonts w:hint="default" w:ascii="Times New Roman" w:hAnsi="Times New Roman" w:eastAsia="宋体" w:cs="Times New Roman"/>
          <w:b w:val="0"/>
          <w:bCs/>
          <w:color w:val="FF0000"/>
          <w:sz w:val="24"/>
          <w:szCs w:val="24"/>
          <w:lang w:val="zh-CN" w:bidi="zh-CN"/>
        </w:rPr>
        <w:t>（</w:t>
      </w:r>
      <w:r>
        <w:rPr>
          <w:rFonts w:hint="default" w:ascii="Times New Roman" w:hAnsi="Times New Roman" w:eastAsia="宋体" w:cs="Times New Roman"/>
          <w:b w:val="0"/>
          <w:bCs/>
          <w:color w:val="FF0000"/>
          <w:sz w:val="24"/>
          <w:szCs w:val="24"/>
          <w:lang w:val="en-US" w:bidi="zh-CN"/>
        </w:rPr>
        <w:t>1</w:t>
      </w:r>
      <w:r>
        <w:rPr>
          <w:rFonts w:hint="default" w:ascii="Times New Roman" w:hAnsi="Times New Roman" w:eastAsia="宋体" w:cs="Times New Roman"/>
          <w:b w:val="0"/>
          <w:bCs/>
          <w:color w:val="FF0000"/>
          <w:sz w:val="24"/>
          <w:szCs w:val="24"/>
          <w:lang w:val="zh-CN" w:bidi="zh-CN"/>
        </w:rPr>
        <w:t>）预测情景</w:t>
      </w:r>
    </w:p>
    <w:p>
      <w:pPr>
        <w:keepNext w:val="0"/>
        <w:keepLines w:val="0"/>
        <w:pageBreakBefore w:val="0"/>
        <w:widowControl/>
        <w:tabs>
          <w:tab w:val="left" w:pos="-57"/>
          <w:tab w:val="left" w:pos="0"/>
        </w:tabs>
        <w:kinsoku/>
        <w:wordWrap/>
        <w:overflowPunct/>
        <w:topLinePunct w:val="0"/>
        <w:autoSpaceDE w:val="0"/>
        <w:autoSpaceDN w:val="0"/>
        <w:bidi w:val="0"/>
        <w:adjustRightInd w:val="0"/>
        <w:snapToGrid w:val="0"/>
        <w:spacing w:line="360" w:lineRule="auto"/>
        <w:ind w:firstLine="480" w:firstLineChars="200"/>
        <w:textAlignment w:val="auto"/>
        <w:outlineLvl w:val="9"/>
        <w:rPr>
          <w:color w:val="FF0000"/>
          <w:sz w:val="24"/>
          <w:szCs w:val="24"/>
          <w:lang w:val="zh-CN" w:bidi="zh-CN"/>
        </w:rPr>
      </w:pPr>
      <w:r>
        <w:rPr>
          <w:color w:val="FF0000"/>
          <w:sz w:val="24"/>
          <w:szCs w:val="24"/>
          <w:lang w:val="zh-CN" w:bidi="zh-CN"/>
        </w:rPr>
        <w:t>由于</w:t>
      </w:r>
      <w:r>
        <w:rPr>
          <w:rFonts w:hint="eastAsia"/>
          <w:color w:val="FF0000"/>
          <w:sz w:val="24"/>
          <w:szCs w:val="24"/>
          <w:lang w:val="zh-CN" w:bidi="zh-CN"/>
        </w:rPr>
        <w:t>废石</w:t>
      </w:r>
      <w:r>
        <w:rPr>
          <w:color w:val="FF0000"/>
          <w:sz w:val="24"/>
          <w:szCs w:val="24"/>
          <w:lang w:val="zh-CN" w:bidi="zh-CN"/>
        </w:rPr>
        <w:t>场不做防渗，故不存在防渗破损、老化造成的渗漏情况，因此本次预测主要考虑正常状况下，降水形成的废石淋溶水渗入地下，对地下水环境造成的影响。</w:t>
      </w:r>
    </w:p>
    <w:p>
      <w:pPr>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color w:val="FF0000"/>
        </w:rPr>
      </w:pPr>
      <w:r>
        <w:rPr>
          <w:rFonts w:hint="default" w:ascii="Times New Roman" w:hAnsi="Times New Roman" w:eastAsia="宋体" w:cs="Times New Roman"/>
          <w:b w:val="0"/>
          <w:bCs/>
          <w:color w:val="FF0000"/>
          <w:sz w:val="24"/>
          <w:szCs w:val="24"/>
        </w:rPr>
        <w:t>（</w:t>
      </w:r>
      <w:r>
        <w:rPr>
          <w:rFonts w:hint="default" w:ascii="Times New Roman" w:hAnsi="Times New Roman" w:eastAsia="宋体" w:cs="Times New Roman"/>
          <w:b w:val="0"/>
          <w:bCs/>
          <w:color w:val="FF0000"/>
          <w:sz w:val="24"/>
          <w:szCs w:val="24"/>
          <w:lang w:val="en-US" w:eastAsia="zh-CN"/>
        </w:rPr>
        <w:t>2</w:t>
      </w:r>
      <w:r>
        <w:rPr>
          <w:rFonts w:hint="default" w:ascii="Times New Roman" w:hAnsi="Times New Roman" w:eastAsia="宋体" w:cs="Times New Roman"/>
          <w:b w:val="0"/>
          <w:bCs/>
          <w:color w:val="FF0000"/>
          <w:sz w:val="24"/>
          <w:szCs w:val="24"/>
        </w:rPr>
        <w:t>）预测因子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bCs/>
          <w:color w:val="FF0000"/>
          <w:sz w:val="24"/>
          <w:szCs w:val="24"/>
        </w:rPr>
      </w:pPr>
      <w:r>
        <w:rPr>
          <w:color w:val="FF0000"/>
          <w:kern w:val="24"/>
          <w:sz w:val="24"/>
          <w:szCs w:val="24"/>
        </w:rPr>
        <w:t>结合本工程性质及产污特征，</w:t>
      </w:r>
      <w:r>
        <w:rPr>
          <w:bCs/>
          <w:color w:val="FF0000"/>
          <w:sz w:val="24"/>
          <w:szCs w:val="24"/>
        </w:rPr>
        <w:t>本次选钡作为预测因子。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FF0000"/>
          <w:sz w:val="24"/>
          <w:szCs w:val="24"/>
        </w:rPr>
      </w:pPr>
      <w:r>
        <w:rPr>
          <w:rFonts w:hint="default" w:ascii="Times New Roman" w:hAnsi="Times New Roman" w:eastAsia="宋体" w:cs="Times New Roman"/>
          <w:b w:val="0"/>
          <w:bCs/>
          <w:color w:val="FF0000"/>
          <w:sz w:val="24"/>
          <w:szCs w:val="24"/>
        </w:rPr>
        <w:t>（</w:t>
      </w:r>
      <w:r>
        <w:rPr>
          <w:rFonts w:hint="default" w:ascii="Times New Roman" w:hAnsi="Times New Roman" w:eastAsia="宋体" w:cs="Times New Roman"/>
          <w:b w:val="0"/>
          <w:bCs/>
          <w:color w:val="FF0000"/>
          <w:sz w:val="24"/>
          <w:szCs w:val="24"/>
          <w:lang w:val="en-US" w:eastAsia="zh-CN"/>
        </w:rPr>
        <w:t>3</w:t>
      </w:r>
      <w:r>
        <w:rPr>
          <w:rFonts w:hint="default" w:ascii="Times New Roman" w:hAnsi="Times New Roman" w:eastAsia="宋体" w:cs="Times New Roman"/>
          <w:b w:val="0"/>
          <w:bCs/>
          <w:color w:val="FF0000"/>
          <w:sz w:val="24"/>
          <w:szCs w:val="24"/>
        </w:rPr>
        <w:t>）预测时段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根据导则预测时段的要求，本次确定的预测时段分别为渗漏发生后的100d和1000d。</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FF0000"/>
          <w:sz w:val="24"/>
          <w:szCs w:val="24"/>
        </w:rPr>
      </w:pPr>
      <w:r>
        <w:rPr>
          <w:rFonts w:hint="default" w:ascii="Times New Roman" w:hAnsi="Times New Roman" w:eastAsia="宋体" w:cs="Times New Roman"/>
          <w:b w:val="0"/>
          <w:bCs/>
          <w:color w:val="FF0000"/>
          <w:sz w:val="24"/>
          <w:szCs w:val="24"/>
        </w:rPr>
        <w:t>（</w:t>
      </w:r>
      <w:r>
        <w:rPr>
          <w:rFonts w:hint="default" w:ascii="Times New Roman" w:hAnsi="Times New Roman" w:eastAsia="宋体" w:cs="Times New Roman"/>
          <w:b w:val="0"/>
          <w:bCs/>
          <w:color w:val="FF0000"/>
          <w:sz w:val="24"/>
          <w:szCs w:val="24"/>
          <w:lang w:val="en-US" w:eastAsia="zh-CN"/>
        </w:rPr>
        <w:t>4</w:t>
      </w:r>
      <w:r>
        <w:rPr>
          <w:rFonts w:hint="default" w:ascii="Times New Roman" w:hAnsi="Times New Roman" w:eastAsia="宋体" w:cs="Times New Roman"/>
          <w:b w:val="0"/>
          <w:bCs/>
          <w:color w:val="FF0000"/>
          <w:sz w:val="24"/>
          <w:szCs w:val="24"/>
        </w:rPr>
        <w:t>）预测源强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color w:val="FF0000"/>
          <w:sz w:val="24"/>
          <w:szCs w:val="24"/>
        </w:rPr>
      </w:pPr>
      <w:r>
        <w:rPr>
          <w:color w:val="FF0000"/>
          <w:sz w:val="24"/>
          <w:szCs w:val="24"/>
        </w:rPr>
        <w:t>浸出液产生量主要受降水、地表径流、以及堆料含水性等多种因素的共同影响。其产生量计算依据采用《三废处理工程技术手册》中介绍的经验估算方法进行计算，计算公式如下：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drawing>
          <wp:inline distT="0" distB="0" distL="114300" distR="114300">
            <wp:extent cx="805180" cy="204470"/>
            <wp:effectExtent l="0" t="0" r="13970" b="381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7" cstate="print">
                      <a:clrChange>
                        <a:clrFrom>
                          <a:srgbClr val="FFFFFF"/>
                        </a:clrFrom>
                        <a:clrTo>
                          <a:srgbClr val="FFFFFF">
                            <a:alpha val="0"/>
                          </a:srgbClr>
                        </a:clrTo>
                      </a:clrChange>
                    </a:blip>
                    <a:stretch>
                      <a:fillRect/>
                    </a:stretch>
                  </pic:blipFill>
                  <pic:spPr>
                    <a:xfrm>
                      <a:off x="0" y="0"/>
                      <a:ext cx="805180" cy="20447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FF0000"/>
          <w:sz w:val="24"/>
          <w:szCs w:val="24"/>
          <w:lang w:bidi="zh-CN"/>
        </w:rPr>
      </w:pPr>
      <w:r>
        <w:rPr>
          <w:rFonts w:hint="default" w:ascii="Times New Roman" w:hAnsi="Times New Roman" w:eastAsia="宋体" w:cs="Times New Roman"/>
          <w:color w:val="FF0000"/>
          <w:sz w:val="24"/>
          <w:szCs w:val="24"/>
        </w:rPr>
        <w:t>式中：Q—堆场淋溶水产生量，m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/d；I—多年平均降水量，</w:t>
      </w:r>
      <w:r>
        <w:rPr>
          <w:rFonts w:hint="eastAsia" w:ascii="Times New Roman" w:hAnsi="Times New Roman" w:eastAsia="宋体" w:cs="Times New Roman"/>
          <w:color w:val="FF0000"/>
          <w:sz w:val="24"/>
          <w:szCs w:val="24"/>
          <w:lang w:eastAsia="zh-CN"/>
        </w:rPr>
        <w:t>根据旬阳市降雨量分布图可知，</w:t>
      </w:r>
      <w:r>
        <w:rPr>
          <w:rFonts w:hint="default" w:ascii="Times New Roman" w:hAnsi="Times New Roman" w:eastAsia="宋体" w:cs="Times New Roman"/>
          <w:color w:val="FF0000"/>
          <w:sz w:val="24"/>
          <w:szCs w:val="24"/>
        </w:rPr>
        <w:t>旬阳</w:t>
      </w:r>
      <w:r>
        <w:rPr>
          <w:rFonts w:hint="eastAsia" w:ascii="Times New Roman" w:hAnsi="Times New Roman" w:eastAsia="宋体" w:cs="Times New Roman"/>
          <w:color w:val="FF0000"/>
          <w:sz w:val="24"/>
          <w:szCs w:val="24"/>
          <w:lang w:eastAsia="zh-CN"/>
        </w:rPr>
        <w:t>市</w:t>
      </w:r>
      <w:r>
        <w:rPr>
          <w:rFonts w:hint="default" w:ascii="Times New Roman" w:hAnsi="Times New Roman" w:eastAsia="宋体" w:cs="Times New Roman"/>
          <w:color w:val="FF0000"/>
          <w:sz w:val="24"/>
          <w:szCs w:val="24"/>
        </w:rPr>
        <w:t>年内降水的季节性变化极为明显，年内降水量呈明显的驼峰型，分布极为不均。</w:t>
      </w:r>
      <w:r>
        <w:rPr>
          <w:rFonts w:hint="eastAsia" w:ascii="Times New Roman" w:hAnsi="Times New Roman" w:eastAsia="宋体" w:cs="Times New Roman"/>
          <w:color w:val="FF0000"/>
          <w:sz w:val="24"/>
          <w:szCs w:val="24"/>
          <w:lang w:eastAsia="zh-CN"/>
        </w:rPr>
        <w:t>按照最不利影响考虑，取年降水量最多的</w:t>
      </w:r>
      <w:r>
        <w:rPr>
          <w:rFonts w:hint="eastAsia" w:ascii="Times New Roman" w:hAnsi="Times New Roman" w:eastAsia="宋体" w:cs="Times New Roman"/>
          <w:color w:val="FF0000"/>
          <w:sz w:val="24"/>
          <w:szCs w:val="24"/>
          <w:lang w:val="en-US" w:eastAsia="zh-CN"/>
        </w:rPr>
        <w:t>7月份的均值进行计算，经换算，7月份日降水量为14.5</w:t>
      </w:r>
      <w:r>
        <w:rPr>
          <w:rFonts w:hint="default" w:ascii="Times New Roman" w:hAnsi="Times New Roman" w:eastAsia="宋体" w:cs="Times New Roman"/>
          <w:color w:val="FF0000"/>
          <w:sz w:val="24"/>
          <w:szCs w:val="24"/>
        </w:rPr>
        <w:t>mm</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rPr>
        <w:t>d；A—堆场面积，根据工程分析，废石场面积为</w:t>
      </w:r>
      <w:r>
        <w:rPr>
          <w:rFonts w:hint="eastAsia" w:ascii="Times New Roman" w:hAnsi="Times New Roman" w:eastAsia="宋体" w:cs="Times New Roman"/>
          <w:color w:val="FF0000"/>
          <w:sz w:val="24"/>
          <w:szCs w:val="24"/>
          <w:lang w:val="en-US" w:eastAsia="zh-CN"/>
        </w:rPr>
        <w:t>42</w:t>
      </w:r>
      <w:r>
        <w:rPr>
          <w:rFonts w:hint="default" w:ascii="Times New Roman" w:hAnsi="Times New Roman" w:eastAsia="宋体" w:cs="Times New Roman"/>
          <w:color w:val="FF0000"/>
          <w:sz w:val="24"/>
          <w:szCs w:val="24"/>
        </w:rPr>
        <w:t>00m</w:t>
      </w:r>
      <w:r>
        <w:rPr>
          <w:rFonts w:hint="default" w:ascii="Times New Roman" w:hAnsi="Times New Roman" w:eastAsia="宋体" w:cs="Times New Roman"/>
          <w:color w:val="FF0000"/>
          <w:sz w:val="24"/>
          <w:szCs w:val="24"/>
          <w:vertAlign w:val="superscript"/>
        </w:rPr>
        <w:t>2</w:t>
      </w:r>
      <w:r>
        <w:rPr>
          <w:rFonts w:hint="default" w:ascii="Times New Roman" w:hAnsi="Times New Roman" w:eastAsia="宋体" w:cs="Times New Roman"/>
          <w:color w:val="FF0000"/>
          <w:sz w:val="24"/>
          <w:szCs w:val="24"/>
        </w:rPr>
        <w:t>；C—堆场区降水入渗系数，根据《三废处理工程技术手册》取0.2。由上式计算得本项目废石场由降水形成的淋溶水分别约为</w:t>
      </w:r>
      <w:r>
        <w:rPr>
          <w:rFonts w:hint="eastAsia" w:ascii="Times New Roman" w:hAnsi="Times New Roman" w:eastAsia="宋体" w:cs="Times New Roman"/>
          <w:color w:val="FF0000"/>
          <w:sz w:val="24"/>
          <w:szCs w:val="24"/>
          <w:lang w:val="en-US" w:eastAsia="zh-CN"/>
        </w:rPr>
        <w:t>12.18</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w:t>
      </w:r>
      <w:r>
        <w:rPr>
          <w:rFonts w:hint="default" w:ascii="Times New Roman" w:hAnsi="Times New Roman" w:eastAsia="宋体" w:cs="Times New Roman"/>
          <w:color w:val="FF0000"/>
          <w:sz w:val="24"/>
          <w:szCs w:val="24"/>
          <w:lang w:bidi="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i/>
          <w:color w:val="FF0000"/>
          <w:sz w:val="24"/>
          <w:szCs w:val="24"/>
        </w:rPr>
        <w:t>m</w:t>
      </w:r>
      <w:r>
        <w:rPr>
          <w:rFonts w:hint="default" w:ascii="Times New Roman" w:hAnsi="Times New Roman" w:eastAsia="宋体" w:cs="Times New Roman"/>
          <w:i/>
          <w:color w:val="FF0000"/>
          <w:sz w:val="24"/>
          <w:szCs w:val="24"/>
          <w:vertAlign w:val="subscript"/>
        </w:rPr>
        <w:t>M</w:t>
      </w:r>
      <w:r>
        <w:rPr>
          <w:rFonts w:hint="default" w:ascii="Times New Roman" w:hAnsi="Times New Roman" w:eastAsia="宋体" w:cs="Times New Roman"/>
          <w:color w:val="FF0000"/>
          <w:sz w:val="24"/>
          <w:szCs w:val="24"/>
        </w:rPr>
        <w:t>=C·</w:t>
      </w:r>
      <w:r>
        <w:rPr>
          <w:rFonts w:hint="default" w:ascii="Times New Roman" w:hAnsi="Times New Roman" w:eastAsia="宋体" w:cs="Times New Roman"/>
          <w:i/>
          <w:color w:val="FF0000"/>
          <w:sz w:val="24"/>
          <w:szCs w:val="24"/>
        </w:rPr>
        <w:t>Q</w:t>
      </w:r>
      <w:r>
        <w:rPr>
          <w:rFonts w:hint="default" w:ascii="Times New Roman" w:hAnsi="Times New Roman" w:eastAsia="宋体" w:cs="Times New Roman"/>
          <w:color w:val="FF0000"/>
          <w:sz w:val="24"/>
          <w:szCs w:val="24"/>
        </w:rPr>
        <w:t>/1000，根据该矿废石淋溶浸出液毒性试验，预测因子Ba的产生最大浓度</w:t>
      </w:r>
      <w:r>
        <w:rPr>
          <w:rFonts w:hint="default" w:ascii="Times New Roman" w:hAnsi="Times New Roman" w:eastAsia="宋体" w:cs="Times New Roman"/>
          <w:color w:val="FF0000"/>
          <w:sz w:val="24"/>
          <w:szCs w:val="24"/>
          <w:highlight w:val="none"/>
        </w:rPr>
        <w:t>为</w:t>
      </w:r>
      <w:r>
        <w:rPr>
          <w:rFonts w:hint="eastAsia" w:ascii="Times New Roman" w:hAnsi="Times New Roman" w:eastAsia="宋体" w:cs="Times New Roman"/>
          <w:color w:val="FF0000"/>
          <w:sz w:val="24"/>
          <w:szCs w:val="24"/>
          <w:highlight w:val="none"/>
          <w:lang w:val="en-US" w:eastAsia="zh-CN"/>
        </w:rPr>
        <w:t>7.5</w:t>
      </w:r>
      <w:r>
        <w:rPr>
          <w:rFonts w:hint="default" w:ascii="Times New Roman" w:hAnsi="Times New Roman" w:eastAsia="宋体" w:cs="Times New Roman"/>
          <w:color w:val="FF0000"/>
          <w:sz w:val="24"/>
          <w:szCs w:val="24"/>
          <w:highlight w:val="none"/>
        </w:rPr>
        <w:t>mg/L</w:t>
      </w:r>
      <w:r>
        <w:rPr>
          <w:rFonts w:hint="default" w:ascii="Times New Roman" w:hAnsi="Times New Roman" w:eastAsia="宋体" w:cs="Times New Roman"/>
          <w:color w:val="FF0000"/>
          <w:sz w:val="24"/>
          <w:szCs w:val="24"/>
        </w:rPr>
        <w:t>，则强降雨时废石淋滤液渗漏量按连续24小时强降雨计算得废石渣场日最大淋滤液渗漏量为0.0</w:t>
      </w:r>
      <w:r>
        <w:rPr>
          <w:rFonts w:hint="eastAsia" w:ascii="Times New Roman" w:hAnsi="Times New Roman" w:eastAsia="宋体" w:cs="Times New Roman"/>
          <w:color w:val="FF0000"/>
          <w:sz w:val="24"/>
          <w:szCs w:val="24"/>
          <w:lang w:val="en-US" w:eastAsia="zh-CN"/>
        </w:rPr>
        <w:t>18</w:t>
      </w:r>
      <w:r>
        <w:rPr>
          <w:rFonts w:hint="default" w:ascii="Times New Roman" w:hAnsi="Times New Roman" w:eastAsia="宋体" w:cs="Times New Roman"/>
          <w:color w:val="FF0000"/>
          <w:sz w:val="24"/>
          <w:szCs w:val="24"/>
        </w:rPr>
        <w:t>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FF0000"/>
          <w:sz w:val="24"/>
          <w:szCs w:val="24"/>
        </w:rPr>
      </w:pPr>
      <w:r>
        <w:rPr>
          <w:rFonts w:hint="default" w:ascii="Times New Roman" w:hAnsi="Times New Roman" w:eastAsia="宋体" w:cs="Times New Roman"/>
          <w:b w:val="0"/>
          <w:bCs/>
          <w:color w:val="FF0000"/>
          <w:sz w:val="24"/>
          <w:szCs w:val="24"/>
        </w:rPr>
        <w:t>（</w:t>
      </w:r>
      <w:r>
        <w:rPr>
          <w:rFonts w:hint="default" w:ascii="Times New Roman" w:hAnsi="Times New Roman" w:eastAsia="宋体" w:cs="Times New Roman"/>
          <w:b w:val="0"/>
          <w:bCs/>
          <w:color w:val="FF0000"/>
          <w:sz w:val="24"/>
          <w:szCs w:val="24"/>
          <w:lang w:val="en-US" w:eastAsia="zh-CN"/>
        </w:rPr>
        <w:t>5</w:t>
      </w:r>
      <w:r>
        <w:rPr>
          <w:rFonts w:hint="default" w:ascii="Times New Roman" w:hAnsi="Times New Roman" w:eastAsia="宋体" w:cs="Times New Roman"/>
          <w:b w:val="0"/>
          <w:bCs/>
          <w:color w:val="FF0000"/>
          <w:sz w:val="24"/>
          <w:szCs w:val="24"/>
        </w:rPr>
        <w:t>）预测模式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cs="Times New Roman"/>
          <w:color w:val="FF0000"/>
          <w:sz w:val="24"/>
          <w:szCs w:val="24"/>
        </w:rPr>
      </w:pPr>
      <w:r>
        <w:rPr>
          <w:rFonts w:cs="Times New Roman"/>
          <w:color w:val="FF0000"/>
          <w:sz w:val="24"/>
          <w:szCs w:val="24"/>
        </w:rPr>
        <w:t>本项目污染物在含水层中的扩散时对地下水流场没有明显的影响</w:t>
      </w:r>
      <w:r>
        <w:rPr>
          <w:rFonts w:hint="eastAsia" w:cs="Times New Roman"/>
          <w:color w:val="FF0000"/>
          <w:sz w:val="24"/>
          <w:szCs w:val="24"/>
        </w:rPr>
        <w:t>，</w:t>
      </w:r>
      <w:r>
        <w:rPr>
          <w:rFonts w:cs="Times New Roman"/>
          <w:color w:val="FF0000"/>
          <w:sz w:val="24"/>
          <w:szCs w:val="24"/>
        </w:rPr>
        <w:t>含水层组组成较为简单</w:t>
      </w:r>
      <w:r>
        <w:rPr>
          <w:rFonts w:hint="eastAsia" w:cs="Times New Roman"/>
          <w:color w:val="FF0000"/>
          <w:sz w:val="24"/>
          <w:szCs w:val="24"/>
        </w:rPr>
        <w:t>，</w:t>
      </w:r>
      <w:r>
        <w:rPr>
          <w:rFonts w:cs="Times New Roman"/>
          <w:color w:val="FF0000"/>
          <w:sz w:val="24"/>
          <w:szCs w:val="24"/>
        </w:rPr>
        <w:t>渗透系数、有效孔隙度等一般保持不变</w:t>
      </w:r>
      <w:r>
        <w:rPr>
          <w:rFonts w:hint="eastAsia" w:cs="Times New Roman"/>
          <w:color w:val="FF0000"/>
          <w:sz w:val="24"/>
          <w:szCs w:val="24"/>
        </w:rPr>
        <w:t>，</w:t>
      </w:r>
      <w:r>
        <w:rPr>
          <w:rFonts w:cs="Times New Roman"/>
          <w:color w:val="FF0000"/>
          <w:sz w:val="24"/>
          <w:szCs w:val="24"/>
        </w:rPr>
        <w:t>因此本项目对废石堆场可简化为以一维无限长多孔介质柱体</w:t>
      </w:r>
      <w:r>
        <w:rPr>
          <w:rFonts w:hint="eastAsia" w:cs="Times New Roman"/>
          <w:color w:val="FF0000"/>
          <w:sz w:val="24"/>
          <w:szCs w:val="24"/>
        </w:rPr>
        <w:t>，</w:t>
      </w:r>
      <w:r>
        <w:rPr>
          <w:rFonts w:cs="Times New Roman"/>
          <w:color w:val="FF0000"/>
          <w:sz w:val="24"/>
          <w:szCs w:val="24"/>
        </w:rPr>
        <w:t>示踪剂瞬时注入模式预测方式</w:t>
      </w:r>
      <w:r>
        <w:rPr>
          <w:rFonts w:hint="eastAsia" w:cs="Times New Roman"/>
          <w:color w:val="FF0000"/>
          <w:sz w:val="24"/>
          <w:szCs w:val="24"/>
        </w:rPr>
        <w:t>，</w:t>
      </w:r>
      <w:r>
        <w:rPr>
          <w:rFonts w:cs="Times New Roman"/>
          <w:color w:val="FF0000"/>
          <w:sz w:val="24"/>
          <w:szCs w:val="24"/>
        </w:rPr>
        <w:t>以钡为示踪剂对污废水的影响进行预测。</w:t>
      </w:r>
    </w:p>
    <w:p>
      <w:pPr>
        <w:pStyle w:val="4"/>
        <w:numPr>
          <w:ilvl w:val="1"/>
          <w:numId w:val="0"/>
        </w:numPr>
        <w:ind w:leftChars="0"/>
        <w:jc w:val="center"/>
        <w:rPr>
          <w:color w:val="FF0000"/>
        </w:rPr>
      </w:pPr>
      <w:r>
        <w:rPr>
          <w:rFonts w:cs="Times New Roman"/>
          <w:color w:val="FF0000"/>
        </w:rPr>
        <w:drawing>
          <wp:inline distT="0" distB="0" distL="114300" distR="114300">
            <wp:extent cx="2286000" cy="742950"/>
            <wp:effectExtent l="0" t="0" r="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8" cstate="print"/>
                    <a:stretch>
                      <a:fillRect/>
                    </a:stretch>
                  </pic:blipFill>
                  <pic:spPr>
                    <a:xfrm>
                      <a:off x="0" y="0"/>
                      <a:ext cx="2286000" cy="742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式中：x—距注入点的距离，m；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t—时间，d；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C(x,t)—t时刻x处的示踪剂浓度，g/L；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m—注入的示踪剂质量，kg；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w—横截面面积，m</w:t>
      </w:r>
      <w:r>
        <w:rPr>
          <w:rFonts w:hint="eastAsia" w:ascii="宋体" w:hAnsi="宋体" w:eastAsia="宋体" w:cs="宋体"/>
          <w:color w:val="FF0000"/>
          <w:sz w:val="24"/>
          <w:szCs w:val="24"/>
          <w:vertAlign w:val="superscript"/>
        </w:rPr>
        <w:t>2</w:t>
      </w:r>
      <w:r>
        <w:rPr>
          <w:rFonts w:hint="eastAsia" w:ascii="宋体" w:hAnsi="宋体" w:eastAsia="宋体" w:cs="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u—水流速度，m/d；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n</w:t>
      </w:r>
      <w:r>
        <w:rPr>
          <w:rFonts w:hint="eastAsia" w:ascii="宋体" w:hAnsi="宋体" w:eastAsia="宋体" w:cs="宋体"/>
          <w:color w:val="FF0000"/>
          <w:sz w:val="24"/>
          <w:szCs w:val="24"/>
          <w:vertAlign w:val="subscript"/>
        </w:rPr>
        <w:t>e</w:t>
      </w:r>
      <w:r>
        <w:rPr>
          <w:rFonts w:hint="eastAsia" w:ascii="宋体" w:hAnsi="宋体" w:eastAsia="宋体" w:cs="宋体"/>
          <w:color w:val="FF0000"/>
          <w:sz w:val="24"/>
          <w:szCs w:val="24"/>
        </w:rPr>
        <w:t>—有效孔隙度，无量纲；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D</w:t>
      </w:r>
      <w:r>
        <w:rPr>
          <w:rFonts w:hint="eastAsia" w:ascii="宋体" w:hAnsi="宋体" w:eastAsia="宋体" w:cs="宋体"/>
          <w:color w:val="FF0000"/>
          <w:sz w:val="24"/>
          <w:szCs w:val="24"/>
          <w:vertAlign w:val="subscript"/>
        </w:rPr>
        <w:t>L</w:t>
      </w:r>
      <w:r>
        <w:rPr>
          <w:rFonts w:hint="eastAsia" w:ascii="宋体" w:hAnsi="宋体" w:eastAsia="宋体" w:cs="宋体"/>
          <w:color w:val="FF0000"/>
          <w:sz w:val="24"/>
          <w:szCs w:val="24"/>
        </w:rPr>
        <w:t>—纵向弥散系数，m</w:t>
      </w:r>
      <w:r>
        <w:rPr>
          <w:rFonts w:hint="eastAsia" w:ascii="宋体" w:hAnsi="宋体" w:eastAsia="宋体" w:cs="宋体"/>
          <w:color w:val="FF0000"/>
          <w:sz w:val="24"/>
          <w:szCs w:val="24"/>
          <w:vertAlign w:val="superscript"/>
        </w:rPr>
        <w:t>2</w:t>
      </w:r>
      <w:r>
        <w:rPr>
          <w:rFonts w:hint="eastAsia" w:ascii="宋体" w:hAnsi="宋体" w:eastAsia="宋体" w:cs="宋体"/>
          <w:color w:val="FF0000"/>
          <w:sz w:val="24"/>
          <w:szCs w:val="24"/>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π—圆周率</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val="0"/>
          <w:bCs/>
          <w:color w:val="FF0000"/>
          <w:sz w:val="24"/>
          <w:szCs w:val="24"/>
        </w:rPr>
      </w:pPr>
      <w:r>
        <w:rPr>
          <w:rFonts w:hint="default" w:ascii="Times New Roman" w:hAnsi="Times New Roman" w:eastAsia="宋体" w:cs="Times New Roman"/>
          <w:b w:val="0"/>
          <w:bCs/>
          <w:color w:val="FF0000"/>
          <w:sz w:val="24"/>
          <w:szCs w:val="24"/>
        </w:rPr>
        <w:t>（</w:t>
      </w:r>
      <w:r>
        <w:rPr>
          <w:rFonts w:hint="eastAsia" w:ascii="Times New Roman" w:hAnsi="Times New Roman" w:eastAsia="宋体" w:cs="Times New Roman"/>
          <w:b w:val="0"/>
          <w:bCs/>
          <w:color w:val="FF0000"/>
          <w:sz w:val="24"/>
          <w:szCs w:val="24"/>
          <w:lang w:val="en-US" w:eastAsia="zh-CN"/>
        </w:rPr>
        <w:t>6</w:t>
      </w:r>
      <w:r>
        <w:rPr>
          <w:rFonts w:hint="default" w:ascii="Times New Roman" w:hAnsi="Times New Roman" w:eastAsia="宋体" w:cs="Times New Roman"/>
          <w:b w:val="0"/>
          <w:bCs/>
          <w:color w:val="FF0000"/>
          <w:sz w:val="24"/>
          <w:szCs w:val="24"/>
        </w:rPr>
        <w:t>）计算参数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①渗透系数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根据评价区水文地质条件，评价区内含水层主要为基岩风化裂隙含水层，含水层渗透系数0.00115m/d。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②通过地下水流场确定场地附近水力坡度I为0.18，基岩风化裂隙含水层有效孔隙度根据区域水文地质资料及经验值取0.1。</w:t>
      </w:r>
    </w:p>
    <w:p>
      <w:pPr>
        <w:pStyle w:val="138"/>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表5.</w:t>
      </w:r>
      <w:r>
        <w:rPr>
          <w:rFonts w:hint="eastAsia" w:ascii="Times New Roman" w:hAnsi="Times New Roman" w:cs="Times New Roman"/>
          <w:color w:val="FF0000"/>
          <w:sz w:val="21"/>
          <w:szCs w:val="21"/>
          <w:lang w:val="en-US" w:eastAsia="zh-CN"/>
        </w:rPr>
        <w:t>2</w:t>
      </w:r>
      <w:r>
        <w:rPr>
          <w:rFonts w:hint="default" w:ascii="Times New Roman" w:hAnsi="Times New Roman" w:eastAsia="宋体" w:cs="Times New Roman"/>
          <w:color w:val="FF0000"/>
          <w:sz w:val="21"/>
          <w:szCs w:val="21"/>
        </w:rPr>
        <w:t>-</w:t>
      </w:r>
      <w:r>
        <w:rPr>
          <w:rFonts w:hint="eastAsia" w:ascii="Times New Roman" w:hAnsi="Times New Roman" w:cs="Times New Roman"/>
          <w:color w:val="FF0000"/>
          <w:sz w:val="21"/>
          <w:szCs w:val="21"/>
          <w:lang w:val="en-US" w:eastAsia="zh-CN"/>
        </w:rPr>
        <w:t>17</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rPr>
        <w:t>水质预测各参数取值表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302"/>
        <w:gridCol w:w="1045"/>
        <w:gridCol w:w="1045"/>
        <w:gridCol w:w="1045"/>
        <w:gridCol w:w="1045"/>
        <w:gridCol w:w="1153"/>
        <w:gridCol w:w="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3" w:type="dxa"/>
            <w:vMerge w:val="restart"/>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污染源</w:t>
            </w:r>
          </w:p>
        </w:tc>
        <w:tc>
          <w:tcPr>
            <w:tcW w:w="1302" w:type="dxa"/>
            <w:vMerge w:val="restart"/>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污染物预测因子</w:t>
            </w:r>
          </w:p>
        </w:tc>
        <w:tc>
          <w:tcPr>
            <w:tcW w:w="5333" w:type="dxa"/>
            <w:gridSpan w:val="5"/>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参数</w:t>
            </w:r>
          </w:p>
        </w:tc>
        <w:tc>
          <w:tcPr>
            <w:tcW w:w="999" w:type="dxa"/>
            <w:vMerge w:val="restart"/>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质量</w:t>
            </w:r>
          </w:p>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3" w:type="dxa"/>
            <w:vMerge w:val="continue"/>
            <w:tcBorders>
              <w:tl2br w:val="nil"/>
              <w:tr2bl w:val="nil"/>
            </w:tcBorders>
            <w:vAlign w:val="center"/>
          </w:tcPr>
          <w:p>
            <w:pPr>
              <w:pStyle w:val="142"/>
              <w:rPr>
                <w:rFonts w:hint="default" w:ascii="Times New Roman" w:hAnsi="Times New Roman" w:eastAsia="宋体" w:cs="Times New Roman"/>
                <w:color w:val="FF0000"/>
                <w:sz w:val="21"/>
                <w:szCs w:val="21"/>
              </w:rPr>
            </w:pPr>
          </w:p>
        </w:tc>
        <w:tc>
          <w:tcPr>
            <w:tcW w:w="1302" w:type="dxa"/>
            <w:vMerge w:val="continue"/>
            <w:tcBorders>
              <w:tl2br w:val="nil"/>
              <w:tr2bl w:val="nil"/>
            </w:tcBorders>
            <w:vAlign w:val="center"/>
          </w:tcPr>
          <w:p>
            <w:pPr>
              <w:pStyle w:val="142"/>
              <w:rPr>
                <w:rFonts w:hint="default" w:ascii="Times New Roman" w:hAnsi="Times New Roman" w:eastAsia="宋体" w:cs="Times New Roman"/>
                <w:color w:val="FF0000"/>
                <w:sz w:val="21"/>
                <w:szCs w:val="21"/>
              </w:rPr>
            </w:pP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I</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ne</w:t>
            </w:r>
          </w:p>
        </w:tc>
        <w:tc>
          <w:tcPr>
            <w:tcW w:w="1153"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bCs/>
                <w:color w:val="FF0000"/>
                <w:sz w:val="21"/>
                <w:szCs w:val="21"/>
              </w:rPr>
              <w:t>𝐷</w:t>
            </w:r>
            <w:r>
              <w:rPr>
                <w:rFonts w:hint="default" w:ascii="Times New Roman" w:hAnsi="Times New Roman" w:eastAsia="宋体" w:cs="Times New Roman"/>
                <w:bCs/>
                <w:color w:val="FF0000"/>
                <w:sz w:val="21"/>
                <w:szCs w:val="21"/>
                <w:vertAlign w:val="subscript"/>
              </w:rPr>
              <w:t>𝐿</w:t>
            </w:r>
          </w:p>
        </w:tc>
        <w:tc>
          <w:tcPr>
            <w:tcW w:w="999" w:type="dxa"/>
            <w:vMerge w:val="continue"/>
            <w:tcBorders>
              <w:tl2br w:val="nil"/>
              <w:tr2bl w:val="nil"/>
            </w:tcBorders>
            <w:vAlign w:val="center"/>
          </w:tcPr>
          <w:p>
            <w:pPr>
              <w:pStyle w:val="142"/>
              <w:rPr>
                <w:rFonts w:hint="default" w:ascii="Times New Roman" w:hAnsi="Times New Roman" w:eastAsia="宋体" w:cs="Times New Roman"/>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3" w:type="dxa"/>
            <w:vMerge w:val="restart"/>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废石场</w:t>
            </w:r>
            <w:r>
              <w:rPr>
                <w:rFonts w:hint="default" w:ascii="Times New Roman" w:hAnsi="Times New Roman" w:eastAsia="宋体" w:cs="Times New Roman"/>
                <w:color w:val="FF0000"/>
                <w:sz w:val="21"/>
                <w:szCs w:val="21"/>
              </w:rPr>
              <w:t>淋滤水下渗</w:t>
            </w:r>
          </w:p>
        </w:tc>
        <w:tc>
          <w:tcPr>
            <w:tcW w:w="1302"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单位</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perscript"/>
              </w:rPr>
              <w:t>2</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m/d</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1153"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perscript"/>
              </w:rPr>
              <w:t>2</w:t>
            </w:r>
            <w:r>
              <w:rPr>
                <w:rFonts w:hint="default" w:ascii="Times New Roman" w:hAnsi="Times New Roman" w:eastAsia="宋体" w:cs="Times New Roman"/>
                <w:color w:val="FF0000"/>
                <w:sz w:val="21"/>
                <w:szCs w:val="21"/>
              </w:rPr>
              <w:t>/d</w:t>
            </w:r>
          </w:p>
        </w:tc>
        <w:tc>
          <w:tcPr>
            <w:tcW w:w="999"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3" w:type="dxa"/>
            <w:vMerge w:val="continue"/>
            <w:tcBorders>
              <w:tl2br w:val="nil"/>
              <w:tr2bl w:val="nil"/>
            </w:tcBorders>
            <w:vAlign w:val="center"/>
          </w:tcPr>
          <w:p>
            <w:pPr>
              <w:pStyle w:val="142"/>
              <w:rPr>
                <w:rFonts w:hint="default" w:ascii="Times New Roman" w:hAnsi="Times New Roman" w:eastAsia="宋体" w:cs="Times New Roman"/>
                <w:color w:val="FF0000"/>
                <w:sz w:val="21"/>
                <w:szCs w:val="21"/>
              </w:rPr>
            </w:pPr>
          </w:p>
        </w:tc>
        <w:tc>
          <w:tcPr>
            <w:tcW w:w="1302" w:type="dxa"/>
            <w:tcBorders>
              <w:tl2br w:val="nil"/>
              <w:tr2bl w:val="nil"/>
            </w:tcBorders>
            <w:vAlign w:val="center"/>
          </w:tcPr>
          <w:p>
            <w:pPr>
              <w:pStyle w:val="142"/>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钡</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4200</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0.0011</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0.1</w:t>
            </w:r>
            <w:r>
              <w:rPr>
                <w:rFonts w:hint="default" w:ascii="Times New Roman" w:hAnsi="Times New Roman" w:eastAsia="宋体" w:cs="Times New Roman"/>
                <w:color w:val="FF0000"/>
                <w:sz w:val="21"/>
                <w:szCs w:val="21"/>
                <w:lang w:val="en-US" w:eastAsia="zh-CN"/>
              </w:rPr>
              <w:t>8</w:t>
            </w:r>
          </w:p>
        </w:tc>
        <w:tc>
          <w:tcPr>
            <w:tcW w:w="1045" w:type="dxa"/>
            <w:tcBorders>
              <w:tl2br w:val="nil"/>
              <w:tr2bl w:val="nil"/>
            </w:tcBorders>
            <w:vAlign w:val="center"/>
          </w:tcPr>
          <w:p>
            <w:pPr>
              <w:pStyle w:val="142"/>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rPr>
              <w:t>0.</w:t>
            </w:r>
            <w:r>
              <w:rPr>
                <w:rFonts w:hint="default" w:ascii="Times New Roman" w:hAnsi="Times New Roman" w:eastAsia="宋体" w:cs="Times New Roman"/>
                <w:color w:val="FF0000"/>
                <w:sz w:val="21"/>
                <w:szCs w:val="21"/>
                <w:lang w:val="en-US" w:eastAsia="zh-CN"/>
              </w:rPr>
              <w:t>1</w:t>
            </w:r>
          </w:p>
        </w:tc>
        <w:tc>
          <w:tcPr>
            <w:tcW w:w="1153" w:type="dxa"/>
            <w:tcBorders>
              <w:tl2br w:val="nil"/>
              <w:tr2bl w:val="nil"/>
            </w:tcBorders>
            <w:vAlign w:val="center"/>
          </w:tcPr>
          <w:p>
            <w:pPr>
              <w:pStyle w:val="142"/>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2.5</w:t>
            </w:r>
          </w:p>
        </w:tc>
        <w:tc>
          <w:tcPr>
            <w:tcW w:w="999" w:type="dxa"/>
            <w:tcBorders>
              <w:tl2br w:val="nil"/>
              <w:tr2bl w:val="nil"/>
            </w:tcBorders>
            <w:vAlign w:val="center"/>
          </w:tcPr>
          <w:p>
            <w:pPr>
              <w:pStyle w:val="142"/>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FF0000"/>
          <w:sz w:val="24"/>
          <w:szCs w:val="24"/>
        </w:rPr>
      </w:pPr>
      <w:r>
        <w:rPr>
          <w:rFonts w:hint="default" w:ascii="Times New Roman" w:hAnsi="Times New Roman" w:eastAsia="宋体" w:cs="Times New Roman"/>
          <w:b w:val="0"/>
          <w:bCs/>
          <w:color w:val="FF0000"/>
          <w:sz w:val="24"/>
          <w:szCs w:val="24"/>
        </w:rPr>
        <w:t>（</w:t>
      </w:r>
      <w:r>
        <w:rPr>
          <w:rFonts w:hint="default" w:ascii="Times New Roman" w:hAnsi="Times New Roman" w:eastAsia="宋体" w:cs="Times New Roman"/>
          <w:b w:val="0"/>
          <w:bCs/>
          <w:color w:val="FF0000"/>
          <w:sz w:val="24"/>
          <w:szCs w:val="24"/>
          <w:lang w:val="en-US" w:eastAsia="zh-CN"/>
        </w:rPr>
        <w:t>7</w:t>
      </w:r>
      <w:r>
        <w:rPr>
          <w:rFonts w:hint="default" w:ascii="Times New Roman" w:hAnsi="Times New Roman" w:eastAsia="宋体" w:cs="Times New Roman"/>
          <w:b w:val="0"/>
          <w:bCs/>
          <w:color w:val="FF0000"/>
          <w:sz w:val="24"/>
          <w:szCs w:val="24"/>
        </w:rPr>
        <w:t>）预测结果与分析</w:t>
      </w:r>
    </w:p>
    <w:p>
      <w:pPr>
        <w:pStyle w:val="138"/>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表</w:t>
      </w:r>
      <w:r>
        <w:rPr>
          <w:rFonts w:hint="eastAsia" w:ascii="Times New Roman" w:hAnsi="Times New Roman" w:cs="Times New Roman"/>
          <w:color w:val="FF0000"/>
          <w:sz w:val="21"/>
          <w:szCs w:val="21"/>
          <w:lang w:val="en-US" w:eastAsia="zh-CN"/>
        </w:rPr>
        <w:t>5.2-18</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rPr>
        <w:t>污染物钡浓度迁移预测结果</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2210"/>
        <w:gridCol w:w="3401"/>
        <w:gridCol w:w="33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vMerge w:val="restart"/>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距离</w:t>
            </w:r>
            <w:r>
              <w:rPr>
                <w:rFonts w:hint="default" w:ascii="Times New Roman" w:hAnsi="Times New Roman" w:eastAsia="宋体" w:cs="Times New Roman"/>
                <w:color w:val="FF0000"/>
                <w:sz w:val="21"/>
                <w:szCs w:val="21"/>
                <w:lang w:eastAsia="en-US" w:bidi="en-US"/>
              </w:rPr>
              <w:t>（m）</w:t>
            </w:r>
          </w:p>
        </w:tc>
        <w:tc>
          <w:tcPr>
            <w:tcW w:w="6747" w:type="dxa"/>
            <w:gridSpan w:val="2"/>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钡浓度</w:t>
            </w:r>
            <w:r>
              <w:rPr>
                <w:rFonts w:hint="default" w:ascii="Times New Roman" w:hAnsi="Times New Roman" w:eastAsia="宋体" w:cs="Times New Roman"/>
                <w:color w:val="FF0000"/>
                <w:sz w:val="21"/>
                <w:szCs w:val="21"/>
                <w:lang w:eastAsia="en-US" w:bidi="en-US"/>
              </w:rPr>
              <w:t>C(mg/L)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vMerge w:val="continue"/>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eastAsia="en-US" w:bidi="en-US"/>
              </w:rPr>
              <w:t>100d</w:t>
            </w:r>
          </w:p>
        </w:tc>
        <w:tc>
          <w:tcPr>
            <w:tcW w:w="3346"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eastAsia="en-US" w:bidi="en-US"/>
              </w:rPr>
              <w:t>1000d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c>
          <w:tcPr>
            <w:tcW w:w="3401" w:type="dxa"/>
            <w:tcBorders>
              <w:tl2br w:val="nil"/>
              <w:tr2bl w:val="nil"/>
            </w:tcBorders>
            <w:vAlign w:val="center"/>
          </w:tcPr>
          <w:p>
            <w:pPr>
              <w:widowControl/>
              <w:adjustRightInd w:val="0"/>
              <w:snapToGrid w:val="0"/>
              <w:spacing w:line="240" w:lineRule="atLeast"/>
              <w:ind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3.87E-03</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1.22E-03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3.51E-03</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1.21E-03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2.60E-03</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1.18E-03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1.58E-03</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1.12E-03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7.88E-04</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1.05E-03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3.21E-04</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9.63E-04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1.07E-04</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8.65E-04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2.93E-05</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7.61E-04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6.54E-06</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6.56E-04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1.20E-06</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5.55E-04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1.80E-07</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4.60E-04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110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2.20E-08</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3.74E-04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2.21E-09</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2.98E-04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130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1.82E-10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2.32E-04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140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1.23E-11</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1.78E-04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6.77E-13</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1.33E-04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160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3.06E-14</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9.80E-05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170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1.13E-15</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7.06E-05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3.42E-17</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4.99E-05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widowControl/>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190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8.48E-19</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3.45E-05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200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1.72E-20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2.34E-05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2.86E-22</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1.56E-05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220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3.88E-24</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1.02E-05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230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4.33E-26</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6.50E-06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240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3.94E-28</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4.07E-06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250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2.94E-30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2.50E-06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260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1.80E-32</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1.50E-06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270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9.00E-35</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8.87E-07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280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3.69E-37</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5.13E-07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290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1.24E-39</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2.91E-07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300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3.39E-42</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1.62E-07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310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7.01E-45</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8.80E-08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320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4.70E-08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330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2.46E-08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340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1.26E-08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350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6.34E-09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360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3.12E-09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370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1.51E-09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380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7.14E-10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390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3.32E-10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400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1.51E-10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410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6.72E-11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420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2.94E-11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430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1.26E-11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9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440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5.29E-12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450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2.18E-12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460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8.78E-13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470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3.47E-13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480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1.35E-13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490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5.11E-14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2210"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500</w:t>
            </w:r>
          </w:p>
        </w:tc>
        <w:tc>
          <w:tcPr>
            <w:tcW w:w="3401" w:type="dxa"/>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0.00E+00</w:t>
            </w:r>
          </w:p>
        </w:tc>
        <w:tc>
          <w:tcPr>
            <w:tcW w:w="3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1.90E-14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cs="Times New Roman"/>
          <w:color w:val="FF0000"/>
        </w:rPr>
      </w:pPr>
      <w:r>
        <w:rPr>
          <w:rFonts w:hint="default" w:ascii="Times New Roman" w:hAnsi="Times New Roman" w:eastAsia="宋体" w:cs="Times New Roman"/>
          <w:color w:val="FF0000"/>
          <w:sz w:val="24"/>
          <w:szCs w:val="24"/>
        </w:rPr>
        <w:t>根据预测，100天时，预测的最大值为0.003865602mg/l，预测结果均未超标；影响距离最远为54m；1000天时，预测的最大值为0.001222411mg/l，预测结果均未超标；影响距离最远为135m。由此可见，废石堆场渗入地下水中的钡浓度最大迁移距离随时间逐步扩大，且浓度逐渐降低，均未超过《地下水质量标准》（GB/T14848-2017）Ⅲ类标准。</w:t>
      </w:r>
    </w:p>
    <w:p>
      <w:pPr>
        <w:adjustRightInd w:val="0"/>
        <w:spacing w:line="360" w:lineRule="auto"/>
        <w:ind w:firstLine="480" w:firstLineChars="200"/>
        <w:textAlignment w:val="baseline"/>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根据预测结果可知，在建设项目各个不同阶段，均能满足</w:t>
      </w:r>
      <w:r>
        <w:rPr>
          <w:rFonts w:hint="eastAsia" w:ascii="Times New Roman" w:hAnsi="Times New Roman" w:eastAsia="宋体" w:cs="Times New Roman"/>
          <w:color w:val="FF0000"/>
          <w:sz w:val="24"/>
          <w:szCs w:val="24"/>
          <w:lang w:eastAsia="zh-CN"/>
        </w:rPr>
        <w:t>《地下水质量标准》（</w:t>
      </w:r>
      <w:r>
        <w:rPr>
          <w:rFonts w:hint="default" w:ascii="Times New Roman" w:hAnsi="Times New Roman" w:eastAsia="宋体" w:cs="Times New Roman"/>
          <w:color w:val="FF0000"/>
          <w:sz w:val="24"/>
          <w:szCs w:val="24"/>
        </w:rPr>
        <w:t>GB/T 14848</w:t>
      </w:r>
      <w:r>
        <w:rPr>
          <w:rFonts w:hint="eastAsia" w:ascii="Times New Roman" w:hAnsi="Times New Roman" w:eastAsia="宋体" w:cs="Times New Roman"/>
          <w:color w:val="FF0000"/>
          <w:sz w:val="24"/>
          <w:szCs w:val="24"/>
          <w:lang w:val="en-US" w:eastAsia="zh-CN"/>
        </w:rPr>
        <w:t>-2017</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要求。</w:t>
      </w:r>
      <w:r>
        <w:rPr>
          <w:rFonts w:hint="eastAsia" w:ascii="Times New Roman" w:hAnsi="Times New Roman" w:eastAsia="宋体" w:cs="Times New Roman"/>
          <w:color w:val="FF0000"/>
          <w:sz w:val="24"/>
          <w:szCs w:val="24"/>
          <w:lang w:eastAsia="zh-CN"/>
        </w:rPr>
        <w:t>为进一步减少废石场淋滤废水对地下水的影响，拟采取的措施有：</w:t>
      </w:r>
    </w:p>
    <w:p>
      <w:pPr>
        <w:numPr>
          <w:ilvl w:val="0"/>
          <w:numId w:val="19"/>
        </w:numPr>
        <w:adjustRightInd w:val="0"/>
        <w:spacing w:line="360" w:lineRule="auto"/>
        <w:ind w:firstLine="480" w:firstLineChars="200"/>
        <w:textAlignment w:val="baseline"/>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为减少废石场淋滤废水产生，环评要求在废石场周边设置截排水沟，减少进入废石场的雨水量；</w:t>
      </w:r>
    </w:p>
    <w:p>
      <w:pPr>
        <w:numPr>
          <w:ilvl w:val="0"/>
          <w:numId w:val="19"/>
        </w:numPr>
        <w:adjustRightInd w:val="0"/>
        <w:spacing w:line="360" w:lineRule="auto"/>
        <w:ind w:firstLine="480" w:firstLineChars="200"/>
        <w:textAlignment w:val="baseline"/>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eastAsia="zh-CN"/>
        </w:rPr>
        <w:t>根据本项目的矿山地质环境保护与土地复垦方案，应提前对废石场进行生态恢复治理，</w:t>
      </w:r>
      <w:r>
        <w:rPr>
          <w:rFonts w:hint="eastAsia" w:ascii="Times New Roman" w:hAnsi="Times New Roman" w:eastAsia="宋体" w:cs="Times New Roman"/>
          <w:color w:val="FF0000"/>
          <w:sz w:val="24"/>
          <w:szCs w:val="24"/>
          <w:lang w:val="en-US" w:eastAsia="zh-CN"/>
        </w:rPr>
        <w:t>采用灌草结合的方式对废石场的植被进行恢复，最终的复垦方向为有林地。表土来源为附近的村庄和筹建的工地，在复垦前，将表土收集运至项目地用于废石场恢复。恢复的树种选择当地适种树种，乔木选择刺槐、侧柏，灌木选择紫穗槐。由于本项目废石场均为坡地，草本建议选用紫花苜蓿草，其固土能力强，枝繁叶茂、地面覆盖度大，保土作用大，可作为水土保持植物在山坡地栽培，可护土并增进土壤微生物繁殖，促进林木生长。</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baseline"/>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另外，为减少废水、固废、废气等对对下水的影响，拟采取的措施有：</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firstLine="480" w:firstLineChars="200"/>
        <w:textAlignment w:val="baseline"/>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本项目的危险废物为废机油，从产生到外运处置，全过程由专人负责监管，废机油全部收集至本项目的危险废物暂存间，危险废物暂存间地面防渗，杜绝废机油进入土壤和地下水的途径；生活垃圾分类于垃圾桶，定期交由环卫部门，禁止随意丢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（2）生产废水的沉淀池按照防渗要求进行防渗，由于沉淀池位于地下，属于隐蔽工程，应防止其渗漏对地下水产生影响，本项目要求建设单位定期对沉淀池进行检查，有渗漏现象及时修补。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（3）通过采取湿式凿岩、洒水、喷淋等措施，本项目运营期废气排放量较少，运营期应确保废气治理措施有效运行，减少废气对土壤和地下水的影响。</w:t>
      </w:r>
    </w:p>
    <w:p>
      <w:pPr>
        <w:adjustRightInd w:val="0"/>
        <w:spacing w:line="360" w:lineRule="auto"/>
        <w:ind w:firstLine="480" w:firstLineChars="200"/>
        <w:textAlignment w:val="baseline"/>
        <w:rPr>
          <w:rFonts w:hint="eastAsia" w:ascii="Times New Roman" w:hAnsi="Times New Roman" w:eastAsiaTheme="minorEastAsia"/>
          <w:color w:val="FF0000"/>
          <w:sz w:val="24"/>
          <w:lang w:eastAsia="zh-CN"/>
        </w:rPr>
      </w:pPr>
      <w:r>
        <w:rPr>
          <w:rFonts w:hint="eastAsia" w:ascii="Times New Roman" w:hAnsi="Times New Roman"/>
          <w:color w:val="FF0000"/>
          <w:sz w:val="24"/>
          <w:lang w:eastAsia="zh-CN"/>
        </w:rPr>
        <w:t>（</w:t>
      </w:r>
      <w:r>
        <w:rPr>
          <w:rFonts w:hint="eastAsia" w:ascii="Times New Roman" w:hAnsi="Times New Roman"/>
          <w:color w:val="FF0000"/>
          <w:sz w:val="24"/>
          <w:lang w:val="en-US" w:eastAsia="zh-CN"/>
        </w:rPr>
        <w:t>4</w:t>
      </w:r>
      <w:r>
        <w:rPr>
          <w:rFonts w:hint="eastAsia" w:ascii="Times New Roman" w:hAnsi="Times New Roman"/>
          <w:color w:val="FF0000"/>
          <w:sz w:val="24"/>
          <w:lang w:eastAsia="zh-CN"/>
        </w:rPr>
        <w:t>）对场区的重点区域如危险废物暂存间、机修房、生产废水沉淀池等进行重点防渗。</w:t>
      </w:r>
    </w:p>
    <w:p>
      <w:pPr>
        <w:adjustRightInd w:val="0"/>
        <w:spacing w:line="360" w:lineRule="auto"/>
        <w:ind w:firstLine="480" w:firstLineChars="200"/>
        <w:textAlignment w:val="baseline"/>
        <w:rPr>
          <w:rFonts w:hint="default" w:ascii="Times New Roman" w:hAnsi="Times New Roman" w:eastAsia="宋体" w:cs="Times New Roman"/>
          <w:snapToGrid w:val="0"/>
          <w:color w:val="FF0000"/>
          <w:sz w:val="24"/>
          <w:szCs w:val="24"/>
        </w:rPr>
      </w:pPr>
      <w:r>
        <w:rPr>
          <w:rFonts w:ascii="Times New Roman" w:hAnsi="Times New Roman"/>
          <w:color w:val="FF0000"/>
          <w:sz w:val="24"/>
        </w:rPr>
        <w:t>综上分析，本项目场区不属于热水、矿泉水、温泉等特殊地下水源保护区、也不属于补给径流区，地下水环境不敏感，在落实好防渗、防污措施后，本项目污染物能得到有效处理，对地下水水质影响较小，因此，本项目的运营不会对项目所在区域地下水产生明显影响。</w:t>
      </w:r>
    </w:p>
    <w:p>
      <w:pPr>
        <w:pStyle w:val="5"/>
        <w:rPr>
          <w:rFonts w:hint="default"/>
          <w:color w:val="000000" w:themeColor="text1"/>
          <w:lang w:val="en-US" w:eastAsia="zh-CN"/>
        </w:rPr>
      </w:pPr>
      <w:bookmarkStart w:id="789" w:name="_Toc16512"/>
      <w:bookmarkStart w:id="790" w:name="_Toc12201"/>
      <w:r>
        <w:rPr>
          <w:rFonts w:hint="default"/>
          <w:color w:val="000000" w:themeColor="text1"/>
          <w:lang w:val="en-US" w:eastAsia="zh-CN"/>
        </w:rPr>
        <w:t>固体废物影响分析</w:t>
      </w:r>
      <w:bookmarkEnd w:id="789"/>
      <w:bookmarkEnd w:id="79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矿山开采产生的固体废物主要是采矿废石、废机油、生活垃圾。</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采矿废石影响分析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本项目K1和K2矿体废石总量为</w:t>
      </w:r>
      <w:r>
        <w:rPr>
          <w:rFonts w:hint="default" w:ascii="Times New Roman" w:hAnsi="Times New Roman" w:eastAsia="宋体" w:cs="Times New Roman"/>
          <w:b w:val="0"/>
          <w:color w:val="FF0000"/>
          <w:sz w:val="24"/>
          <w:szCs w:val="24"/>
        </w:rPr>
        <w:t>1.4万m</w:t>
      </w:r>
      <w:r>
        <w:rPr>
          <w:rFonts w:hint="default" w:ascii="Times New Roman" w:hAnsi="Times New Roman" w:eastAsia="宋体" w:cs="Times New Roman"/>
          <w:b w:val="0"/>
          <w:color w:val="FF0000"/>
          <w:sz w:val="24"/>
          <w:szCs w:val="24"/>
          <w:vertAlign w:val="superscript"/>
        </w:rPr>
        <w:t>3</w:t>
      </w:r>
      <w:r>
        <w:rPr>
          <w:rFonts w:hint="eastAsia" w:ascii="Times New Roman" w:hAnsi="Times New Roman" w:eastAsia="宋体" w:cs="Times New Roman"/>
          <w:b w:val="0"/>
          <w:color w:val="FF0000"/>
          <w:sz w:val="24"/>
          <w:szCs w:val="24"/>
          <w:vertAlign w:val="baseline"/>
          <w:lang w:eastAsia="zh-CN"/>
        </w:rPr>
        <w:t>，</w:t>
      </w:r>
      <w:r>
        <w:rPr>
          <w:rFonts w:hint="eastAsia" w:ascii="Times New Roman" w:hAnsi="Times New Roman" w:eastAsia="宋体" w:cs="Times New Roman"/>
          <w:b w:val="0"/>
          <w:color w:val="FF0000"/>
          <w:sz w:val="24"/>
          <w:szCs w:val="24"/>
          <w:vertAlign w:val="baseline"/>
          <w:lang w:val="en-US" w:eastAsia="zh-CN"/>
        </w:rPr>
        <w:t>除现有废石场废石量与矿区基建和修路废石量，剩余未开挖的废石量约为1.1</w:t>
      </w:r>
      <w:r>
        <w:rPr>
          <w:rFonts w:hint="default" w:ascii="Times New Roman" w:hAnsi="Times New Roman" w:eastAsia="宋体" w:cs="Times New Roman"/>
          <w:b w:val="0"/>
          <w:color w:val="FF0000"/>
          <w:sz w:val="24"/>
          <w:szCs w:val="24"/>
        </w:rPr>
        <w:t>万m</w:t>
      </w:r>
      <w:r>
        <w:rPr>
          <w:rFonts w:hint="default" w:ascii="Times New Roman" w:hAnsi="Times New Roman" w:eastAsia="宋体" w:cs="Times New Roman"/>
          <w:b w:val="0"/>
          <w:color w:val="FF0000"/>
          <w:sz w:val="24"/>
          <w:szCs w:val="24"/>
          <w:vertAlign w:val="superscript"/>
        </w:rPr>
        <w:t>3</w:t>
      </w:r>
      <w:r>
        <w:rPr>
          <w:rFonts w:hint="eastAsia" w:ascii="Times New Roman" w:hAnsi="Times New Roman" w:eastAsia="宋体" w:cs="Times New Roman"/>
          <w:b w:val="0"/>
          <w:color w:val="FF0000"/>
          <w:sz w:val="24"/>
          <w:szCs w:val="24"/>
          <w:vertAlign w:val="baseline"/>
          <w:lang w:eastAsia="zh-CN"/>
        </w:rPr>
        <w:t>。</w:t>
      </w:r>
      <w:r>
        <w:rPr>
          <w:rFonts w:hint="eastAsia" w:ascii="Times New Roman" w:hAnsi="Times New Roman" w:eastAsia="宋体" w:cs="Times New Roman"/>
          <w:color w:val="FF0000"/>
          <w:sz w:val="24"/>
          <w:szCs w:val="24"/>
          <w:lang w:val="en-US" w:eastAsia="zh-CN"/>
        </w:rPr>
        <w:t>为减少废石场占地、风险等生态影响，本次环评要求建设单位后期开采的废石除矿区基建和矿区修路外，其余废石全部回填井下，用于采空区的填充，扩建工程将不再新建废石场。</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vertAlign w:val="baseline"/>
          <w:lang w:val="en-US" w:eastAsia="zh-CN"/>
        </w:rPr>
      </w:pPr>
      <w:r>
        <w:rPr>
          <w:rFonts w:hint="eastAsia" w:ascii="Times New Roman" w:hAnsi="Times New Roman" w:eastAsia="宋体" w:cs="Times New Roman"/>
          <w:color w:val="FF0000"/>
          <w:sz w:val="24"/>
          <w:szCs w:val="24"/>
          <w:lang w:val="en-US" w:eastAsia="zh-CN"/>
        </w:rPr>
        <w:t>本项目K1废石总量0.8万m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val="en-US" w:eastAsia="zh-CN"/>
        </w:rPr>
        <w:t>，施工期用于基建0.1万m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val="en-US" w:eastAsia="zh-CN"/>
        </w:rPr>
        <w:t>，剩余0.2万m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val="en-US" w:eastAsia="zh-CN"/>
        </w:rPr>
        <w:t>堆放于现有的三个废石场，矿体剩余废石量约为0.5万m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w:t>
      </w:r>
      <w:r>
        <w:rPr>
          <w:rFonts w:hint="eastAsia" w:ascii="Times New Roman" w:hAnsi="Times New Roman" w:eastAsia="宋体" w:cs="Times New Roman"/>
          <w:color w:val="FF0000"/>
          <w:sz w:val="24"/>
          <w:szCs w:val="24"/>
          <w:lang w:val="en-US" w:eastAsia="zh-CN"/>
        </w:rPr>
        <w:t>开采过程中产生的废石首先用于填充PD710探矿平硐，根据建设单位介绍，PD710的探矿平硐深280m，宽2.2m，高2.3m，可容纳废矿石量约0.14万m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。K1矿体剩余的0.36万</w:t>
      </w:r>
      <w:r>
        <w:rPr>
          <w:rFonts w:hint="eastAsia" w:ascii="Times New Roman" w:hAnsi="Times New Roman" w:eastAsia="宋体" w:cs="Times New Roman"/>
          <w:color w:val="FF0000"/>
          <w:sz w:val="24"/>
          <w:szCs w:val="24"/>
          <w:lang w:val="en-US" w:eastAsia="zh-CN"/>
        </w:rPr>
        <w:t>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废石</w:t>
      </w:r>
      <w:r>
        <w:rPr>
          <w:rFonts w:hint="eastAsia" w:ascii="Times New Roman" w:hAnsi="Times New Roman" w:eastAsia="宋体" w:cs="Times New Roman"/>
          <w:color w:val="FF0000"/>
          <w:sz w:val="24"/>
          <w:szCs w:val="24"/>
          <w:lang w:val="en-US" w:eastAsia="zh-CN"/>
        </w:rPr>
        <w:t>在PD810、PD760、PD660硐口</w:t>
      </w:r>
      <w:r>
        <w:rPr>
          <w:rFonts w:hint="eastAsia" w:ascii="Times New Roman" w:hAnsi="Times New Roman" w:eastAsia="宋体" w:cs="Times New Roman"/>
          <w:color w:val="FF0000"/>
          <w:sz w:val="24"/>
          <w:szCs w:val="24"/>
          <w:vertAlign w:val="baseline"/>
          <w:lang w:val="en-US" w:eastAsia="zh-CN"/>
        </w:rPr>
        <w:t>的矿石堆棚临时堆放，待开采结束后用于井下填充。K2矿体废石总量0.6万</w:t>
      </w:r>
      <w:r>
        <w:rPr>
          <w:rFonts w:hint="eastAsia" w:ascii="Times New Roman" w:hAnsi="Times New Roman" w:eastAsia="宋体" w:cs="Times New Roman"/>
          <w:color w:val="FF0000"/>
          <w:sz w:val="24"/>
          <w:szCs w:val="24"/>
          <w:lang w:val="en-US" w:eastAsia="zh-CN"/>
        </w:rPr>
        <w:t>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，除0.1万</w:t>
      </w:r>
      <w:r>
        <w:rPr>
          <w:rFonts w:hint="eastAsia" w:ascii="Times New Roman" w:hAnsi="Times New Roman" w:eastAsia="宋体" w:cs="Times New Roman"/>
          <w:color w:val="FF0000"/>
          <w:sz w:val="24"/>
          <w:szCs w:val="24"/>
          <w:lang w:val="en-US" w:eastAsia="zh-CN"/>
        </w:rPr>
        <w:t>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用于基建外，剩余的0.5万</w:t>
      </w:r>
      <w:r>
        <w:rPr>
          <w:rFonts w:hint="eastAsia" w:ascii="Times New Roman" w:hAnsi="Times New Roman" w:eastAsia="宋体" w:cs="Times New Roman"/>
          <w:color w:val="FF0000"/>
          <w:sz w:val="24"/>
          <w:szCs w:val="24"/>
          <w:lang w:val="en-US" w:eastAsia="zh-CN"/>
        </w:rPr>
        <w:t>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vertAlign w:val="baseline"/>
          <w:lang w:val="en-US" w:eastAsia="zh-CN"/>
        </w:rPr>
        <w:t>废石</w:t>
      </w:r>
      <w:r>
        <w:rPr>
          <w:rFonts w:hint="eastAsia" w:ascii="Times New Roman" w:hAnsi="Times New Roman" w:eastAsia="宋体" w:cs="Times New Roman"/>
          <w:color w:val="FF0000"/>
          <w:sz w:val="24"/>
          <w:szCs w:val="24"/>
          <w:lang w:val="en-US" w:eastAsia="zh-CN"/>
        </w:rPr>
        <w:t>在PD790、PD750、PD710硐口</w:t>
      </w:r>
      <w:r>
        <w:rPr>
          <w:rFonts w:hint="eastAsia" w:ascii="Times New Roman" w:hAnsi="Times New Roman" w:eastAsia="宋体" w:cs="Times New Roman"/>
          <w:color w:val="FF0000"/>
          <w:sz w:val="24"/>
          <w:szCs w:val="24"/>
          <w:vertAlign w:val="baseline"/>
          <w:lang w:val="en-US" w:eastAsia="zh-CN"/>
        </w:rPr>
        <w:t>的矿石堆棚临时堆放，待开采结束后用于井下填充。环评要求施工阶段提前对所有硐口的堆棚提前建设，环评建议堆棚的长、宽、高分别为</w:t>
      </w:r>
      <w:r>
        <w:rPr>
          <w:rFonts w:hint="default" w:ascii="Times New Roman" w:hAnsi="Times New Roman" w:eastAsia="宋体" w:cs="Times New Roman"/>
          <w:color w:val="FF0000"/>
          <w:sz w:val="24"/>
          <w:szCs w:val="24"/>
          <w:vertAlign w:val="baseline"/>
          <w:lang w:val="en-US" w:eastAsia="zh-CN"/>
        </w:rPr>
        <w:t>10m×10m×</w:t>
      </w:r>
      <w:r>
        <w:rPr>
          <w:rFonts w:hint="eastAsia" w:ascii="Times New Roman" w:hAnsi="Times New Roman" w:eastAsia="宋体" w:cs="Times New Roman"/>
          <w:color w:val="FF0000"/>
          <w:sz w:val="24"/>
          <w:szCs w:val="24"/>
          <w:vertAlign w:val="baseline"/>
          <w:lang w:val="en-US" w:eastAsia="zh-CN"/>
        </w:rPr>
        <w:t>10</w:t>
      </w:r>
      <w:r>
        <w:rPr>
          <w:rFonts w:hint="default" w:ascii="Times New Roman" w:hAnsi="Times New Roman" w:eastAsia="宋体" w:cs="Times New Roman"/>
          <w:color w:val="FF0000"/>
          <w:sz w:val="24"/>
          <w:szCs w:val="24"/>
          <w:vertAlign w:val="baseline"/>
          <w:lang w:val="en-US" w:eastAsia="zh-CN"/>
        </w:rPr>
        <w:t>m</w:t>
      </w:r>
      <w:r>
        <w:rPr>
          <w:rFonts w:hint="eastAsia" w:ascii="Times New Roman" w:hAnsi="Times New Roman" w:eastAsia="宋体" w:cs="Times New Roman"/>
          <w:color w:val="FF0000"/>
          <w:sz w:val="24"/>
          <w:szCs w:val="24"/>
          <w:vertAlign w:val="baseline"/>
          <w:lang w:val="en-US" w:eastAsia="zh-CN"/>
        </w:rPr>
        <w:t>，可根据地形条件，施工条件，工程具体情况等因素对堆棚的体积进行适当调整。本项目的开采顺序为自上而下依次开采，正在开采的废石可临时堆放于另外两个堆场，以此类推，至项目开采结束，所有的废石全部充填采空区。</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根据建设单位提供资料以及现场勘查可知，现有工程</w:t>
      </w:r>
      <w:r>
        <w:rPr>
          <w:rFonts w:hint="default" w:ascii="Times New Roman" w:hAnsi="Times New Roman" w:eastAsia="宋体" w:cs="Times New Roman"/>
          <w:color w:val="FF0000"/>
          <w:sz w:val="24"/>
          <w:szCs w:val="24"/>
        </w:rPr>
        <w:t>K1毒重石矿</w:t>
      </w:r>
      <w:r>
        <w:rPr>
          <w:rFonts w:hint="eastAsia" w:ascii="Times New Roman" w:hAnsi="Times New Roman" w:eastAsia="宋体" w:cs="Times New Roman"/>
          <w:color w:val="FF0000"/>
          <w:sz w:val="24"/>
          <w:szCs w:val="24"/>
          <w:lang w:val="en-US" w:eastAsia="zh-CN"/>
        </w:rPr>
        <w:t>掘进废石一部分用于修路和矿区基建，另一部分在开采过程中直接堆放于硐口下方的废石场，共有三个废石场，</w:t>
      </w:r>
      <w:r>
        <w:rPr>
          <w:rFonts w:hint="default" w:ascii="Times New Roman" w:hAnsi="Times New Roman" w:eastAsia="宋体" w:cs="Times New Roman"/>
          <w:b w:val="0"/>
          <w:bCs w:val="0"/>
          <w:color w:val="FF0000"/>
          <w:sz w:val="24"/>
          <w:szCs w:val="24"/>
          <w:lang w:eastAsia="zh-CN"/>
        </w:rPr>
        <w:t>现有废石场分布在</w:t>
      </w:r>
      <w:r>
        <w:rPr>
          <w:rFonts w:hint="default" w:ascii="Times New Roman" w:hAnsi="Times New Roman" w:eastAsia="宋体" w:cs="Times New Roman"/>
          <w:color w:val="FF0000"/>
          <w:sz w:val="24"/>
          <w:szCs w:val="24"/>
          <w:lang w:val="en-US" w:eastAsia="zh-CN"/>
        </w:rPr>
        <w:t>PD810</w:t>
      </w:r>
      <w:r>
        <w:rPr>
          <w:rFonts w:hint="eastAsia" w:ascii="Times New Roman" w:hAnsi="Times New Roman" w:eastAsia="宋体" w:cs="Times New Roman"/>
          <w:color w:val="FF0000"/>
          <w:sz w:val="24"/>
          <w:szCs w:val="24"/>
          <w:lang w:val="en-US" w:eastAsia="zh-CN"/>
        </w:rPr>
        <w:t>硐口下方，坐</w:t>
      </w:r>
      <w:r>
        <w:rPr>
          <w:rFonts w:hint="default" w:ascii="Times New Roman" w:hAnsi="Times New Roman" w:eastAsia="宋体" w:cs="Times New Roman"/>
          <w:color w:val="FF0000"/>
          <w:sz w:val="24"/>
          <w:szCs w:val="24"/>
          <w:lang w:val="en-US" w:eastAsia="zh-CN"/>
        </w:rPr>
        <w:t>标为109°33′19.889″</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32°37′7.466″，占地面积约1100m</w:t>
      </w:r>
      <w:r>
        <w:rPr>
          <w:rFonts w:hint="default" w:ascii="Times New Roman" w:hAnsi="Times New Roman" w:eastAsia="宋体" w:cs="Times New Roman"/>
          <w:color w:val="FF0000"/>
          <w:sz w:val="24"/>
          <w:szCs w:val="24"/>
          <w:vertAlign w:val="superscript"/>
          <w:lang w:val="en-US" w:eastAsia="zh-CN"/>
        </w:rPr>
        <w:t>2</w:t>
      </w:r>
      <w:r>
        <w:rPr>
          <w:rFonts w:hint="eastAsia" w:ascii="Times New Roman" w:hAnsi="Times New Roman" w:eastAsia="宋体" w:cs="Times New Roman"/>
          <w:color w:val="FF0000"/>
          <w:sz w:val="24"/>
          <w:szCs w:val="24"/>
          <w:vertAlign w:val="baseline"/>
          <w:lang w:val="en-US" w:eastAsia="zh-CN"/>
        </w:rPr>
        <w:t>，堆放的废石量约为250m</w:t>
      </w:r>
      <w:r>
        <w:rPr>
          <w:rFonts w:hint="eastAsia"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；PD760硐口下方，坐标为109°33′20.429″</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32°37′4.859″，占地面积约2000m</w:t>
      </w:r>
      <w:r>
        <w:rPr>
          <w:rFonts w:hint="default" w:ascii="Times New Roman" w:hAnsi="Times New Roman" w:eastAsia="宋体" w:cs="Times New Roman"/>
          <w:color w:val="FF0000"/>
          <w:sz w:val="24"/>
          <w:szCs w:val="24"/>
          <w:vertAlign w:val="superscript"/>
          <w:lang w:val="en-US" w:eastAsia="zh-CN"/>
        </w:rPr>
        <w:t>2</w:t>
      </w:r>
      <w:r>
        <w:rPr>
          <w:rFonts w:hint="eastAsia" w:ascii="Times New Roman" w:hAnsi="Times New Roman" w:eastAsia="宋体" w:cs="Times New Roman"/>
          <w:color w:val="FF0000"/>
          <w:sz w:val="24"/>
          <w:szCs w:val="24"/>
          <w:vertAlign w:val="baseline"/>
          <w:lang w:val="en-US" w:eastAsia="zh-CN"/>
        </w:rPr>
        <w:t>，堆放的废石量约为190m</w:t>
      </w:r>
      <w:r>
        <w:rPr>
          <w:rFonts w:hint="eastAsia"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；PD660硐口下方，坐标为109°33′22.051″</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32°37′2.812″，占地面积约1100m</w:t>
      </w:r>
      <w:r>
        <w:rPr>
          <w:rFonts w:hint="default" w:ascii="Times New Roman" w:hAnsi="Times New Roman" w:eastAsia="宋体" w:cs="Times New Roman"/>
          <w:color w:val="FF0000"/>
          <w:sz w:val="24"/>
          <w:szCs w:val="24"/>
          <w:vertAlign w:val="superscript"/>
          <w:lang w:val="en-US" w:eastAsia="zh-CN"/>
        </w:rPr>
        <w:t>2</w:t>
      </w:r>
      <w:r>
        <w:rPr>
          <w:rFonts w:hint="eastAsia" w:ascii="Times New Roman" w:hAnsi="Times New Roman" w:eastAsia="宋体" w:cs="Times New Roman"/>
          <w:color w:val="FF0000"/>
          <w:sz w:val="24"/>
          <w:szCs w:val="24"/>
          <w:vertAlign w:val="baseline"/>
          <w:lang w:val="en-US" w:eastAsia="zh-CN"/>
        </w:rPr>
        <w:t>，堆放的废石量约为810m</w:t>
      </w:r>
      <w:r>
        <w:rPr>
          <w:rFonts w:hint="eastAsia"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现有废石场为建设单位方便废石堆存，在未经过选址论证，合理规划设计的情况下，随意堆放，废石场无相关的设计文件和图纸。现有废石场的主要影响为工程占地，</w:t>
      </w:r>
      <w:r>
        <w:rPr>
          <w:rFonts w:hint="eastAsia" w:ascii="Times New Roman" w:hAnsi="Times New Roman" w:eastAsia="宋体" w:cs="Times New Roman"/>
          <w:color w:val="FF0000"/>
          <w:sz w:val="24"/>
          <w:szCs w:val="24"/>
          <w:lang w:val="en-US" w:eastAsia="zh-CN"/>
        </w:rPr>
        <w:t>破坏生态环境，而且会造成坍塌、滑坡等生态环境风险。PD810废石场底部目前已建成一座长10米，顶宽1.2米的浆砌石拦渣坝；PD760废石场目前已建成一座长8米，顶宽1.2米的浆砌石拦渣坝。PD660目前尚未建设拦渣坝。</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为进一步减少废石场对环境的影响，环评提出以下要求，尽快对废石场进行恢复治理：</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fldChar w:fldCharType="begin"/>
      </w:r>
      <w:r>
        <w:rPr>
          <w:rFonts w:hint="default" w:ascii="Times New Roman" w:hAnsi="Times New Roman" w:eastAsia="宋体" w:cs="Times New Roman"/>
          <w:color w:val="FF0000"/>
          <w:sz w:val="24"/>
          <w:szCs w:val="24"/>
          <w:lang w:val="en-US" w:eastAsia="zh-CN"/>
        </w:rPr>
        <w:instrText xml:space="preserve"> = 1 \* GB3 \* MERGEFORMAT </w:instrText>
      </w:r>
      <w:r>
        <w:rPr>
          <w:rFonts w:hint="default" w:ascii="Times New Roman" w:hAnsi="Times New Roman" w:eastAsia="宋体" w:cs="Times New Roman"/>
          <w:color w:val="FF0000"/>
          <w:sz w:val="24"/>
          <w:szCs w:val="24"/>
          <w:lang w:val="en-US" w:eastAsia="zh-CN"/>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color w:val="FF0000"/>
          <w:sz w:val="24"/>
          <w:szCs w:val="24"/>
          <w:lang w:val="en-US" w:eastAsia="zh-CN"/>
        </w:rPr>
        <w:fldChar w:fldCharType="end"/>
      </w:r>
      <w:r>
        <w:rPr>
          <w:rFonts w:hint="eastAsia" w:ascii="Times New Roman" w:hAnsi="Times New Roman" w:eastAsia="宋体" w:cs="Times New Roman"/>
          <w:color w:val="FF0000"/>
          <w:sz w:val="24"/>
          <w:szCs w:val="24"/>
          <w:lang w:val="en-US" w:eastAsia="zh-CN"/>
        </w:rPr>
        <w:t>PD660挡渣坝的建设满足：底部拦渣坝长约15-20m，高2-4m，顶宽1.0m，底宽3.0m，基础埋深1.0m；挡墙墙身均采用M7.5浆砌片石，水泥砂浆勾缝，挡墙10m设置一道沉降缝，缝宽2cm填充沥青木板；布设泄水孔，沿墙身水平间距3.0m，竖向间距2m，梅花状分布；底部泄水孔距地面0.3m；挡土墙后墙沿纵向设置30cm厚的砂石滤水层。</w:t>
      </w:r>
    </w:p>
    <w:p>
      <w:pPr>
        <w:pageBreakBefore w:val="0"/>
        <w:widowControl w:val="0"/>
        <w:kinsoku/>
        <w:wordWrap/>
        <w:overflowPunct/>
        <w:topLinePunct w:val="0"/>
        <w:autoSpaceDE/>
        <w:autoSpaceDN/>
        <w:bidi w:val="0"/>
        <w:adjustRightInd w:val="0"/>
        <w:snapToGrid w:val="0"/>
        <w:spacing w:line="360" w:lineRule="auto"/>
        <w:ind w:left="0" w:firstLine="420" w:firstLineChars="200"/>
        <w:jc w:val="center"/>
        <w:textAlignment w:val="auto"/>
        <w:outlineLvl w:val="9"/>
        <w:rPr>
          <w:rFonts w:hint="eastAsia" w:ascii="Times New Roman" w:hAnsi="Times New Roman" w:eastAsia="宋体" w:cs="Times New Roman"/>
          <w:color w:val="FF0000"/>
          <w:sz w:val="24"/>
          <w:szCs w:val="24"/>
          <w:lang w:val="en-US" w:eastAsia="zh-CN"/>
        </w:rPr>
      </w:pPr>
      <w:r>
        <w:rPr>
          <w:color w:val="FF0000"/>
        </w:rPr>
        <w:drawing>
          <wp:inline distT="0" distB="0" distL="114300" distR="114300">
            <wp:extent cx="3486150" cy="2808605"/>
            <wp:effectExtent l="19050" t="19050" r="19050" b="2984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59"/>
                    <a:stretch>
                      <a:fillRect/>
                    </a:stretch>
                  </pic:blipFill>
                  <pic:spPr>
                    <a:xfrm>
                      <a:off x="0" y="0"/>
                      <a:ext cx="3486150" cy="2808605"/>
                    </a:xfrm>
                    <a:prstGeom prst="rect">
                      <a:avLst/>
                    </a:prstGeom>
                    <a:noFill/>
                    <a:ln w="19050">
                      <a:solidFill>
                        <a:schemeClr val="tx1"/>
                      </a:solidFill>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422" w:firstLineChars="200"/>
        <w:jc w:val="center"/>
        <w:textAlignment w:val="auto"/>
        <w:outlineLvl w:val="9"/>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图5.2-1   拦渣坝断面图</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fldChar w:fldCharType="begin"/>
      </w:r>
      <w:r>
        <w:rPr>
          <w:rFonts w:hint="default" w:ascii="Times New Roman" w:hAnsi="Times New Roman" w:eastAsia="宋体" w:cs="Times New Roman"/>
          <w:color w:val="FF0000"/>
          <w:sz w:val="24"/>
          <w:szCs w:val="24"/>
          <w:lang w:val="en-US" w:eastAsia="zh-CN"/>
        </w:rPr>
        <w:instrText xml:space="preserve"> = 2 \* GB3 \* MERGEFORMAT </w:instrText>
      </w:r>
      <w:r>
        <w:rPr>
          <w:rFonts w:hint="default" w:ascii="Times New Roman" w:hAnsi="Times New Roman" w:eastAsia="宋体" w:cs="Times New Roman"/>
          <w:color w:val="FF0000"/>
          <w:sz w:val="24"/>
          <w:szCs w:val="24"/>
          <w:lang w:val="en-US" w:eastAsia="zh-CN"/>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color w:val="FF0000"/>
          <w:sz w:val="24"/>
          <w:szCs w:val="24"/>
          <w:lang w:val="en-US" w:eastAsia="zh-CN"/>
        </w:rPr>
        <w:fldChar w:fldCharType="end"/>
      </w:r>
      <w:r>
        <w:rPr>
          <w:rFonts w:hint="default" w:ascii="Times New Roman" w:hAnsi="Times New Roman" w:eastAsia="宋体" w:cs="Times New Roman"/>
          <w:color w:val="FF0000"/>
          <w:sz w:val="24"/>
          <w:szCs w:val="24"/>
          <w:lang w:val="en-US" w:eastAsia="zh-CN"/>
        </w:rPr>
        <w:t>按照</w:t>
      </w:r>
      <w:r>
        <w:rPr>
          <w:rFonts w:hint="eastAsia" w:ascii="Times New Roman" w:hAnsi="Times New Roman" w:eastAsia="宋体" w:cs="Times New Roman"/>
          <w:color w:val="FF0000"/>
          <w:sz w:val="24"/>
          <w:szCs w:val="24"/>
          <w:lang w:val="en-US" w:eastAsia="zh-CN"/>
        </w:rPr>
        <w:t>《旬阳县赤岩镇水磨河口构皮沟毒重石矿矿山地质环境保护与土地复垦方案》对废石场进行恢复治理。废石场复垦的主要内容包括土壤重构和植被中间工程，其中土壤重构工程包括土壤剥覆工程、平整工程、清理工程、生物化学工程；植被重建包括：林地恢复工程。</w:t>
      </w:r>
    </w:p>
    <w:p>
      <w:pPr>
        <w:pageBreakBefore w:val="0"/>
        <w:widowControl w:val="0"/>
        <w:numPr>
          <w:ilvl w:val="0"/>
          <w:numId w:val="21"/>
        </w:numPr>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土壤重构工程</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①清理工程</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根据开发利用方案设计废石排放从最低处标高开始从下自上逐步排放。由于废石</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场由不同粒径的废石构成，粒径较大的废石堆积在废石场平台的底部，粒径较小的废</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石堆积在废石场平台的中部，废石渣堆积在废石场平台的上部，分阶段对达到堆积厚</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度废石场平台进行平整、夯实，终废石场呈梯田状分布。</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②土壤剥覆工程</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设计该复垦单元复垦为有林地，覆土厚度不小于</w:t>
      </w:r>
      <w:r>
        <w:rPr>
          <w:rFonts w:hint="eastAsia" w:ascii="Times New Roman" w:hAnsi="Times New Roman" w:eastAsia="宋体" w:cs="Times New Roman"/>
          <w:color w:val="FF0000"/>
          <w:sz w:val="24"/>
          <w:szCs w:val="24"/>
          <w:lang w:val="en-US" w:eastAsia="zh-CN"/>
        </w:rPr>
        <w:t>30</w:t>
      </w:r>
      <w:r>
        <w:rPr>
          <w:rFonts w:hint="eastAsia" w:ascii="Times New Roman" w:hAnsi="Times New Roman" w:eastAsia="宋体" w:cs="Times New Roman"/>
          <w:color w:val="FF0000"/>
          <w:sz w:val="24"/>
          <w:szCs w:val="24"/>
          <w:lang w:eastAsia="zh-CN"/>
        </w:rPr>
        <w:t>cm，土源</w:t>
      </w:r>
      <w:r>
        <w:rPr>
          <w:rFonts w:hint="eastAsia" w:ascii="Times New Roman" w:hAnsi="Times New Roman" w:eastAsia="宋体" w:cs="Times New Roman"/>
          <w:color w:val="FF0000"/>
          <w:sz w:val="24"/>
          <w:szCs w:val="24"/>
          <w:lang w:val="en-US" w:eastAsia="zh-CN"/>
        </w:rPr>
        <w:t>外购，本项目所在地周边建房或者有基建工程，可提前与建设方取得联系，提前储备土源</w:t>
      </w:r>
      <w:r>
        <w:rPr>
          <w:rFonts w:hint="eastAsia" w:ascii="Times New Roman" w:hAnsi="Times New Roman" w:eastAsia="宋体" w:cs="Times New Roman"/>
          <w:color w:val="FF0000"/>
          <w:sz w:val="24"/>
          <w:szCs w:val="24"/>
          <w:lang w:eastAsia="zh-CN"/>
        </w:rPr>
        <w:t>。</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③平整工程</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覆土后，为满足复垦植物生长的需要，应及时对表土进行平整。</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④生物化学工程</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为植物提供良好的立地条件，使其适宜植被的生长，需要对其进行土壤改良，以</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提高土壤的质量。改良的方法为每公顷施150kg无机化肥。</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val="en-US" w:eastAsia="zh-CN"/>
        </w:rPr>
        <w:t>B.</w:t>
      </w:r>
      <w:r>
        <w:rPr>
          <w:rFonts w:hint="eastAsia" w:ascii="Times New Roman" w:hAnsi="Times New Roman" w:eastAsia="宋体" w:cs="Times New Roman"/>
          <w:color w:val="FF0000"/>
          <w:sz w:val="24"/>
          <w:szCs w:val="24"/>
          <w:lang w:eastAsia="zh-CN"/>
        </w:rPr>
        <w:t>植被重建工程</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平台采用林草混播，苗木选择刺槐和紫花苜蓿，采用挖穴配土种植，栽植时坑内</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先浇水，最后在表面覆一层虚土保墒。边坡由于坡度较大，不进行复垦，仅对其安全</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性进行监测。</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废石场植被管护初期的重点是浇水，特别是在保苗期与旱期、高温季节。水源采</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用矿井水，切忌大水漫灌。一般春、秋季每月一次，夏季平均周一次，冬季上冻前普</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遍灌足越冬水。绿化用水定额平均取 1.5-2L/m</w:t>
      </w:r>
      <w:r>
        <w:rPr>
          <w:rFonts w:hint="eastAsia" w:ascii="Times New Roman" w:hAnsi="Times New Roman" w:eastAsia="宋体" w:cs="Times New Roman"/>
          <w:color w:val="FF0000"/>
          <w:sz w:val="24"/>
          <w:szCs w:val="24"/>
          <w:vertAlign w:val="superscript"/>
          <w:lang w:eastAsia="zh-CN"/>
        </w:rPr>
        <w:t xml:space="preserve">2 </w:t>
      </w:r>
      <w:r>
        <w:rPr>
          <w:rFonts w:hint="eastAsia" w:ascii="Times New Roman" w:hAnsi="Times New Roman" w:eastAsia="宋体" w:cs="Times New Roman"/>
          <w:color w:val="FF0000"/>
          <w:sz w:val="24"/>
          <w:szCs w:val="24"/>
          <w:lang w:eastAsia="zh-CN"/>
        </w:rPr>
        <w:t>一次。管护的另一重点为裂缝充填，</w:t>
      </w:r>
    </w:p>
    <w:p>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t>树木栽种后，浇水1-2 天后必须检查有无裂缝，一旦发现及时培土踏实。</w:t>
      </w:r>
    </w:p>
    <w:p>
      <w:pPr>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color w:val="FF0000"/>
          <w:sz w:val="24"/>
          <w:szCs w:val="24"/>
          <w:lang w:eastAsia="zh-CN"/>
        </w:rPr>
      </w:pPr>
      <w:r>
        <w:rPr>
          <w:color w:val="FF0000"/>
        </w:rPr>
        <w:drawing>
          <wp:inline distT="0" distB="0" distL="114300" distR="114300">
            <wp:extent cx="5752465" cy="2133600"/>
            <wp:effectExtent l="0" t="0" r="635" b="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60"/>
                    <a:stretch>
                      <a:fillRect/>
                    </a:stretch>
                  </pic:blipFill>
                  <pic:spPr>
                    <a:xfrm>
                      <a:off x="0" y="0"/>
                      <a:ext cx="5752465" cy="2133600"/>
                    </a:xfrm>
                    <a:prstGeom prst="rect">
                      <a:avLst/>
                    </a:prstGeom>
                    <a:noFill/>
                    <a:ln>
                      <a:noFill/>
                    </a:ln>
                  </pic:spPr>
                </pic:pic>
              </a:graphicData>
            </a:graphic>
          </wp:inline>
        </w:drawing>
      </w:r>
      <w:r>
        <w:rPr>
          <w:rFonts w:hint="eastAsia" w:ascii="Times New Roman" w:hAnsi="Times New Roman" w:eastAsia="宋体" w:cs="Times New Roman"/>
          <w:b/>
          <w:bCs/>
          <w:color w:val="FF0000"/>
          <w:sz w:val="21"/>
          <w:szCs w:val="21"/>
          <w:lang w:eastAsia="zh-CN"/>
        </w:rPr>
        <w:t>图</w:t>
      </w:r>
      <w:r>
        <w:rPr>
          <w:rFonts w:hint="eastAsia" w:ascii="Times New Roman" w:hAnsi="Times New Roman" w:eastAsia="宋体" w:cs="Times New Roman"/>
          <w:b/>
          <w:bCs/>
          <w:color w:val="FF0000"/>
          <w:sz w:val="21"/>
          <w:szCs w:val="21"/>
          <w:lang w:val="en-US" w:eastAsia="zh-CN"/>
        </w:rPr>
        <w:t xml:space="preserve">5.2-2   </w:t>
      </w:r>
      <w:r>
        <w:rPr>
          <w:rFonts w:hint="eastAsia" w:ascii="Times New Roman" w:hAnsi="Times New Roman" w:eastAsia="宋体" w:cs="Times New Roman"/>
          <w:b/>
          <w:bCs/>
          <w:color w:val="FF0000"/>
          <w:sz w:val="21"/>
          <w:szCs w:val="21"/>
          <w:lang w:eastAsia="zh-CN"/>
        </w:rPr>
        <w:t xml:space="preserve"> </w:t>
      </w:r>
      <w:r>
        <w:rPr>
          <w:rFonts w:hint="eastAsia" w:ascii="Times New Roman" w:hAnsi="Times New Roman" w:eastAsia="宋体" w:cs="Times New Roman"/>
          <w:b/>
          <w:bCs/>
          <w:color w:val="FF0000"/>
          <w:sz w:val="21"/>
          <w:szCs w:val="21"/>
          <w:lang w:val="en-US" w:eastAsia="zh-CN"/>
        </w:rPr>
        <w:t>废石场</w:t>
      </w:r>
      <w:r>
        <w:rPr>
          <w:rFonts w:hint="eastAsia" w:ascii="Times New Roman" w:hAnsi="Times New Roman" w:eastAsia="宋体" w:cs="Times New Roman"/>
          <w:b/>
          <w:bCs/>
          <w:color w:val="FF0000"/>
          <w:sz w:val="21"/>
          <w:szCs w:val="21"/>
          <w:lang w:eastAsia="zh-CN"/>
        </w:rPr>
        <w:t>复垦工程示意图</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废机油影响分析</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在运营期机械运行还会产生少量废机油，约0.01t/a，</w:t>
      </w:r>
      <w:r>
        <w:rPr>
          <w:rFonts w:hint="eastAsia" w:ascii="Times New Roman" w:hAnsi="Times New Roman" w:eastAsia="宋体" w:cs="Times New Roman"/>
          <w:color w:val="000000" w:themeColor="text1"/>
          <w:sz w:val="24"/>
          <w:szCs w:val="24"/>
          <w:lang w:eastAsia="zh-CN"/>
        </w:rPr>
        <w:t>现有工程已建设有危险废物暂存间，但是未按照</w:t>
      </w:r>
      <w:r>
        <w:rPr>
          <w:rFonts w:hint="default" w:ascii="Times New Roman" w:hAnsi="Times New Roman" w:eastAsia="宋体" w:cs="Times New Roman"/>
          <w:b w:val="0"/>
          <w:bCs w:val="0"/>
          <w:color w:val="000000" w:themeColor="text1"/>
          <w:sz w:val="24"/>
          <w:szCs w:val="24"/>
        </w:rPr>
        <w:t>《危险废物贮存污染控制标准》（GB18597-2001）</w:t>
      </w:r>
      <w:r>
        <w:rPr>
          <w:rFonts w:hint="eastAsia" w:ascii="Times New Roman" w:hAnsi="Times New Roman" w:eastAsia="宋体" w:cs="Times New Roman"/>
          <w:b w:val="0"/>
          <w:bCs w:val="0"/>
          <w:color w:val="000000" w:themeColor="text1"/>
          <w:sz w:val="24"/>
          <w:szCs w:val="24"/>
          <w:lang w:eastAsia="zh-CN"/>
        </w:rPr>
        <w:t>的要求进行建设，</w:t>
      </w:r>
      <w:r>
        <w:rPr>
          <w:rFonts w:hint="default" w:ascii="Times New Roman" w:hAnsi="Times New Roman" w:eastAsia="宋体" w:cs="Times New Roman"/>
          <w:color w:val="000000" w:themeColor="text1"/>
          <w:sz w:val="24"/>
          <w:szCs w:val="24"/>
        </w:rPr>
        <w:t>评价要求</w:t>
      </w:r>
      <w:r>
        <w:rPr>
          <w:rFonts w:hint="eastAsia" w:ascii="Times New Roman" w:hAnsi="Times New Roman" w:eastAsia="宋体" w:cs="Times New Roman"/>
          <w:color w:val="000000" w:themeColor="text1"/>
          <w:sz w:val="24"/>
          <w:szCs w:val="24"/>
          <w:lang w:val="en-US" w:eastAsia="zh-CN"/>
        </w:rPr>
        <w:t>建设单位按照危险废物暂存间的设置要求，规范建设，对现有的危险废物暂存间进行整改。危险废物定期</w:t>
      </w:r>
      <w:r>
        <w:rPr>
          <w:rFonts w:hint="default" w:ascii="Times New Roman" w:hAnsi="Times New Roman" w:eastAsia="宋体" w:cs="Times New Roman"/>
          <w:color w:val="000000" w:themeColor="text1"/>
          <w:sz w:val="24"/>
          <w:szCs w:val="24"/>
        </w:rPr>
        <w:t>并交由有资质单位处置。</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FF0000"/>
          <w:sz w:val="24"/>
          <w:szCs w:val="24"/>
        </w:rPr>
        <w:t>危险废物贮存间设置要求：</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FF0000"/>
          <w:sz w:val="24"/>
          <w:szCs w:val="24"/>
          <w:lang w:eastAsia="zh-CN"/>
        </w:rPr>
      </w:pPr>
      <w:r>
        <w:rPr>
          <w:rFonts w:hint="default" w:ascii="Times New Roman" w:hAnsi="Times New Roman" w:eastAsia="宋体" w:cs="Times New Roman"/>
          <w:b w:val="0"/>
          <w:bCs w:val="0"/>
          <w:color w:val="FF0000"/>
          <w:sz w:val="24"/>
          <w:szCs w:val="24"/>
        </w:rPr>
        <w:fldChar w:fldCharType="begin"/>
      </w:r>
      <w:r>
        <w:rPr>
          <w:rFonts w:hint="default" w:ascii="Times New Roman" w:hAnsi="Times New Roman" w:eastAsia="宋体" w:cs="Times New Roman"/>
          <w:b w:val="0"/>
          <w:bCs w:val="0"/>
          <w:color w:val="FF0000"/>
          <w:sz w:val="24"/>
          <w:szCs w:val="24"/>
        </w:rPr>
        <w:instrText xml:space="preserve"> = 1 \* GB3 \* MERGEFORMAT </w:instrText>
      </w:r>
      <w:r>
        <w:rPr>
          <w:rFonts w:hint="default" w:ascii="Times New Roman" w:hAnsi="Times New Roman" w:eastAsia="宋体" w:cs="Times New Roman"/>
          <w:b w:val="0"/>
          <w:bCs w:val="0"/>
          <w:color w:val="FF0000"/>
          <w:sz w:val="24"/>
          <w:szCs w:val="24"/>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b w:val="0"/>
          <w:bCs w:val="0"/>
          <w:color w:val="FF0000"/>
          <w:sz w:val="24"/>
          <w:szCs w:val="24"/>
        </w:rPr>
        <w:fldChar w:fldCharType="end"/>
      </w:r>
      <w:r>
        <w:rPr>
          <w:rFonts w:hint="default" w:ascii="Times New Roman" w:hAnsi="Times New Roman" w:eastAsia="宋体" w:cs="Times New Roman"/>
          <w:b w:val="0"/>
          <w:bCs w:val="0"/>
          <w:color w:val="FF0000"/>
          <w:sz w:val="24"/>
          <w:szCs w:val="24"/>
        </w:rPr>
        <w:t>设置危废暂存间收集运营期产生的危险废物，</w:t>
      </w:r>
      <w:r>
        <w:rPr>
          <w:rFonts w:hint="eastAsia" w:ascii="Times New Roman" w:hAnsi="Times New Roman" w:eastAsia="宋体" w:cs="Times New Roman"/>
          <w:b w:val="0"/>
          <w:bCs w:val="0"/>
          <w:color w:val="FF0000"/>
          <w:sz w:val="24"/>
          <w:szCs w:val="24"/>
          <w:lang w:eastAsia="zh-CN"/>
        </w:rPr>
        <w:t>选址应选择在地址结构稳定，地震烈度不超过</w:t>
      </w:r>
      <w:r>
        <w:rPr>
          <w:rFonts w:hint="eastAsia" w:ascii="Times New Roman" w:hAnsi="Times New Roman" w:eastAsia="宋体" w:cs="Times New Roman"/>
          <w:b w:val="0"/>
          <w:bCs w:val="0"/>
          <w:color w:val="FF0000"/>
          <w:sz w:val="24"/>
          <w:szCs w:val="24"/>
          <w:lang w:val="en-US" w:eastAsia="zh-CN"/>
        </w:rPr>
        <w:t>7度的区域内；设施底部必须高于地下水最高水位；应避免建在易遭受自然灾害如洪水、滑坡、泥石流等影响的地区；地面与裙角要用坚固、防渗的材料建造，建筑材料必须与危险废物相容；设施内有安全照明和观察窗口；用以存放装载液体、半固体危险废物容器的地方，必须有耐腐蚀的硬化地面，且表面无裂隙；</w:t>
      </w:r>
      <w:r>
        <w:rPr>
          <w:rFonts w:hint="default" w:ascii="Times New Roman" w:hAnsi="Times New Roman" w:eastAsia="宋体" w:cs="Times New Roman"/>
          <w:b w:val="0"/>
          <w:bCs w:val="0"/>
          <w:color w:val="FF0000"/>
          <w:sz w:val="24"/>
          <w:szCs w:val="24"/>
        </w:rPr>
        <w:t>应做好防风、防雨、防渗工作；危废间进行基础防渗，防渗层为至少1m厚黏土（渗透系数≤10</w:t>
      </w:r>
      <w:r>
        <w:rPr>
          <w:rFonts w:hint="default" w:ascii="Times New Roman" w:hAnsi="Times New Roman" w:eastAsia="宋体" w:cs="Times New Roman"/>
          <w:b w:val="0"/>
          <w:bCs w:val="0"/>
          <w:color w:val="FF0000"/>
          <w:sz w:val="24"/>
          <w:szCs w:val="24"/>
          <w:vertAlign w:val="superscript"/>
        </w:rPr>
        <w:t>-7</w:t>
      </w:r>
      <w:r>
        <w:rPr>
          <w:rFonts w:hint="default" w:ascii="Times New Roman" w:hAnsi="Times New Roman" w:eastAsia="宋体" w:cs="Times New Roman"/>
          <w:b w:val="0"/>
          <w:bCs w:val="0"/>
          <w:color w:val="FF0000"/>
          <w:sz w:val="24"/>
          <w:szCs w:val="24"/>
        </w:rPr>
        <w:t>cm/s），或2mm厚高密度聚乙烯、或至少2mm厚的其他人工材料，渗透系数≤10</w:t>
      </w:r>
      <w:r>
        <w:rPr>
          <w:rFonts w:hint="default" w:ascii="Times New Roman" w:hAnsi="Times New Roman" w:eastAsia="宋体" w:cs="Times New Roman"/>
          <w:b w:val="0"/>
          <w:bCs w:val="0"/>
          <w:color w:val="FF0000"/>
          <w:sz w:val="24"/>
          <w:szCs w:val="24"/>
          <w:vertAlign w:val="superscript"/>
        </w:rPr>
        <w:t>-10</w:t>
      </w:r>
      <w:r>
        <w:rPr>
          <w:rFonts w:hint="default" w:ascii="Times New Roman" w:hAnsi="Times New Roman" w:eastAsia="宋体" w:cs="Times New Roman"/>
          <w:b w:val="0"/>
          <w:bCs w:val="0"/>
          <w:color w:val="FF0000"/>
          <w:sz w:val="24"/>
          <w:szCs w:val="24"/>
        </w:rPr>
        <w:t>cm/s；暂存间内醒目处及暂存间明显处张贴危险废物警示标志；同时配置堵截泄漏的裙角，地面与裙角所围建的最大容积为最大储存量或总储存量的五分之一，防止渗滤液流出暂存间外，危废暂存时间不得超过一年</w:t>
      </w:r>
      <w:r>
        <w:rPr>
          <w:rFonts w:hint="eastAsia" w:ascii="Times New Roman" w:hAnsi="Times New Roman" w:eastAsia="宋体" w:cs="Times New Roman"/>
          <w:b w:val="0"/>
          <w:bCs w:val="0"/>
          <w:color w:val="FF0000"/>
          <w:sz w:val="24"/>
          <w:szCs w:val="24"/>
          <w:lang w:eastAsia="zh-CN"/>
        </w:rPr>
        <w:t>。装载危险废物的容器必须完好无损，盛装危险废物的容器材质和衬里要与危险废物相容。</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FF0000"/>
          <w:sz w:val="24"/>
          <w:szCs w:val="24"/>
        </w:rPr>
        <w:fldChar w:fldCharType="begin"/>
      </w:r>
      <w:r>
        <w:rPr>
          <w:rFonts w:hint="default" w:ascii="Times New Roman" w:hAnsi="Times New Roman" w:eastAsia="宋体" w:cs="Times New Roman"/>
          <w:b w:val="0"/>
          <w:bCs w:val="0"/>
          <w:color w:val="FF0000"/>
          <w:sz w:val="24"/>
          <w:szCs w:val="24"/>
        </w:rPr>
        <w:instrText xml:space="preserve"> = 2 \* GB3 \* MERGEFORMAT </w:instrText>
      </w:r>
      <w:r>
        <w:rPr>
          <w:rFonts w:hint="default" w:ascii="Times New Roman" w:hAnsi="Times New Roman" w:eastAsia="宋体" w:cs="Times New Roman"/>
          <w:b w:val="0"/>
          <w:bCs w:val="0"/>
          <w:color w:val="FF0000"/>
          <w:sz w:val="24"/>
          <w:szCs w:val="24"/>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b w:val="0"/>
          <w:bCs w:val="0"/>
          <w:color w:val="FF0000"/>
          <w:sz w:val="24"/>
          <w:szCs w:val="24"/>
        </w:rPr>
        <w:fldChar w:fldCharType="end"/>
      </w:r>
      <w:r>
        <w:rPr>
          <w:rFonts w:hint="default" w:ascii="Times New Roman" w:hAnsi="Times New Roman" w:eastAsia="宋体" w:cs="Times New Roman"/>
          <w:b w:val="0"/>
          <w:bCs w:val="0"/>
          <w:color w:val="FF0000"/>
          <w:sz w:val="24"/>
          <w:szCs w:val="24"/>
        </w:rPr>
        <w:t>按照《危险废物贮存污染控制标准》（GB18597-2001）及《危险废物转移联单管理办法》</w:t>
      </w:r>
      <w:r>
        <w:rPr>
          <w:rFonts w:hint="eastAsia"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lang w:val="en-US" w:eastAsia="zh-CN"/>
        </w:rPr>
        <w:t>2022年1月1日</w:t>
      </w:r>
      <w:r>
        <w:rPr>
          <w:rFonts w:hint="eastAsia"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rPr>
        <w:t>中的规定，完善危险废物转移联单记录及台账管理，定期交由有资质单位回收处置。</w:t>
      </w:r>
    </w:p>
    <w:p>
      <w:pPr>
        <w:pStyle w:val="4"/>
        <w:pageBreakBefore w:val="0"/>
        <w:widowControl w:val="0"/>
        <w:numPr>
          <w:ilvl w:val="1"/>
          <w:numId w:val="0"/>
        </w:numPr>
        <w:kinsoku/>
        <w:wordWrap/>
        <w:overflowPunct/>
        <w:topLinePunct w:val="0"/>
        <w:autoSpaceDE/>
        <w:autoSpaceDN/>
        <w:bidi w:val="0"/>
        <w:adjustRightInd w:val="0"/>
        <w:snapToGrid w:val="0"/>
        <w:spacing w:beforeLines="0" w:after="0" w:line="360" w:lineRule="auto"/>
        <w:ind w:firstLine="480" w:firstLineChars="200"/>
        <w:jc w:val="left"/>
        <w:textAlignment w:val="auto"/>
        <w:rPr>
          <w:rFonts w:hint="default" w:ascii="Times New Roman" w:hAnsi="Times New Roman" w:eastAsia="宋体" w:cs="Times New Roman"/>
          <w:b w:val="0"/>
          <w:bCs w:val="0"/>
          <w:color w:val="FF0000"/>
          <w:sz w:val="24"/>
          <w:szCs w:val="24"/>
        </w:rPr>
      </w:pPr>
      <w:bookmarkStart w:id="791" w:name="_Toc7597"/>
      <w:bookmarkStart w:id="792" w:name="_Toc6302"/>
      <w:r>
        <w:rPr>
          <w:rFonts w:hint="default" w:ascii="Times New Roman" w:hAnsi="Times New Roman" w:eastAsia="宋体" w:cs="Times New Roman"/>
          <w:b w:val="0"/>
          <w:bCs w:val="0"/>
          <w:color w:val="FF0000"/>
          <w:sz w:val="24"/>
          <w:szCs w:val="24"/>
        </w:rPr>
        <w:t>综上所述，在严格落实报告中提出的整改措施后，本项目固废符合国家固体废弃物处理处置政策，不会产生二次污染，不会对环境产生不利影响。</w:t>
      </w:r>
      <w:bookmarkEnd w:id="791"/>
      <w:bookmarkEnd w:id="792"/>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lang w:eastAsia="zh-CN"/>
        </w:rPr>
        <w:t>（</w:t>
      </w:r>
      <w:r>
        <w:rPr>
          <w:rFonts w:hint="eastAsia" w:ascii="Times New Roman" w:hAnsi="Times New Roman" w:eastAsia="宋体" w:cs="Times New Roman"/>
          <w:bCs/>
          <w:color w:val="000000" w:themeColor="text1"/>
          <w:sz w:val="24"/>
          <w:szCs w:val="24"/>
          <w:lang w:val="en-US" w:eastAsia="zh-CN"/>
        </w:rPr>
        <w:t>3</w:t>
      </w:r>
      <w:r>
        <w:rPr>
          <w:rFonts w:hint="eastAsia" w:ascii="Times New Roman" w:hAnsi="Times New Roman" w:eastAsia="宋体" w:cs="Times New Roman"/>
          <w:bCs/>
          <w:color w:val="000000" w:themeColor="text1"/>
          <w:sz w:val="24"/>
          <w:szCs w:val="24"/>
          <w:lang w:eastAsia="zh-CN"/>
        </w:rPr>
        <w:t>）</w:t>
      </w:r>
      <w:r>
        <w:rPr>
          <w:rFonts w:hint="default" w:ascii="Times New Roman" w:hAnsi="Times New Roman" w:eastAsia="宋体" w:cs="Times New Roman"/>
          <w:bCs/>
          <w:color w:val="000000" w:themeColor="text1"/>
          <w:sz w:val="24"/>
          <w:szCs w:val="24"/>
        </w:rPr>
        <w:t>生活垃圾</w:t>
      </w:r>
    </w:p>
    <w:p>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项目职工生活产生的生活垃圾</w:t>
      </w:r>
      <w:r>
        <w:rPr>
          <w:rFonts w:hint="eastAsia" w:ascii="Times New Roman" w:hAnsi="Times New Roman" w:eastAsia="宋体" w:cs="Times New Roman"/>
          <w:color w:val="000000" w:themeColor="text1"/>
          <w:sz w:val="24"/>
          <w:szCs w:val="24"/>
          <w:lang w:eastAsia="zh-CN"/>
        </w:rPr>
        <w:t>分类</w:t>
      </w:r>
      <w:r>
        <w:rPr>
          <w:rFonts w:hint="default" w:ascii="Times New Roman" w:hAnsi="Times New Roman" w:eastAsia="宋体" w:cs="Times New Roman"/>
          <w:color w:val="000000" w:themeColor="text1"/>
          <w:sz w:val="24"/>
          <w:szCs w:val="24"/>
        </w:rPr>
        <w:t>收集于</w:t>
      </w:r>
      <w:r>
        <w:rPr>
          <w:rFonts w:hint="eastAsia" w:ascii="Times New Roman" w:hAnsi="Times New Roman" w:eastAsia="宋体" w:cs="Times New Roman"/>
          <w:color w:val="000000" w:themeColor="text1"/>
          <w:sz w:val="24"/>
          <w:szCs w:val="24"/>
          <w:lang w:val="en-US" w:eastAsia="zh-CN"/>
        </w:rPr>
        <w:t>垃圾桶</w:t>
      </w:r>
      <w:r>
        <w:rPr>
          <w:rFonts w:hint="default" w:ascii="Times New Roman" w:hAnsi="Times New Roman" w:eastAsia="宋体" w:cs="Times New Roman"/>
          <w:color w:val="000000" w:themeColor="text1"/>
          <w:sz w:val="24"/>
          <w:szCs w:val="24"/>
        </w:rPr>
        <w:t>，定期交环卫部门处置。</w:t>
      </w:r>
    </w:p>
    <w:p>
      <w:pPr>
        <w:adjustRightInd w:val="0"/>
        <w:snapToGrid w:val="0"/>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表5.</w:t>
      </w:r>
      <w:r>
        <w:rPr>
          <w:rFonts w:hint="eastAsia" w:ascii="Times New Roman" w:hAnsi="Times New Roman" w:eastAsia="宋体"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19</w:t>
      </w:r>
      <w:r>
        <w:rPr>
          <w:rFonts w:hint="default" w:ascii="Times New Roman" w:hAnsi="Times New Roman" w:eastAsia="宋体" w:cs="Times New Roman"/>
          <w:b/>
          <w:bCs/>
          <w:color w:val="000000" w:themeColor="text1"/>
          <w:sz w:val="21"/>
          <w:szCs w:val="21"/>
        </w:rPr>
        <w:t xml:space="preserve">  固体废物源强统计一览表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600"/>
        <w:gridCol w:w="1750"/>
        <w:gridCol w:w="1336"/>
        <w:gridCol w:w="1599"/>
        <w:gridCol w:w="2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编号</w:t>
            </w:r>
          </w:p>
        </w:tc>
        <w:tc>
          <w:tcPr>
            <w:tcW w:w="160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废物名称</w:t>
            </w:r>
          </w:p>
        </w:tc>
        <w:tc>
          <w:tcPr>
            <w:tcW w:w="175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废物类别</w:t>
            </w:r>
          </w:p>
        </w:tc>
        <w:tc>
          <w:tcPr>
            <w:tcW w:w="1336"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来源</w:t>
            </w:r>
          </w:p>
        </w:tc>
        <w:tc>
          <w:tcPr>
            <w:tcW w:w="1599"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产生量</w:t>
            </w:r>
          </w:p>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（t/a）</w:t>
            </w:r>
          </w:p>
        </w:tc>
        <w:tc>
          <w:tcPr>
            <w:tcW w:w="2219"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1</w:t>
            </w:r>
          </w:p>
        </w:tc>
        <w:tc>
          <w:tcPr>
            <w:tcW w:w="160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采矿废石</w:t>
            </w:r>
          </w:p>
        </w:tc>
        <w:tc>
          <w:tcPr>
            <w:tcW w:w="175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一般固废</w:t>
            </w:r>
          </w:p>
        </w:tc>
        <w:tc>
          <w:tcPr>
            <w:tcW w:w="1336"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采矿过程</w:t>
            </w:r>
          </w:p>
        </w:tc>
        <w:tc>
          <w:tcPr>
            <w:tcW w:w="1599"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1.</w:t>
            </w:r>
            <w:r>
              <w:rPr>
                <w:rFonts w:hint="eastAsia" w:ascii="Times New Roman" w:hAnsi="Times New Roman" w:eastAsia="宋体" w:cs="Times New Roman"/>
                <w:b w:val="0"/>
                <w:color w:val="000000" w:themeColor="text1"/>
                <w:sz w:val="21"/>
                <w:szCs w:val="21"/>
                <w:lang w:val="en-US" w:eastAsia="zh-CN"/>
              </w:rPr>
              <w:t>1</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p>
        </w:tc>
        <w:tc>
          <w:tcPr>
            <w:tcW w:w="2219"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lang w:val="en-US" w:eastAsia="zh-CN"/>
              </w:rPr>
            </w:pPr>
            <w:r>
              <w:rPr>
                <w:rFonts w:hint="eastAsia" w:ascii="Times New Roman" w:hAnsi="Times New Roman" w:eastAsia="宋体" w:cs="Times New Roman"/>
                <w:b w:val="0"/>
                <w:color w:val="000000" w:themeColor="text1"/>
                <w:sz w:val="21"/>
                <w:szCs w:val="21"/>
                <w:lang w:val="en-US" w:eastAsia="zh-CN"/>
              </w:rPr>
              <w:t>0</w:t>
            </w:r>
            <w:r>
              <w:rPr>
                <w:rFonts w:hint="default" w:ascii="Times New Roman" w:hAnsi="Times New Roman" w:eastAsia="宋体" w:cs="Times New Roman"/>
                <w:b w:val="0"/>
                <w:color w:val="000000" w:themeColor="text1"/>
                <w:sz w:val="21"/>
                <w:szCs w:val="21"/>
              </w:rPr>
              <w:t>.</w:t>
            </w:r>
            <w:r>
              <w:rPr>
                <w:rFonts w:hint="eastAsia" w:ascii="Times New Roman" w:hAnsi="Times New Roman" w:eastAsia="宋体" w:cs="Times New Roman"/>
                <w:b w:val="0"/>
                <w:color w:val="000000" w:themeColor="text1"/>
                <w:sz w:val="21"/>
                <w:szCs w:val="21"/>
                <w:lang w:val="en-US" w:eastAsia="zh-CN"/>
              </w:rPr>
              <w:t>1</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r>
              <w:rPr>
                <w:rFonts w:hint="eastAsia" w:ascii="Times New Roman" w:hAnsi="Times New Roman" w:eastAsia="宋体" w:cs="Times New Roman"/>
                <w:b w:val="0"/>
                <w:color w:val="000000" w:themeColor="text1"/>
                <w:sz w:val="21"/>
                <w:szCs w:val="21"/>
                <w:vertAlign w:val="baseline"/>
                <w:lang w:eastAsia="zh-CN"/>
              </w:rPr>
              <w:t>用于</w:t>
            </w:r>
            <w:r>
              <w:rPr>
                <w:rFonts w:hint="eastAsia" w:ascii="Times New Roman" w:hAnsi="Times New Roman" w:eastAsia="宋体" w:cs="Times New Roman"/>
                <w:b w:val="0"/>
                <w:color w:val="000000" w:themeColor="text1"/>
                <w:sz w:val="21"/>
                <w:szCs w:val="21"/>
                <w:lang w:val="en-US" w:eastAsia="zh-CN"/>
              </w:rPr>
              <w:t>矿区基建，</w:t>
            </w:r>
            <w:r>
              <w:rPr>
                <w:rFonts w:hint="default" w:ascii="Times New Roman" w:hAnsi="Times New Roman" w:eastAsia="宋体" w:cs="Times New Roman"/>
                <w:b w:val="0"/>
                <w:color w:val="000000" w:themeColor="text1"/>
                <w:sz w:val="21"/>
                <w:szCs w:val="21"/>
              </w:rPr>
              <w:t>1.</w:t>
            </w:r>
            <w:r>
              <w:rPr>
                <w:rFonts w:hint="eastAsia" w:ascii="Times New Roman" w:hAnsi="Times New Roman" w:eastAsia="宋体" w:cs="Times New Roman"/>
                <w:b w:val="0"/>
                <w:color w:val="000000" w:themeColor="text1"/>
                <w:sz w:val="21"/>
                <w:szCs w:val="21"/>
                <w:lang w:val="en-US" w:eastAsia="zh-CN"/>
              </w:rPr>
              <w:t>0</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r>
              <w:rPr>
                <w:rFonts w:hint="eastAsia" w:ascii="Times New Roman" w:hAnsi="Times New Roman" w:eastAsia="宋体" w:cs="Times New Roman"/>
                <w:b w:val="0"/>
                <w:color w:val="000000" w:themeColor="text1"/>
                <w:sz w:val="21"/>
                <w:szCs w:val="21"/>
                <w:lang w:val="en-US" w:eastAsia="zh-CN"/>
              </w:rPr>
              <w:t>废石井下充填采空区，改扩建项目不新建废石场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2</w:t>
            </w:r>
          </w:p>
        </w:tc>
        <w:tc>
          <w:tcPr>
            <w:tcW w:w="160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生活垃圾（包括生产过程中产生的沾油手套、沾油抹布等）</w:t>
            </w:r>
          </w:p>
        </w:tc>
        <w:tc>
          <w:tcPr>
            <w:tcW w:w="175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生活垃圾</w:t>
            </w:r>
          </w:p>
        </w:tc>
        <w:tc>
          <w:tcPr>
            <w:tcW w:w="1336"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职工日常工作</w:t>
            </w:r>
          </w:p>
        </w:tc>
        <w:tc>
          <w:tcPr>
            <w:tcW w:w="1599" w:type="dxa"/>
            <w:tcBorders>
              <w:tl2br w:val="nil"/>
              <w:tr2bl w:val="nil"/>
            </w:tcBorders>
            <w:vAlign w:val="center"/>
          </w:tcPr>
          <w:p>
            <w:pPr>
              <w:pStyle w:val="58"/>
              <w:spacing w:before="0" w:after="0" w:line="240" w:lineRule="auto"/>
              <w:rPr>
                <w:rFonts w:hint="eastAsia" w:ascii="Times New Roman" w:hAnsi="Times New Roman" w:eastAsia="宋体" w:cs="Times New Roman"/>
                <w:b w:val="0"/>
                <w:color w:val="000000" w:themeColor="text1"/>
                <w:sz w:val="21"/>
                <w:szCs w:val="21"/>
                <w:lang w:val="en-US" w:eastAsia="zh-CN"/>
              </w:rPr>
            </w:pPr>
            <w:r>
              <w:rPr>
                <w:rFonts w:hint="eastAsia" w:ascii="Times New Roman" w:hAnsi="Times New Roman" w:eastAsia="宋体" w:cs="Times New Roman"/>
                <w:b w:val="0"/>
                <w:color w:val="000000" w:themeColor="text1"/>
                <w:sz w:val="21"/>
                <w:szCs w:val="21"/>
                <w:lang w:val="en-US" w:eastAsia="zh-CN"/>
              </w:rPr>
              <w:t>3.15</w:t>
            </w:r>
          </w:p>
        </w:tc>
        <w:tc>
          <w:tcPr>
            <w:tcW w:w="2219"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设垃圾箱，定期交环卫部门处置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3</w:t>
            </w:r>
          </w:p>
        </w:tc>
        <w:tc>
          <w:tcPr>
            <w:tcW w:w="160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废机油</w:t>
            </w:r>
          </w:p>
        </w:tc>
        <w:tc>
          <w:tcPr>
            <w:tcW w:w="1750"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HW08（900-249-08）</w:t>
            </w:r>
          </w:p>
        </w:tc>
        <w:tc>
          <w:tcPr>
            <w:tcW w:w="1336"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设备使用、检修过程产生</w:t>
            </w:r>
          </w:p>
        </w:tc>
        <w:tc>
          <w:tcPr>
            <w:tcW w:w="1599" w:type="dxa"/>
            <w:tcBorders>
              <w:tl2br w:val="nil"/>
              <w:tr2bl w:val="nil"/>
            </w:tcBorders>
            <w:vAlign w:val="center"/>
          </w:tcPr>
          <w:p>
            <w:pPr>
              <w:pStyle w:val="58"/>
              <w:spacing w:before="0" w:after="0" w:line="240" w:lineRule="auto"/>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0.01</w:t>
            </w:r>
          </w:p>
        </w:tc>
        <w:tc>
          <w:tcPr>
            <w:tcW w:w="2219" w:type="dxa"/>
            <w:tcBorders>
              <w:tl2br w:val="nil"/>
              <w:tr2bl w:val="nil"/>
            </w:tcBorders>
            <w:vAlign w:val="center"/>
          </w:tcPr>
          <w:p>
            <w:pPr>
              <w:pStyle w:val="58"/>
              <w:spacing w:before="0" w:after="0" w:line="240" w:lineRule="auto"/>
              <w:jc w:val="center"/>
              <w:rPr>
                <w:rFonts w:hint="default" w:ascii="Times New Roman" w:hAnsi="Times New Roman" w:eastAsia="宋体" w:cs="Times New Roman"/>
                <w:b w:val="0"/>
                <w:color w:val="000000" w:themeColor="text1"/>
                <w:sz w:val="21"/>
                <w:szCs w:val="21"/>
              </w:rPr>
            </w:pPr>
            <w:r>
              <w:rPr>
                <w:rFonts w:hint="default" w:ascii="Times New Roman" w:hAnsi="Times New Roman" w:eastAsia="宋体" w:cs="Times New Roman"/>
                <w:b w:val="0"/>
                <w:color w:val="000000" w:themeColor="text1"/>
                <w:sz w:val="21"/>
                <w:szCs w:val="21"/>
              </w:rPr>
              <w:t>危废暂存于危废暂存</w:t>
            </w:r>
            <w:r>
              <w:rPr>
                <w:rFonts w:hint="eastAsia" w:ascii="Times New Roman" w:hAnsi="Times New Roman" w:eastAsia="宋体" w:cs="Times New Roman"/>
                <w:b w:val="0"/>
                <w:color w:val="000000" w:themeColor="text1"/>
                <w:sz w:val="21"/>
                <w:szCs w:val="21"/>
                <w:lang w:val="en-US" w:eastAsia="zh-CN"/>
              </w:rPr>
              <w:t>间</w:t>
            </w:r>
            <w:r>
              <w:rPr>
                <w:rFonts w:hint="default" w:ascii="Times New Roman" w:hAnsi="Times New Roman" w:eastAsia="宋体" w:cs="Times New Roman"/>
                <w:b w:val="0"/>
                <w:color w:val="000000" w:themeColor="text1"/>
                <w:sz w:val="21"/>
                <w:szCs w:val="21"/>
              </w:rPr>
              <w:t>，定期委托有资质单位处置</w:t>
            </w:r>
          </w:p>
        </w:tc>
      </w:tr>
    </w:tbl>
    <w:p>
      <w:pPr>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表5.</w:t>
      </w:r>
      <w:r>
        <w:rPr>
          <w:rFonts w:hint="default" w:ascii="Times New Roman" w:hAnsi="Times New Roman" w:eastAsia="宋体" w:cs="Times New Roman"/>
          <w:b/>
          <w:color w:val="000000" w:themeColor="text1"/>
          <w:sz w:val="21"/>
          <w:szCs w:val="21"/>
          <w:lang w:val="en-US" w:eastAsia="zh-CN"/>
        </w:rPr>
        <w:t>2</w:t>
      </w:r>
      <w:r>
        <w:rPr>
          <w:rFonts w:hint="default" w:ascii="Times New Roman" w:hAnsi="Times New Roman" w:eastAsia="宋体" w:cs="Times New Roman"/>
          <w:b/>
          <w:color w:val="000000" w:themeColor="text1"/>
          <w:sz w:val="21"/>
          <w:szCs w:val="21"/>
        </w:rPr>
        <w:t>-</w:t>
      </w:r>
      <w:r>
        <w:rPr>
          <w:rFonts w:hint="eastAsia" w:ascii="Times New Roman" w:hAnsi="Times New Roman" w:eastAsia="宋体" w:cs="Times New Roman"/>
          <w:b/>
          <w:color w:val="000000" w:themeColor="text1"/>
          <w:sz w:val="21"/>
          <w:szCs w:val="21"/>
          <w:lang w:val="en-US" w:eastAsia="zh-CN"/>
        </w:rPr>
        <w:t>20</w:t>
      </w:r>
      <w:r>
        <w:rPr>
          <w:rFonts w:hint="default" w:ascii="Times New Roman" w:hAnsi="Times New Roman" w:eastAsia="宋体" w:cs="Times New Roman"/>
          <w:b/>
          <w:color w:val="000000" w:themeColor="text1"/>
          <w:sz w:val="21"/>
          <w:szCs w:val="21"/>
        </w:rPr>
        <w:t xml:space="preserve">   工程分析中危险废物汇总表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893"/>
        <w:gridCol w:w="743"/>
        <w:gridCol w:w="965"/>
        <w:gridCol w:w="820"/>
        <w:gridCol w:w="893"/>
        <w:gridCol w:w="744"/>
        <w:gridCol w:w="959"/>
        <w:gridCol w:w="678"/>
        <w:gridCol w:w="744"/>
        <w:gridCol w:w="8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89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危险废物名称</w:t>
            </w:r>
          </w:p>
        </w:tc>
        <w:tc>
          <w:tcPr>
            <w:tcW w:w="74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危险废物类别</w:t>
            </w:r>
          </w:p>
        </w:tc>
        <w:tc>
          <w:tcPr>
            <w:tcW w:w="96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危险废物代码</w:t>
            </w:r>
          </w:p>
        </w:tc>
        <w:tc>
          <w:tcPr>
            <w:tcW w:w="82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产生量</w:t>
            </w:r>
            <w:r>
              <w:rPr>
                <w:rFonts w:hint="default" w:ascii="Times New Roman" w:hAnsi="Times New Roman" w:eastAsia="宋体" w:cs="Times New Roman"/>
                <w:b w:val="0"/>
                <w:color w:val="000000" w:themeColor="text1"/>
                <w:sz w:val="21"/>
                <w:szCs w:val="21"/>
              </w:rPr>
              <w:t>（t/a）</w:t>
            </w:r>
          </w:p>
        </w:tc>
        <w:tc>
          <w:tcPr>
            <w:tcW w:w="89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产生工序及装置</w:t>
            </w:r>
          </w:p>
        </w:tc>
        <w:tc>
          <w:tcPr>
            <w:tcW w:w="7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形态</w:t>
            </w:r>
          </w:p>
        </w:tc>
        <w:tc>
          <w:tcPr>
            <w:tcW w:w="95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主要成分</w:t>
            </w:r>
          </w:p>
        </w:tc>
        <w:tc>
          <w:tcPr>
            <w:tcW w:w="6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产废周期</w:t>
            </w:r>
          </w:p>
        </w:tc>
        <w:tc>
          <w:tcPr>
            <w:tcW w:w="7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危险特性</w:t>
            </w:r>
          </w:p>
        </w:tc>
        <w:tc>
          <w:tcPr>
            <w:tcW w:w="89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89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废机油</w:t>
            </w:r>
          </w:p>
        </w:tc>
        <w:tc>
          <w:tcPr>
            <w:tcW w:w="74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废矿物油</w:t>
            </w:r>
          </w:p>
        </w:tc>
        <w:tc>
          <w:tcPr>
            <w:tcW w:w="96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HW08（</w:t>
            </w:r>
            <w:r>
              <w:rPr>
                <w:rFonts w:hint="default" w:ascii="Times New Roman" w:hAnsi="Times New Roman" w:eastAsia="宋体" w:cs="Times New Roman"/>
                <w:color w:val="000000" w:themeColor="text1"/>
                <w:sz w:val="21"/>
                <w:szCs w:val="21"/>
              </w:rPr>
              <w:t>900-249-08</w:t>
            </w:r>
            <w:r>
              <w:rPr>
                <w:rFonts w:hint="default" w:ascii="Times New Roman" w:hAnsi="Times New Roman" w:eastAsia="宋体" w:cs="Times New Roman"/>
                <w:bCs/>
                <w:color w:val="000000" w:themeColor="text1"/>
                <w:sz w:val="21"/>
                <w:szCs w:val="21"/>
              </w:rPr>
              <w:t>）</w:t>
            </w:r>
          </w:p>
        </w:tc>
        <w:tc>
          <w:tcPr>
            <w:tcW w:w="82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w:t>
            </w:r>
          </w:p>
        </w:tc>
        <w:tc>
          <w:tcPr>
            <w:tcW w:w="89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sz w:val="21"/>
                <w:szCs w:val="21"/>
              </w:rPr>
              <w:t>设备使用、检修过程产生</w:t>
            </w:r>
          </w:p>
        </w:tc>
        <w:tc>
          <w:tcPr>
            <w:tcW w:w="7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固态</w:t>
            </w:r>
          </w:p>
        </w:tc>
        <w:tc>
          <w:tcPr>
            <w:tcW w:w="95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C15-C36的烷烃</w:t>
            </w:r>
          </w:p>
        </w:tc>
        <w:tc>
          <w:tcPr>
            <w:tcW w:w="6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w:t>
            </w:r>
          </w:p>
        </w:tc>
        <w:tc>
          <w:tcPr>
            <w:tcW w:w="7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易燃</w:t>
            </w:r>
          </w:p>
        </w:tc>
        <w:tc>
          <w:tcPr>
            <w:tcW w:w="89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专用容器收集、设置危废暂存</w:t>
            </w:r>
            <w:r>
              <w:rPr>
                <w:rFonts w:hint="eastAsia" w:ascii="Times New Roman" w:hAnsi="Times New Roman" w:eastAsia="宋体" w:cs="Times New Roman"/>
                <w:color w:val="000000" w:themeColor="text1"/>
                <w:sz w:val="21"/>
                <w:szCs w:val="21"/>
                <w:lang w:val="en-US" w:eastAsia="zh-CN"/>
              </w:rPr>
              <w:t>间</w:t>
            </w:r>
          </w:p>
        </w:tc>
      </w:tr>
    </w:tbl>
    <w:p>
      <w:pPr>
        <w:ind w:firstLine="0" w:firstLineChars="0"/>
        <w:rPr>
          <w:color w:val="000000" w:themeColor="text1"/>
        </w:rPr>
      </w:pPr>
    </w:p>
    <w:p>
      <w:pPr>
        <w:pStyle w:val="5"/>
        <w:rPr>
          <w:rFonts w:hint="default"/>
          <w:color w:val="000000" w:themeColor="text1"/>
          <w:lang w:val="en-US" w:eastAsia="zh-CN"/>
        </w:rPr>
      </w:pPr>
      <w:bookmarkStart w:id="793" w:name="_Toc32624"/>
      <w:bookmarkStart w:id="794" w:name="_Toc1190"/>
      <w:r>
        <w:rPr>
          <w:rFonts w:hint="eastAsia"/>
          <w:color w:val="000000" w:themeColor="text1"/>
          <w:lang w:val="en-US" w:eastAsia="zh-CN"/>
        </w:rPr>
        <w:t>运营期土壤环境影响</w:t>
      </w:r>
      <w:bookmarkEnd w:id="793"/>
      <w:bookmarkEnd w:id="794"/>
    </w:p>
    <w:p>
      <w:pPr>
        <w:pStyle w:val="137"/>
        <w:pageBreakBefore w:val="0"/>
        <w:widowControl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eastAsia="宋体" w:cs="Times New Roman"/>
          <w:sz w:val="24"/>
          <w:szCs w:val="24"/>
        </w:rPr>
      </w:pPr>
      <w:bookmarkStart w:id="795" w:name="_Toc27014"/>
      <w:bookmarkStart w:id="796" w:name="_Toc13400"/>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土壤环境影响识别</w:t>
      </w:r>
      <w:bookmarkEnd w:id="795"/>
    </w:p>
    <w:p>
      <w:pPr>
        <w:pageBreakBefore w:val="0"/>
        <w:widowControl w:val="0"/>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bCs/>
          <w:color w:val="FF0000"/>
          <w:sz w:val="21"/>
          <w:szCs w:val="21"/>
          <w:lang w:eastAsia="zh-CN"/>
        </w:rPr>
        <w:t>表</w:t>
      </w:r>
      <w:r>
        <w:rPr>
          <w:rFonts w:hint="eastAsia" w:ascii="Times New Roman" w:hAnsi="Times New Roman" w:eastAsia="宋体" w:cs="Times New Roman"/>
          <w:b/>
          <w:bCs/>
          <w:color w:val="FF0000"/>
          <w:sz w:val="21"/>
          <w:szCs w:val="21"/>
          <w:lang w:val="en-US" w:eastAsia="zh-CN"/>
        </w:rPr>
        <w:t>5.2-21  建设项目土壤环境影响类型与影响途径表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389"/>
        <w:gridCol w:w="1042"/>
        <w:gridCol w:w="1114"/>
        <w:gridCol w:w="723"/>
        <w:gridCol w:w="897"/>
        <w:gridCol w:w="926"/>
        <w:gridCol w:w="796"/>
        <w:gridCol w:w="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时段</w:t>
            </w:r>
          </w:p>
        </w:tc>
        <w:tc>
          <w:tcPr>
            <w:tcW w:w="426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污染影响型</w:t>
            </w:r>
          </w:p>
        </w:tc>
        <w:tc>
          <w:tcPr>
            <w:tcW w:w="332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p>
        </w:tc>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大气沉降</w:t>
            </w:r>
          </w:p>
        </w:tc>
        <w:tc>
          <w:tcPr>
            <w:tcW w:w="10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地面漫流</w:t>
            </w:r>
          </w:p>
        </w:tc>
        <w:tc>
          <w:tcPr>
            <w:tcW w:w="11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垂直入渗</w:t>
            </w:r>
          </w:p>
        </w:tc>
        <w:tc>
          <w:tcPr>
            <w:tcW w:w="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其他</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盐化</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碱化</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酸化</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建设期</w:t>
            </w:r>
          </w:p>
        </w:tc>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10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11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val="en-US" w:eastAsia="zh-CN"/>
              </w:rPr>
              <w:t>/</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运营期</w:t>
            </w:r>
          </w:p>
        </w:tc>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10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11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r>
              <w:rPr>
                <w:rFonts w:hint="eastAsia" w:ascii="宋体" w:hAnsi="宋体" w:eastAsia="宋体" w:cs="宋体"/>
                <w:b w:val="0"/>
                <w:bCs w:val="0"/>
                <w:color w:val="FF0000"/>
                <w:sz w:val="21"/>
                <w:szCs w:val="21"/>
                <w:vertAlign w:val="baseline"/>
              </w:rPr>
              <w:t>√</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服务期满</w:t>
            </w:r>
          </w:p>
        </w:tc>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10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11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r>
    </w:tbl>
    <w:p>
      <w:pPr>
        <w:pageBreakBefore w:val="0"/>
        <w:widowControl w:val="0"/>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eastAsia="zh-CN"/>
        </w:rPr>
        <w:t>表</w:t>
      </w:r>
      <w:r>
        <w:rPr>
          <w:rFonts w:hint="eastAsia" w:ascii="Times New Roman" w:hAnsi="Times New Roman" w:eastAsia="宋体" w:cs="Times New Roman"/>
          <w:b/>
          <w:bCs/>
          <w:color w:val="FF0000"/>
          <w:sz w:val="21"/>
          <w:szCs w:val="21"/>
          <w:lang w:val="en-US" w:eastAsia="zh-CN"/>
        </w:rPr>
        <w:t>5.2-22  污染影响型建设项目土壤环境影响源及影响因子识别表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492"/>
        <w:gridCol w:w="1494"/>
        <w:gridCol w:w="1493"/>
        <w:gridCol w:w="1493"/>
        <w:gridCol w:w="14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污染源</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eastAsia="zh-CN"/>
              </w:rPr>
              <w:t>工艺流程</w:t>
            </w:r>
            <w:r>
              <w:rPr>
                <w:rFonts w:hint="eastAsia" w:ascii="Times New Roman" w:hAnsi="Times New Roman" w:eastAsia="宋体" w:cs="Times New Roman"/>
                <w:b w:val="0"/>
                <w:bCs w:val="0"/>
                <w:color w:val="FF0000"/>
                <w:sz w:val="21"/>
                <w:szCs w:val="21"/>
                <w:vertAlign w:val="baseline"/>
                <w:lang w:val="en-US" w:eastAsia="zh-CN"/>
              </w:rPr>
              <w:t>/节点</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污染途径</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全部污染指标</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特征因子</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矿井涌水</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eastAsia="zh-CN"/>
              </w:rPr>
              <w:t>井下开采</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地表漫流</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SS、钡</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钡</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事故状态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矿石临时堆场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废石临时堆场</w:t>
            </w:r>
          </w:p>
        </w:tc>
        <w:tc>
          <w:tcPr>
            <w:tcW w:w="14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堆放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地面漫流、垂直入渗</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val="en-US" w:eastAsia="zh-CN"/>
              </w:rPr>
              <w:t>SS、钡</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钡</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事故状态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p>
        </w:tc>
        <w:tc>
          <w:tcPr>
            <w:tcW w:w="14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大气沉降</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颗粒物</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生活废水</w:t>
            </w:r>
          </w:p>
        </w:tc>
        <w:tc>
          <w:tcPr>
            <w:tcW w:w="1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处理</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eastAsia="zh-CN"/>
              </w:rPr>
              <w:t>地面漫流、垂直入渗</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eastAsiaTheme="minorEastAsia"/>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pH、COD、BOD</w:t>
            </w:r>
            <w:r>
              <w:rPr>
                <w:rFonts w:hint="eastAsia" w:ascii="Times New Roman" w:hAnsi="Times New Roman" w:eastAsia="宋体" w:cs="Times New Roman"/>
                <w:b w:val="0"/>
                <w:bCs w:val="0"/>
                <w:color w:val="FF0000"/>
                <w:sz w:val="21"/>
                <w:szCs w:val="21"/>
                <w:vertAlign w:val="subscript"/>
                <w:lang w:val="en-US" w:eastAsia="zh-CN"/>
              </w:rPr>
              <w:t>5</w:t>
            </w:r>
            <w:r>
              <w:rPr>
                <w:rFonts w:hint="eastAsia" w:ascii="Times New Roman" w:hAnsi="Times New Roman" w:eastAsia="宋体" w:cs="Times New Roman"/>
                <w:b w:val="0"/>
                <w:bCs w:val="0"/>
                <w:color w:val="FF0000"/>
                <w:sz w:val="21"/>
                <w:szCs w:val="21"/>
                <w:vertAlign w:val="baseline"/>
                <w:lang w:val="en-US" w:eastAsia="zh-CN"/>
              </w:rPr>
              <w:t>、SS、</w:t>
            </w:r>
            <w:r>
              <w:rPr>
                <w:rFonts w:ascii="Times New Roman" w:hAnsi="Times New Roman"/>
                <w:color w:val="FF0000"/>
                <w:kern w:val="0"/>
                <w:szCs w:val="21"/>
              </w:rPr>
              <w:t>NH</w:t>
            </w:r>
            <w:r>
              <w:rPr>
                <w:rFonts w:ascii="Times New Roman" w:hAnsi="Times New Roman"/>
                <w:color w:val="FF0000"/>
                <w:kern w:val="0"/>
                <w:szCs w:val="21"/>
                <w:vertAlign w:val="subscript"/>
              </w:rPr>
              <w:t>3</w:t>
            </w:r>
            <w:r>
              <w:rPr>
                <w:rFonts w:ascii="Times New Roman" w:hAnsi="Times New Roman"/>
                <w:color w:val="FF0000"/>
                <w:kern w:val="0"/>
                <w:szCs w:val="21"/>
              </w:rPr>
              <w:t>-N</w:t>
            </w:r>
            <w:r>
              <w:rPr>
                <w:rFonts w:hint="eastAsia" w:ascii="Times New Roman" w:hAnsi="Times New Roman"/>
                <w:color w:val="FF0000"/>
                <w:kern w:val="0"/>
                <w:szCs w:val="21"/>
                <w:lang w:eastAsia="zh-CN"/>
              </w:rPr>
              <w:t>、</w:t>
            </w:r>
            <w:r>
              <w:rPr>
                <w:rFonts w:hint="eastAsia" w:ascii="Times New Roman" w:hAnsi="Times New Roman" w:eastAsia="宋体" w:cs="Times New Roman"/>
                <w:bCs/>
                <w:color w:val="FF0000"/>
                <w:sz w:val="21"/>
                <w:szCs w:val="21"/>
                <w:lang w:eastAsia="zh-CN"/>
              </w:rPr>
              <w:t>动植物油</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事故状态</w:t>
            </w:r>
          </w:p>
        </w:tc>
      </w:tr>
    </w:tbl>
    <w:p>
      <w:pPr>
        <w:pStyle w:val="137"/>
        <w:keepNext/>
        <w:keepLines/>
        <w:pageBreakBefore w:val="0"/>
        <w:widowControl w:val="0"/>
        <w:kinsoku/>
        <w:wordWrap/>
        <w:overflowPunct/>
        <w:topLinePunct w:val="0"/>
        <w:autoSpaceDE/>
        <w:autoSpaceDN/>
        <w:bidi w:val="0"/>
        <w:adjustRightInd w:val="0"/>
        <w:snapToGrid w:val="0"/>
        <w:spacing w:before="0" w:line="360" w:lineRule="auto"/>
        <w:ind w:firstLine="482" w:firstLineChars="200"/>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土壤环境影响分析</w:t>
      </w:r>
    </w:p>
    <w:p>
      <w:pPr>
        <w:pageBreakBefore w:val="0"/>
        <w:widowControl w:val="0"/>
        <w:kinsoku/>
        <w:wordWrap/>
        <w:overflowPunct/>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bidi="ar"/>
        </w:rPr>
      </w:pPr>
      <w:r>
        <w:rPr>
          <w:rFonts w:hint="default" w:ascii="Times New Roman" w:hAnsi="Times New Roman" w:eastAsia="宋体" w:cs="Times New Roman"/>
          <w:bCs/>
          <w:color w:val="auto"/>
          <w:sz w:val="24"/>
          <w:szCs w:val="24"/>
          <w:lang w:bidi="ar"/>
        </w:rPr>
        <w:t>根据《环境影响评价技术到则 土壤环境（试行）》（HJ964-2018）中判定，本项目土壤评价等级为三级，可采用定性描述或类比分析法进行预测。本环评报告通过定性描述对土壤环境影响进行分析。</w:t>
      </w:r>
    </w:p>
    <w:p>
      <w:pPr>
        <w:pageBreakBefore w:val="0"/>
        <w:widowControl w:val="0"/>
        <w:kinsoku/>
        <w:wordWrap/>
        <w:overflowPunct/>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bidi="ar"/>
        </w:rPr>
      </w:pPr>
      <w:r>
        <w:rPr>
          <w:rFonts w:hint="default" w:ascii="Times New Roman" w:hAnsi="Times New Roman" w:eastAsia="宋体" w:cs="Times New Roman"/>
          <w:bCs/>
          <w:color w:val="auto"/>
          <w:sz w:val="24"/>
          <w:szCs w:val="24"/>
          <w:lang w:bidi="ar"/>
        </w:rPr>
        <w:t>1）土壤环境质量现状</w:t>
      </w:r>
    </w:p>
    <w:p>
      <w:pPr>
        <w:pageBreakBefore w:val="0"/>
        <w:widowControl w:val="0"/>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sz w:val="24"/>
          <w:szCs w:val="24"/>
          <w:lang w:val="en-US" w:eastAsia="zh-CN" w:bidi="ar"/>
        </w:rPr>
        <w:t>本项目对K1矿体和K2矿体进行了现状监测，各</w:t>
      </w:r>
      <w:r>
        <w:rPr>
          <w:rFonts w:hint="default" w:ascii="Times New Roman" w:hAnsi="Times New Roman" w:eastAsia="宋体" w:cs="Times New Roman"/>
          <w:color w:val="auto"/>
          <w:sz w:val="24"/>
          <w:szCs w:val="24"/>
        </w:rPr>
        <w:t>监测点位</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指标均符合《土壤环境质量 建设用地土壤污染风险管控标准（试行）》（GB36600-2018）的第二类用地标准限值要求，</w:t>
      </w:r>
      <w:r>
        <w:rPr>
          <w:rFonts w:hint="eastAsia" w:ascii="Times New Roman" w:hAnsi="Times New Roman" w:eastAsia="宋体" w:cs="Times New Roman"/>
          <w:color w:val="auto"/>
          <w:sz w:val="24"/>
          <w:szCs w:val="24"/>
          <w:lang w:val="en-US" w:eastAsia="zh-CN"/>
        </w:rPr>
        <w:t>K1矿体已运行多年，说明本项目的生产运行对土壤环境的影响较小。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影响方式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rPr>
      </w:pPr>
      <w:r>
        <w:rPr>
          <w:color w:val="000000" w:themeColor="text1"/>
          <w:sz w:val="24"/>
          <w:szCs w:val="24"/>
        </w:rPr>
        <w:t>本项目</w:t>
      </w:r>
      <w:r>
        <w:rPr>
          <w:rFonts w:hint="eastAsia"/>
          <w:color w:val="000000" w:themeColor="text1"/>
          <w:sz w:val="24"/>
          <w:szCs w:val="24"/>
          <w:lang w:val="en-US" w:eastAsia="zh-CN"/>
        </w:rPr>
        <w:t>对</w:t>
      </w:r>
      <w:r>
        <w:rPr>
          <w:color w:val="000000" w:themeColor="text1"/>
          <w:sz w:val="24"/>
          <w:szCs w:val="24"/>
        </w:rPr>
        <w:t>土壤</w:t>
      </w:r>
      <w:r>
        <w:rPr>
          <w:rFonts w:hint="eastAsia"/>
          <w:color w:val="000000" w:themeColor="text1"/>
          <w:sz w:val="24"/>
          <w:szCs w:val="24"/>
          <w:lang w:val="en-US" w:eastAsia="zh-CN"/>
        </w:rPr>
        <w:t>的影响方式主要为</w:t>
      </w:r>
      <w:r>
        <w:rPr>
          <w:color w:val="000000" w:themeColor="text1"/>
          <w:sz w:val="24"/>
          <w:szCs w:val="24"/>
        </w:rPr>
        <w:t>开采过程中产生的废水、废气和固体废物等污染</w:t>
      </w:r>
      <w:r>
        <w:rPr>
          <w:rFonts w:hint="eastAsia"/>
          <w:color w:val="000000" w:themeColor="text1"/>
          <w:sz w:val="24"/>
          <w:szCs w:val="24"/>
          <w:lang w:val="en-US" w:eastAsia="zh-CN"/>
        </w:rPr>
        <w:t>影响</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val="en-US" w:eastAsia="zh-CN"/>
        </w:rPr>
        <w:t>3</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kern w:val="2"/>
          <w:sz w:val="24"/>
          <w:szCs w:val="24"/>
          <w:lang w:val="en-US" w:eastAsia="zh-CN"/>
        </w:rPr>
      </w:pPr>
      <w:r>
        <w:rPr>
          <w:rFonts w:hint="default" w:ascii="Times New Roman" w:hAnsi="Times New Roman" w:eastAsia="宋体" w:cs="Times New Roman"/>
          <w:color w:val="FF0000"/>
          <w:sz w:val="24"/>
          <w:szCs w:val="24"/>
        </w:rPr>
        <w:t>本项目采矿区各功能区均采取</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源头控制</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分区防控</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的防渗措施，可以有效保证污染物不会进入土壤环境，防止污染土壤。</w:t>
      </w:r>
      <w:r>
        <w:rPr>
          <w:rFonts w:hint="eastAsia" w:ascii="Times New Roman" w:hAnsi="Times New Roman" w:eastAsia="宋体" w:cs="Times New Roman"/>
          <w:color w:val="FF0000"/>
          <w:sz w:val="24"/>
          <w:szCs w:val="24"/>
          <w:lang w:val="en-US" w:eastAsia="zh-CN"/>
        </w:rPr>
        <w:t>具体措施有：</w:t>
      </w:r>
    </w:p>
    <w:p>
      <w:pPr>
        <w:pageBreakBefore w:val="0"/>
        <w:widowControl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shd w:val="clear" w:color="auto" w:fill="FFFFFF"/>
        </w:rPr>
      </w:pPr>
      <w:r>
        <w:rPr>
          <w:rFonts w:hint="default" w:ascii="Times New Roman" w:hAnsi="Times New Roman" w:eastAsia="宋体" w:cs="Times New Roman"/>
          <w:color w:val="FF0000"/>
          <w:sz w:val="24"/>
          <w:szCs w:val="24"/>
          <w:shd w:val="clear" w:color="auto" w:fill="FFFFFF"/>
        </w:rPr>
        <w:fldChar w:fldCharType="begin"/>
      </w:r>
      <w:r>
        <w:rPr>
          <w:rFonts w:hint="default" w:ascii="Times New Roman" w:hAnsi="Times New Roman" w:eastAsia="宋体" w:cs="Times New Roman"/>
          <w:color w:val="FF0000"/>
          <w:sz w:val="24"/>
          <w:szCs w:val="24"/>
          <w:shd w:val="clear" w:color="auto" w:fill="FFFFFF"/>
        </w:rPr>
        <w:instrText xml:space="preserve"> = 1 \* GB3 \* MERGEFORMAT </w:instrText>
      </w:r>
      <w:r>
        <w:rPr>
          <w:rFonts w:hint="default" w:ascii="Times New Roman" w:hAnsi="Times New Roman" w:eastAsia="宋体" w:cs="Times New Roman"/>
          <w:color w:val="FF0000"/>
          <w:sz w:val="24"/>
          <w:szCs w:val="24"/>
          <w:shd w:val="clear" w:color="auto" w:fill="FFFFFF"/>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color w:val="FF0000"/>
          <w:sz w:val="24"/>
          <w:szCs w:val="24"/>
          <w:shd w:val="clear" w:color="auto" w:fill="FFFFFF"/>
        </w:rPr>
        <w:fldChar w:fldCharType="end"/>
      </w:r>
      <w:r>
        <w:rPr>
          <w:rFonts w:hint="default" w:ascii="Times New Roman" w:hAnsi="Times New Roman" w:eastAsia="宋体" w:cs="Times New Roman"/>
          <w:color w:val="FF0000"/>
          <w:sz w:val="24"/>
          <w:szCs w:val="24"/>
        </w:rPr>
        <w:t>本项目</w:t>
      </w:r>
      <w:r>
        <w:rPr>
          <w:rFonts w:hint="default" w:ascii="Times New Roman" w:hAnsi="Times New Roman" w:eastAsia="宋体" w:cs="Times New Roman"/>
          <w:color w:val="FF0000"/>
          <w:sz w:val="24"/>
          <w:szCs w:val="24"/>
          <w:lang w:val="en-US" w:eastAsia="zh-CN"/>
        </w:rPr>
        <w:t>在矿石转运处设置</w:t>
      </w:r>
      <w:r>
        <w:rPr>
          <w:rFonts w:hint="eastAsia" w:ascii="Times New Roman" w:hAnsi="Times New Roman" w:eastAsia="宋体" w:cs="Times New Roman"/>
          <w:color w:val="FF0000"/>
          <w:sz w:val="24"/>
          <w:szCs w:val="24"/>
          <w:lang w:val="en-US" w:eastAsia="zh-CN"/>
        </w:rPr>
        <w:t>堆棚</w:t>
      </w:r>
      <w:r>
        <w:rPr>
          <w:rFonts w:hint="default" w:ascii="Times New Roman" w:hAnsi="Times New Roman" w:eastAsia="宋体" w:cs="Times New Roman"/>
          <w:color w:val="FF0000"/>
          <w:sz w:val="24"/>
          <w:szCs w:val="24"/>
          <w:lang w:val="en-US" w:eastAsia="zh-CN"/>
        </w:rPr>
        <w:t>，可有效阻挡粉尘扩散</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要求建设单位在矿石转运过程中尽量降低矿石高度，减少矿石与地面的高差。</w:t>
      </w:r>
      <w:r>
        <w:rPr>
          <w:rFonts w:hint="eastAsia" w:ascii="Times New Roman" w:hAnsi="Times New Roman" w:eastAsia="宋体" w:cs="Times New Roman"/>
          <w:color w:val="FF0000"/>
          <w:sz w:val="24"/>
          <w:szCs w:val="24"/>
          <w:lang w:val="en-US" w:eastAsia="zh-CN"/>
        </w:rPr>
        <w:t>扩建项目的废石全部在临时堆棚下临时贮存，禁止违法占地倾倒废石，防止雨水淋滤深入土壤，对土壤产生影响。</w:t>
      </w:r>
    </w:p>
    <w:p>
      <w:pPr>
        <w:pageBreakBefore w:val="0"/>
        <w:widowControl w:val="0"/>
        <w:numPr>
          <w:ilvl w:val="0"/>
          <w:numId w:val="0"/>
        </w:numPr>
        <w:kinsoku/>
        <w:wordWrap/>
        <w:overflowPunct/>
        <w:topLinePunct w:val="0"/>
        <w:bidi w:val="0"/>
        <w:adjustRightInd w:val="0"/>
        <w:snapToGrid w:val="0"/>
        <w:spacing w:before="0" w:line="360" w:lineRule="auto"/>
        <w:ind w:firstLine="480" w:firstLineChars="200"/>
        <w:jc w:val="left"/>
        <w:textAlignment w:val="auto"/>
        <w:outlineLvl w:val="9"/>
        <w:rPr>
          <w:rFonts w:hint="default" w:ascii="Times New Roman" w:hAnsi="Times New Roman" w:eastAsia="宋体" w:cs="Times New Roman"/>
          <w:color w:val="FF0000"/>
          <w:sz w:val="24"/>
          <w:szCs w:val="24"/>
          <w:shd w:val="clear" w:color="auto" w:fill="FFFFFF"/>
        </w:rPr>
      </w:pPr>
      <w:r>
        <w:rPr>
          <w:rFonts w:hint="default" w:ascii="Times New Roman" w:hAnsi="Times New Roman" w:eastAsia="宋体" w:cs="Times New Roman"/>
          <w:color w:val="FF0000"/>
          <w:sz w:val="24"/>
          <w:szCs w:val="24"/>
          <w:shd w:val="clear" w:color="auto" w:fill="FFFFFF"/>
        </w:rPr>
        <w:fldChar w:fldCharType="begin"/>
      </w:r>
      <w:r>
        <w:rPr>
          <w:rFonts w:hint="default" w:ascii="Times New Roman" w:hAnsi="Times New Roman" w:eastAsia="宋体" w:cs="Times New Roman"/>
          <w:color w:val="FF0000"/>
          <w:sz w:val="24"/>
          <w:szCs w:val="24"/>
          <w:shd w:val="clear" w:color="auto" w:fill="FFFFFF"/>
        </w:rPr>
        <w:instrText xml:space="preserve"> = 2 \* GB3 \* MERGEFORMAT </w:instrText>
      </w:r>
      <w:r>
        <w:rPr>
          <w:rFonts w:hint="default" w:ascii="Times New Roman" w:hAnsi="Times New Roman" w:eastAsia="宋体" w:cs="Times New Roman"/>
          <w:color w:val="FF0000"/>
          <w:sz w:val="24"/>
          <w:szCs w:val="24"/>
          <w:shd w:val="clear" w:color="auto" w:fill="FFFFFF"/>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color w:val="FF0000"/>
          <w:sz w:val="24"/>
          <w:szCs w:val="24"/>
          <w:shd w:val="clear" w:color="auto" w:fill="FFFFFF"/>
        </w:rPr>
        <w:fldChar w:fldCharType="end"/>
      </w:r>
      <w:r>
        <w:rPr>
          <w:rFonts w:hint="default" w:ascii="Times New Roman" w:hAnsi="Times New Roman" w:eastAsia="宋体" w:cs="Times New Roman"/>
          <w:color w:val="FF0000"/>
          <w:sz w:val="24"/>
          <w:szCs w:val="24"/>
          <w:shd w:val="clear" w:color="auto" w:fill="FFFFFF"/>
          <w:lang w:val="en-US" w:eastAsia="zh-CN"/>
        </w:rPr>
        <w:t>做好井下支护工作，防止采空区崩塌。</w:t>
      </w:r>
      <w:r>
        <w:rPr>
          <w:rFonts w:hint="default" w:ascii="Times New Roman" w:hAnsi="Times New Roman" w:eastAsia="宋体" w:cs="Times New Roman"/>
          <w:color w:val="FF0000"/>
          <w:sz w:val="24"/>
          <w:szCs w:val="24"/>
          <w:shd w:val="clear" w:color="auto" w:fill="FFFFFF"/>
        </w:rPr>
        <w:t>本项目井下采区产生废石首先回填采空区，在回填的过程中，严格按照要求操作，减少次生地质灾害的发生。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color w:val="FF0000"/>
          <w:sz w:val="24"/>
          <w:szCs w:val="24"/>
          <w:shd w:val="clear" w:color="auto" w:fill="FFFFFF"/>
        </w:rPr>
      </w:pPr>
      <w:r>
        <w:rPr>
          <w:rFonts w:hint="default" w:ascii="Times New Roman" w:hAnsi="Times New Roman" w:eastAsia="宋体" w:cs="Times New Roman"/>
          <w:color w:val="FF0000"/>
          <w:sz w:val="24"/>
          <w:szCs w:val="24"/>
          <w:shd w:val="clear" w:color="auto" w:fill="FFFFFF"/>
        </w:rPr>
        <w:fldChar w:fldCharType="begin"/>
      </w:r>
      <w:r>
        <w:rPr>
          <w:rFonts w:hint="default" w:ascii="Times New Roman" w:hAnsi="Times New Roman" w:eastAsia="宋体" w:cs="Times New Roman"/>
          <w:color w:val="FF0000"/>
          <w:sz w:val="24"/>
          <w:szCs w:val="24"/>
          <w:shd w:val="clear" w:color="auto" w:fill="FFFFFF"/>
        </w:rPr>
        <w:instrText xml:space="preserve"> = 3 \* GB3 \* MERGEFORMAT </w:instrText>
      </w:r>
      <w:r>
        <w:rPr>
          <w:rFonts w:hint="default" w:ascii="Times New Roman" w:hAnsi="Times New Roman" w:eastAsia="宋体" w:cs="Times New Roman"/>
          <w:color w:val="FF0000"/>
          <w:sz w:val="24"/>
          <w:szCs w:val="24"/>
          <w:shd w:val="clear" w:color="auto" w:fill="FFFFFF"/>
        </w:rPr>
        <w:fldChar w:fldCharType="separate"/>
      </w:r>
      <w:r>
        <w:rPr>
          <w:rFonts w:hint="default" w:ascii="Times New Roman" w:hAnsi="Times New Roman" w:eastAsia="宋体" w:cs="Times New Roman"/>
          <w:color w:val="FF0000"/>
          <w:sz w:val="24"/>
          <w:szCs w:val="24"/>
        </w:rPr>
        <w:t>③</w:t>
      </w:r>
      <w:r>
        <w:rPr>
          <w:rFonts w:hint="default" w:ascii="Times New Roman" w:hAnsi="Times New Roman" w:eastAsia="宋体" w:cs="Times New Roman"/>
          <w:color w:val="FF0000"/>
          <w:sz w:val="24"/>
          <w:szCs w:val="24"/>
          <w:shd w:val="clear" w:color="auto" w:fill="FFFFFF"/>
        </w:rPr>
        <w:fldChar w:fldCharType="end"/>
      </w:r>
      <w:r>
        <w:rPr>
          <w:rFonts w:hint="default" w:ascii="Times New Roman" w:hAnsi="Times New Roman" w:eastAsia="宋体" w:cs="Times New Roman"/>
          <w:color w:val="FF0000"/>
          <w:sz w:val="24"/>
          <w:szCs w:val="24"/>
          <w:shd w:val="clear" w:color="auto" w:fill="FFFFFF"/>
        </w:rPr>
        <w:t>在机械维修的过程中应尽量减少</w:t>
      </w:r>
      <w:r>
        <w:rPr>
          <w:rFonts w:hint="eastAsia" w:ascii="Times New Roman" w:hAnsi="Times New Roman" w:eastAsia="宋体" w:cs="Times New Roman"/>
          <w:color w:val="FF0000"/>
          <w:sz w:val="24"/>
          <w:szCs w:val="24"/>
          <w:shd w:val="clear" w:color="auto" w:fill="FFFFFF"/>
          <w:lang w:eastAsia="zh-CN"/>
        </w:rPr>
        <w:t>“</w:t>
      </w:r>
      <w:r>
        <w:rPr>
          <w:rFonts w:hint="default" w:ascii="Times New Roman" w:hAnsi="Times New Roman" w:eastAsia="宋体" w:cs="Times New Roman"/>
          <w:color w:val="FF0000"/>
          <w:sz w:val="24"/>
          <w:szCs w:val="24"/>
          <w:shd w:val="clear" w:color="auto" w:fill="FFFFFF"/>
        </w:rPr>
        <w:t>跑冒滴漏</w:t>
      </w:r>
      <w:r>
        <w:rPr>
          <w:rFonts w:hint="eastAsia" w:ascii="Times New Roman" w:hAnsi="Times New Roman" w:eastAsia="宋体" w:cs="Times New Roman"/>
          <w:color w:val="FF0000"/>
          <w:sz w:val="24"/>
          <w:szCs w:val="24"/>
          <w:shd w:val="clear" w:color="auto" w:fill="FFFFFF"/>
          <w:lang w:eastAsia="zh-CN"/>
        </w:rPr>
        <w:t>”</w:t>
      </w:r>
      <w:r>
        <w:rPr>
          <w:rFonts w:hint="default" w:ascii="Times New Roman" w:hAnsi="Times New Roman" w:eastAsia="宋体" w:cs="Times New Roman"/>
          <w:color w:val="FF0000"/>
          <w:sz w:val="24"/>
          <w:szCs w:val="24"/>
          <w:shd w:val="clear" w:color="auto" w:fill="FFFFFF"/>
        </w:rPr>
        <w:t>的废机油产生，</w:t>
      </w:r>
      <w:r>
        <w:rPr>
          <w:rFonts w:hint="default" w:ascii="Times New Roman" w:hAnsi="Times New Roman" w:eastAsia="宋体" w:cs="Times New Roman"/>
          <w:color w:val="FF0000"/>
          <w:sz w:val="24"/>
          <w:szCs w:val="24"/>
          <w:shd w:val="clear" w:color="auto" w:fill="FFFFFF"/>
          <w:lang w:val="en-US" w:eastAsia="zh-CN"/>
        </w:rPr>
        <w:t>设危险废物暂存间</w:t>
      </w:r>
      <w:r>
        <w:rPr>
          <w:rFonts w:hint="default" w:ascii="Times New Roman" w:hAnsi="Times New Roman" w:eastAsia="宋体" w:cs="Times New Roman"/>
          <w:color w:val="FF0000"/>
          <w:sz w:val="24"/>
          <w:szCs w:val="24"/>
          <w:shd w:val="clear" w:color="auto" w:fill="FFFFFF"/>
        </w:rPr>
        <w:t>对废机油进行统一管理，交由有资质单位进行处理。</w:t>
      </w:r>
      <w:r>
        <w:rPr>
          <w:rFonts w:hint="default" w:ascii="Times New Roman" w:hAnsi="Times New Roman" w:eastAsia="宋体" w:cs="Times New Roman"/>
          <w:color w:val="FF0000"/>
          <w:sz w:val="24"/>
          <w:szCs w:val="24"/>
          <w:shd w:val="clear" w:color="auto" w:fill="FFFFFF"/>
          <w:lang w:val="en-US" w:eastAsia="zh-CN"/>
        </w:rPr>
        <w:t>废机油在贮存过程中应做好防渗漏工作，防止废机油进入土壤环境。</w:t>
      </w:r>
    </w:p>
    <w:p>
      <w:pPr>
        <w:pageBreakBefore w:val="0"/>
        <w:widowControl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FF0000"/>
          <w:sz w:val="24"/>
          <w:szCs w:val="24"/>
          <w:shd w:val="clear" w:color="auto" w:fill="FFFFFF"/>
          <w:lang w:val="en-US" w:eastAsia="zh-CN"/>
        </w:rPr>
      </w:pPr>
      <w:r>
        <w:rPr>
          <w:rFonts w:hint="default" w:ascii="Times New Roman" w:hAnsi="Times New Roman" w:eastAsia="宋体" w:cs="Times New Roman"/>
          <w:color w:val="FF0000"/>
          <w:sz w:val="24"/>
          <w:szCs w:val="24"/>
          <w:shd w:val="clear" w:color="auto" w:fill="FFFFFF"/>
          <w:lang w:val="en-US" w:eastAsia="zh-CN"/>
        </w:rPr>
        <w:fldChar w:fldCharType="begin"/>
      </w:r>
      <w:r>
        <w:rPr>
          <w:rFonts w:hint="default" w:ascii="Times New Roman" w:hAnsi="Times New Roman" w:eastAsia="宋体" w:cs="Times New Roman"/>
          <w:color w:val="FF0000"/>
          <w:sz w:val="24"/>
          <w:szCs w:val="24"/>
          <w:shd w:val="clear" w:color="auto" w:fill="FFFFFF"/>
          <w:lang w:val="en-US" w:eastAsia="zh-CN"/>
        </w:rPr>
        <w:instrText xml:space="preserve"> = 4 \* GB3 \* MERGEFORMAT </w:instrText>
      </w:r>
      <w:r>
        <w:rPr>
          <w:rFonts w:hint="default" w:ascii="Times New Roman" w:hAnsi="Times New Roman" w:eastAsia="宋体" w:cs="Times New Roman"/>
          <w:color w:val="FF0000"/>
          <w:sz w:val="24"/>
          <w:szCs w:val="24"/>
          <w:shd w:val="clear" w:color="auto" w:fill="FFFFFF"/>
          <w:lang w:val="en-US" w:eastAsia="zh-CN"/>
        </w:rPr>
        <w:fldChar w:fldCharType="separate"/>
      </w:r>
      <w:r>
        <w:rPr>
          <w:rFonts w:hint="default" w:ascii="Times New Roman" w:hAnsi="Times New Roman" w:eastAsia="宋体" w:cs="Times New Roman"/>
          <w:color w:val="FF0000"/>
          <w:sz w:val="24"/>
          <w:szCs w:val="24"/>
        </w:rPr>
        <w:t>④</w:t>
      </w:r>
      <w:r>
        <w:rPr>
          <w:rFonts w:hint="default" w:ascii="Times New Roman" w:hAnsi="Times New Roman" w:eastAsia="宋体" w:cs="Times New Roman"/>
          <w:color w:val="FF0000"/>
          <w:sz w:val="24"/>
          <w:szCs w:val="24"/>
          <w:shd w:val="clear" w:color="auto" w:fill="FFFFFF"/>
          <w:lang w:val="en-US" w:eastAsia="zh-CN"/>
        </w:rPr>
        <w:fldChar w:fldCharType="end"/>
      </w:r>
      <w:r>
        <w:rPr>
          <w:rFonts w:hint="default" w:ascii="Times New Roman" w:hAnsi="Times New Roman" w:eastAsia="宋体" w:cs="Times New Roman"/>
          <w:color w:val="FF0000"/>
          <w:sz w:val="24"/>
          <w:szCs w:val="24"/>
          <w:shd w:val="clear" w:color="auto" w:fill="FFFFFF"/>
        </w:rPr>
        <w:t>生活垃圾应该从源头减少垃圾的产生量，分类进行收集，定期交由环卫部门处理，不得将生活垃圾随手丢于矿区周边的树林。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color w:val="000000" w:themeColor="text1"/>
          <w:sz w:val="24"/>
          <w:szCs w:val="24"/>
          <w:shd w:val="clear" w:color="auto" w:fill="FFFFFF"/>
          <w:lang w:val="en-US" w:eastAsia="zh-CN"/>
        </w:rPr>
      </w:pPr>
      <w:r>
        <w:rPr>
          <w:rFonts w:hint="default" w:ascii="Times New Roman" w:hAnsi="Times New Roman" w:eastAsia="宋体" w:cs="Times New Roman"/>
          <w:color w:val="FF0000"/>
          <w:sz w:val="24"/>
          <w:szCs w:val="24"/>
          <w:shd w:val="clear" w:color="auto" w:fill="FFFFFF"/>
          <w:lang w:val="en-US" w:eastAsia="zh-CN"/>
        </w:rPr>
        <w:fldChar w:fldCharType="begin"/>
      </w:r>
      <w:r>
        <w:rPr>
          <w:rFonts w:hint="default" w:ascii="Times New Roman" w:hAnsi="Times New Roman" w:eastAsia="宋体" w:cs="Times New Roman"/>
          <w:color w:val="FF0000"/>
          <w:sz w:val="24"/>
          <w:szCs w:val="24"/>
          <w:shd w:val="clear" w:color="auto" w:fill="FFFFFF"/>
          <w:lang w:val="en-US" w:eastAsia="zh-CN"/>
        </w:rPr>
        <w:instrText xml:space="preserve"> = 5 \* GB3 \* MERGEFORMAT </w:instrText>
      </w:r>
      <w:r>
        <w:rPr>
          <w:rFonts w:hint="default" w:ascii="Times New Roman" w:hAnsi="Times New Roman" w:eastAsia="宋体" w:cs="Times New Roman"/>
          <w:color w:val="FF0000"/>
          <w:sz w:val="24"/>
          <w:szCs w:val="24"/>
          <w:shd w:val="clear" w:color="auto" w:fill="FFFFFF"/>
          <w:lang w:val="en-US" w:eastAsia="zh-CN"/>
        </w:rPr>
        <w:fldChar w:fldCharType="separate"/>
      </w:r>
      <w:r>
        <w:rPr>
          <w:rFonts w:hint="default" w:ascii="Times New Roman" w:hAnsi="Times New Roman" w:eastAsia="宋体" w:cs="Times New Roman"/>
          <w:color w:val="FF0000"/>
        </w:rPr>
        <w:t>⑤</w:t>
      </w:r>
      <w:r>
        <w:rPr>
          <w:rFonts w:hint="default" w:ascii="Times New Roman" w:hAnsi="Times New Roman" w:eastAsia="宋体" w:cs="Times New Roman"/>
          <w:color w:val="FF0000"/>
          <w:sz w:val="24"/>
          <w:szCs w:val="24"/>
          <w:shd w:val="clear" w:color="auto" w:fill="FFFFFF"/>
          <w:lang w:val="en-US" w:eastAsia="zh-CN"/>
        </w:rPr>
        <w:fldChar w:fldCharType="end"/>
      </w:r>
      <w:r>
        <w:rPr>
          <w:rFonts w:hint="default" w:ascii="Times New Roman" w:hAnsi="Times New Roman" w:eastAsia="宋体" w:cs="Times New Roman"/>
          <w:color w:val="FF0000"/>
          <w:sz w:val="24"/>
          <w:szCs w:val="24"/>
          <w:shd w:val="clear" w:color="auto" w:fill="FFFFFF"/>
          <w:lang w:val="en-US" w:eastAsia="zh-CN"/>
        </w:rPr>
        <w:t>生产废水沉淀池应定期进行检查，防止沉淀池出现裂缝出现渗水现象。生活废水化粪池应定期检查，防止</w:t>
      </w:r>
      <w:r>
        <w:rPr>
          <w:rFonts w:hint="eastAsia" w:ascii="Times New Roman" w:hAnsi="Times New Roman" w:eastAsia="宋体" w:cs="Times New Roman"/>
          <w:color w:val="FF0000"/>
          <w:sz w:val="24"/>
          <w:szCs w:val="24"/>
          <w:shd w:val="clear" w:color="auto" w:fill="FFFFFF"/>
          <w:lang w:eastAsia="zh-CN"/>
        </w:rPr>
        <w:t>“</w:t>
      </w:r>
      <w:r>
        <w:rPr>
          <w:rFonts w:hint="default" w:ascii="Times New Roman" w:hAnsi="Times New Roman" w:eastAsia="宋体" w:cs="Times New Roman"/>
          <w:color w:val="FF0000"/>
          <w:sz w:val="24"/>
          <w:szCs w:val="24"/>
          <w:shd w:val="clear" w:color="auto" w:fill="FFFFFF"/>
        </w:rPr>
        <w:t>跑冒滴漏</w:t>
      </w:r>
      <w:r>
        <w:rPr>
          <w:rFonts w:hint="eastAsia" w:ascii="Times New Roman" w:hAnsi="Times New Roman" w:eastAsia="宋体" w:cs="Times New Roman"/>
          <w:color w:val="FF0000"/>
          <w:sz w:val="24"/>
          <w:szCs w:val="24"/>
          <w:shd w:val="clear" w:color="auto" w:fill="FFFFFF"/>
          <w:lang w:eastAsia="zh-CN"/>
        </w:rPr>
        <w:t>”</w:t>
      </w:r>
      <w:r>
        <w:rPr>
          <w:rFonts w:hint="default" w:ascii="Times New Roman" w:hAnsi="Times New Roman" w:eastAsia="宋体" w:cs="Times New Roman"/>
          <w:color w:val="FF0000"/>
          <w:sz w:val="24"/>
          <w:szCs w:val="24"/>
          <w:shd w:val="clear" w:color="auto" w:fill="FFFFFF"/>
          <w:lang w:val="en-US" w:eastAsia="zh-CN"/>
        </w:rPr>
        <w:t>现象发生。</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ind w:firstLine="480" w:firstLineChars="200"/>
        <w:jc w:val="left"/>
        <w:textAlignment w:val="auto"/>
        <w:rPr>
          <w:sz w:val="24"/>
          <w:szCs w:val="24"/>
        </w:rPr>
      </w:pPr>
      <w:r>
        <w:rPr>
          <w:rFonts w:hint="default" w:ascii="Times New Roman" w:hAnsi="Times New Roman" w:eastAsia="宋体" w:cs="Times New Roman"/>
          <w:b w:val="0"/>
          <w:bCs w:val="0"/>
          <w:color w:val="000000" w:themeColor="text1"/>
          <w:sz w:val="24"/>
          <w:szCs w:val="24"/>
          <w:lang w:val="en-US" w:eastAsia="zh-CN"/>
        </w:rPr>
        <w:t>经过采取以上措施，本项目对土壤环境的影响不大。</w:t>
      </w:r>
    </w:p>
    <w:p>
      <w:pPr>
        <w:pStyle w:val="137"/>
        <w:pageBreakBefore w:val="0"/>
        <w:widowControl w:val="0"/>
        <w:kinsoku/>
        <w:wordWrap/>
        <w:overflowPunct/>
        <w:topLinePunct w:val="0"/>
        <w:autoSpaceDE/>
        <w:autoSpaceDN/>
        <w:bidi w:val="0"/>
        <w:adjustRightInd w:val="0"/>
        <w:snapToGrid w:val="0"/>
        <w:spacing w:line="360" w:lineRule="auto"/>
        <w:ind w:firstLine="482"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土壤环境影响评价自查表</w:t>
      </w:r>
    </w:p>
    <w:bookmarkEnd w:id="796"/>
    <w:p>
      <w:pPr>
        <w:pStyle w:val="60"/>
        <w:spacing w:beforeLines="0" w:afterLines="0"/>
        <w:jc w:val="center"/>
        <w:rPr>
          <w:rFonts w:hint="default"/>
          <w:b/>
          <w:bCs/>
          <w:color w:val="000000" w:themeColor="text1"/>
          <w:sz w:val="21"/>
          <w:szCs w:val="21"/>
        </w:rPr>
      </w:pPr>
      <w:bookmarkStart w:id="797" w:name="_Toc1916"/>
      <w:r>
        <w:rPr>
          <w:rFonts w:hint="default" w:ascii="Times New Roman" w:hAnsi="Times New Roman" w:eastAsia="宋体" w:cs="Times New Roman"/>
          <w:b/>
          <w:bCs/>
          <w:color w:val="000000" w:themeColor="text1"/>
          <w:sz w:val="21"/>
          <w:szCs w:val="21"/>
        </w:rPr>
        <w:t>表</w:t>
      </w:r>
      <w:r>
        <w:rPr>
          <w:rFonts w:hint="eastAsia" w:ascii="Times New Roman" w:eastAsia="宋体" w:cs="Times New Roman"/>
          <w:b/>
          <w:bCs/>
          <w:color w:val="000000" w:themeColor="text1"/>
          <w:sz w:val="21"/>
          <w:szCs w:val="21"/>
          <w:lang w:val="en-US" w:eastAsia="zh-CN"/>
        </w:rPr>
        <w:t>5.2-23</w:t>
      </w:r>
      <w:r>
        <w:rPr>
          <w:rFonts w:hint="default" w:ascii="Times New Roman" w:hAnsi="Times New Roman" w:eastAsia="宋体" w:cs="Times New Roman"/>
          <w:b/>
          <w:bCs/>
          <w:color w:val="000000" w:themeColor="text1"/>
          <w:sz w:val="21"/>
          <w:szCs w:val="21"/>
          <w:lang w:val="en-US" w:eastAsia="zh-CN"/>
        </w:rPr>
        <w:t xml:space="preserve">  </w:t>
      </w:r>
      <w:r>
        <w:rPr>
          <w:rFonts w:hint="default" w:ascii="Times New Roman" w:hAnsi="Times New Roman" w:eastAsia="宋体" w:cs="Times New Roman"/>
          <w:b/>
          <w:bCs/>
          <w:color w:val="000000" w:themeColor="text1"/>
          <w:sz w:val="21"/>
          <w:szCs w:val="21"/>
        </w:rPr>
        <w:t>土壤环境影响评价自查表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411"/>
        <w:gridCol w:w="1622"/>
        <w:gridCol w:w="1365"/>
        <w:gridCol w:w="1500"/>
        <w:gridCol w:w="1263"/>
        <w:gridCol w:w="295"/>
        <w:gridCol w:w="1406"/>
        <w:gridCol w:w="1095"/>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2033" w:type="dxa"/>
            <w:gridSpan w:val="2"/>
            <w:tcBorders>
              <w:tl2br w:val="nil"/>
              <w:tr2bl w:val="nil"/>
            </w:tcBorders>
            <w:noWrap w:val="0"/>
            <w:vAlign w:val="top"/>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工作内容</w:t>
            </w:r>
          </w:p>
        </w:tc>
        <w:tc>
          <w:tcPr>
            <w:tcW w:w="5829" w:type="dxa"/>
            <w:gridSpan w:val="5"/>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完成情况</w:t>
            </w:r>
          </w:p>
        </w:tc>
        <w:tc>
          <w:tcPr>
            <w:tcW w:w="1095"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411"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影响识别</w:t>
            </w: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影响类型</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 xml:space="preserve">污染影响型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；生态影响型 □；两种兼有 □</w:t>
            </w:r>
          </w:p>
        </w:tc>
        <w:tc>
          <w:tcPr>
            <w:tcW w:w="1095" w:type="dxa"/>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3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土地利用类型</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 xml:space="preserve">建设用地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；农用地 □；未利用地 □</w:t>
            </w:r>
          </w:p>
        </w:tc>
        <w:tc>
          <w:tcPr>
            <w:tcW w:w="1095" w:type="dxa"/>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土地利用类型图</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占地规模</w:t>
            </w:r>
          </w:p>
        </w:tc>
        <w:tc>
          <w:tcPr>
            <w:tcW w:w="5829" w:type="dxa"/>
            <w:gridSpan w:val="5"/>
            <w:tcBorders>
              <w:tl2br w:val="nil"/>
              <w:tr2bl w:val="nil"/>
            </w:tcBorders>
            <w:noWrap w:val="0"/>
            <w:vAlign w:val="center"/>
          </w:tcPr>
          <w:p>
            <w:pPr>
              <w:pStyle w:val="60"/>
              <w:spacing w:beforeLines="0" w:afterLine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  </w:t>
            </w:r>
            <w:r>
              <w:rPr>
                <w:rFonts w:hint="default" w:ascii="Times New Roman" w:hAnsi="Times New Roman" w:eastAsia="宋体" w:cs="Times New Roman"/>
                <w:color w:val="000000" w:themeColor="text1"/>
                <w:sz w:val="21"/>
                <w:szCs w:val="21"/>
                <w:lang w:val="en-US" w:eastAsia="zh-CN"/>
              </w:rPr>
              <w:t>14200</w:t>
            </w:r>
            <w:r>
              <w:rPr>
                <w:rFonts w:hint="default" w:ascii="Times New Roman" w:hAnsi="Times New Roman" w:eastAsia="宋体" w:cs="Times New Roman"/>
                <w:color w:val="000000" w:themeColor="text1"/>
                <w:sz w:val="21"/>
                <w:szCs w:val="21"/>
              </w:rPr>
              <w:t xml:space="preserve">  ）hm</w:t>
            </w:r>
            <w:r>
              <w:rPr>
                <w:rFonts w:hint="default" w:ascii="Times New Roman" w:hAnsi="Times New Roman" w:eastAsia="宋体" w:cs="Times New Roman"/>
                <w:color w:val="000000" w:themeColor="text1"/>
                <w:sz w:val="21"/>
                <w:szCs w:val="21"/>
                <w:vertAlign w:val="superscript"/>
              </w:rPr>
              <w:t>2</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敏感目标信息</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敏感目标（   ）、方位（    ）、距离（   ）</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影响途径</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 xml:space="preserve">大气沉降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 xml:space="preserve">；地面漫流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 xml:space="preserve">；垂直入渗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；地下水位 □；其他（</w:t>
            </w:r>
            <w:r>
              <w:rPr>
                <w:rFonts w:hint="eastAsia" w:ascii="宋体" w:eastAsia="宋体" w:cs="宋体"/>
                <w:color w:val="000000" w:themeColor="text1"/>
                <w:sz w:val="21"/>
                <w:szCs w:val="21"/>
                <w:lang w:val="en-US" w:eastAsia="zh-CN"/>
              </w:rPr>
              <w:t>地面沉陷</w:t>
            </w:r>
            <w:r>
              <w:rPr>
                <w:rFonts w:hint="eastAsia" w:ascii="宋体" w:eastAsia="宋体" w:cs="宋体"/>
                <w:color w:val="000000" w:themeColor="text1"/>
                <w:sz w:val="21"/>
                <w:szCs w:val="21"/>
              </w:rPr>
              <w:t>）</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全部污染物</w:t>
            </w:r>
          </w:p>
        </w:tc>
        <w:tc>
          <w:tcPr>
            <w:tcW w:w="5829" w:type="dxa"/>
            <w:gridSpan w:val="5"/>
            <w:tcBorders>
              <w:tl2br w:val="nil"/>
              <w:tr2bl w:val="nil"/>
            </w:tcBorders>
            <w:noWrap w:val="0"/>
            <w:vAlign w:val="top"/>
          </w:tcPr>
          <w:p>
            <w:pPr>
              <w:pStyle w:val="60"/>
              <w:spacing w:beforeLines="0" w:afterLine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颗粒物；</w:t>
            </w:r>
            <w:r>
              <w:rPr>
                <w:rFonts w:hint="default" w:ascii="Times New Roman" w:hAnsi="Times New Roman" w:eastAsia="宋体" w:cs="Times New Roman"/>
                <w:color w:val="000000" w:themeColor="text1"/>
                <w:sz w:val="21"/>
                <w:szCs w:val="21"/>
                <w:lang w:val="en-US" w:eastAsia="zh-CN"/>
              </w:rPr>
              <w:t>SS、COD</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BOD</w:t>
            </w:r>
            <w:r>
              <w:rPr>
                <w:rFonts w:hint="default" w:ascii="Times New Roman" w:hAnsi="Times New Roman" w:eastAsia="宋体" w:cs="Times New Roman"/>
                <w:color w:val="000000" w:themeColor="text1"/>
                <w:sz w:val="21"/>
                <w:szCs w:val="21"/>
                <w:vertAlign w:val="subscript"/>
                <w:lang w:val="en-US" w:eastAsia="zh-CN"/>
              </w:rPr>
              <w:t>5</w:t>
            </w:r>
            <w:r>
              <w:rPr>
                <w:rFonts w:hint="default" w:ascii="Times New Roman" w:hAnsi="Times New Roman" w:eastAsia="宋体" w:cs="Times New Roman"/>
                <w:color w:val="000000" w:themeColor="text1"/>
                <w:sz w:val="21"/>
                <w:szCs w:val="21"/>
                <w:lang w:val="en-US" w:eastAsia="zh-CN"/>
              </w:rPr>
              <w:t>和石油类</w:t>
            </w:r>
            <w:r>
              <w:rPr>
                <w:rFonts w:hint="eastAsia" w:ascii="Times New Roman" w:hAnsi="Times New Roman" w:eastAsia="宋体" w:cs="Times New Roman"/>
                <w:color w:val="000000" w:themeColor="text1"/>
                <w:sz w:val="21"/>
                <w:szCs w:val="21"/>
                <w:lang w:val="en-US" w:eastAsia="zh-CN"/>
              </w:rPr>
              <w:t>等；</w:t>
            </w:r>
            <w:r>
              <w:rPr>
                <w:rFonts w:hint="default" w:ascii="Times New Roman" w:hAnsi="Times New Roman" w:eastAsia="宋体" w:cs="Times New Roman"/>
                <w:color w:val="000000" w:themeColor="text1"/>
                <w:sz w:val="21"/>
                <w:szCs w:val="21"/>
                <w:lang w:val="en-US" w:eastAsia="zh-CN"/>
              </w:rPr>
              <w:t>SS、</w:t>
            </w:r>
            <w:r>
              <w:rPr>
                <w:rFonts w:hint="eastAsia" w:ascii="Times New Roman" w:hAnsi="Times New Roman" w:eastAsia="宋体" w:cs="Times New Roman"/>
                <w:color w:val="000000" w:themeColor="text1"/>
                <w:sz w:val="21"/>
                <w:szCs w:val="21"/>
                <w:lang w:val="en-US" w:eastAsia="zh-CN"/>
              </w:rPr>
              <w:t>钡、砷等少量重金属等；石油烃</w:t>
            </w:r>
            <w:r>
              <w:rPr>
                <w:rFonts w:hint="eastAsia" w:ascii="Times New Roman" w:eastAsia="宋体" w:cs="Times New Roman"/>
                <w:color w:val="000000" w:themeColor="text1"/>
                <w:sz w:val="21"/>
                <w:szCs w:val="21"/>
                <w:lang w:val="en-US" w:eastAsia="zh-CN"/>
              </w:rPr>
              <w:t>。</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特征因子</w:t>
            </w:r>
          </w:p>
        </w:tc>
        <w:tc>
          <w:tcPr>
            <w:tcW w:w="5829" w:type="dxa"/>
            <w:gridSpan w:val="5"/>
            <w:tcBorders>
              <w:tl2br w:val="nil"/>
              <w:tr2bl w:val="nil"/>
            </w:tcBorders>
            <w:noWrap w:val="0"/>
            <w:vAlign w:val="top"/>
          </w:tcPr>
          <w:p>
            <w:pPr>
              <w:pStyle w:val="60"/>
              <w:spacing w:beforeLines="0" w:afterLines="0"/>
              <w:rPr>
                <w:rFonts w:hint="eastAsia" w:eastAsia="华文新魏"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钡</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4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所属土壤环境影响评价项目类别</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default" w:ascii="Times New Roman" w:hAnsi="Times New Roman" w:eastAsia="宋体" w:cs="Times New Roman"/>
                <w:color w:val="000000" w:themeColor="text1"/>
                <w:sz w:val="21"/>
                <w:szCs w:val="21"/>
              </w:rPr>
              <w:t xml:space="preserve">Ⅰ类 □； Ⅱ类 </w:t>
            </w:r>
            <w:r>
              <w:rPr>
                <w:rFonts w:hint="default" w:ascii="Times New Roman" w:hAnsi="Times New Roman" w:eastAsia="宋体" w:cs="Times New Roman"/>
                <w:color w:val="000000" w:themeColor="text1"/>
                <w:sz w:val="21"/>
                <w:szCs w:val="21"/>
              </w:rPr>
              <w:sym w:font="Wingdings 2" w:char="0052"/>
            </w:r>
            <w:r>
              <w:rPr>
                <w:rFonts w:hint="default" w:ascii="Times New Roman" w:hAnsi="Times New Roman" w:eastAsia="宋体" w:cs="Times New Roman"/>
                <w:color w:val="000000" w:themeColor="text1"/>
                <w:sz w:val="21"/>
                <w:szCs w:val="21"/>
              </w:rPr>
              <w:t>； Ⅲ类 □； Ⅳ类 □</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敏感程度</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 xml:space="preserve">敏感 □；较敏感 </w:t>
            </w:r>
            <w:r>
              <w:rPr>
                <w:rFonts w:hint="eastAsia" w:ascii="宋体" w:eastAsia="宋体" w:cs="宋体"/>
                <w:color w:val="000000" w:themeColor="text1"/>
                <w:sz w:val="21"/>
                <w:szCs w:val="21"/>
              </w:rPr>
              <w:sym w:font="Wingdings 2" w:char="00A3"/>
            </w:r>
            <w:r>
              <w:rPr>
                <w:rFonts w:hint="eastAsia" w:ascii="宋体" w:eastAsia="宋体" w:cs="宋体"/>
                <w:color w:val="000000" w:themeColor="text1"/>
                <w:sz w:val="21"/>
                <w:szCs w:val="21"/>
              </w:rPr>
              <w:t xml:space="preserve">；不敏感 </w:t>
            </w:r>
            <w:r>
              <w:rPr>
                <w:rFonts w:hint="eastAsia" w:ascii="宋体" w:eastAsia="宋体" w:cs="宋体"/>
                <w:color w:val="000000" w:themeColor="text1"/>
                <w:sz w:val="21"/>
                <w:szCs w:val="21"/>
              </w:rPr>
              <w:sym w:font="Wingdings 2" w:char="0052"/>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2033" w:type="dxa"/>
            <w:gridSpan w:val="2"/>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评价工作等级</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 xml:space="preserve">一级 □；二级 □；三级 </w:t>
            </w:r>
            <w:r>
              <w:rPr>
                <w:rFonts w:hint="eastAsia" w:ascii="宋体" w:eastAsia="宋体" w:cs="宋体"/>
                <w:color w:val="000000" w:themeColor="text1"/>
                <w:sz w:val="21"/>
                <w:szCs w:val="21"/>
              </w:rPr>
              <w:sym w:font="Wingdings 2" w:char="0052"/>
            </w:r>
          </w:p>
        </w:tc>
        <w:tc>
          <w:tcPr>
            <w:tcW w:w="1095" w:type="dxa"/>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现状调查内容</w:t>
            </w: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资料收集</w:t>
            </w:r>
          </w:p>
        </w:tc>
        <w:tc>
          <w:tcPr>
            <w:tcW w:w="5829" w:type="dxa"/>
            <w:gridSpan w:val="5"/>
            <w:tcBorders>
              <w:tl2br w:val="nil"/>
              <w:tr2bl w:val="nil"/>
            </w:tcBorders>
            <w:noWrap w:val="0"/>
            <w:vAlign w:val="center"/>
          </w:tcPr>
          <w:p>
            <w:pPr>
              <w:pStyle w:val="60"/>
              <w:spacing w:beforeLines="0" w:afterLines="0"/>
              <w:rPr>
                <w:rFonts w:hint="default" w:ascii="宋体" w:hAnsi="Times New Roman" w:eastAsia="宋体" w:cs="宋体"/>
                <w:color w:val="000000" w:themeColor="text1"/>
                <w:sz w:val="21"/>
                <w:szCs w:val="21"/>
              </w:rPr>
            </w:pPr>
            <w:r>
              <w:rPr>
                <w:rFonts w:hint="default" w:ascii="Times New Roman" w:hAnsi="Times New Roman" w:cs="Times New Roman"/>
                <w:color w:val="000000" w:themeColor="text1"/>
                <w:sz w:val="21"/>
                <w:szCs w:val="21"/>
              </w:rPr>
              <w:t>a</w:t>
            </w:r>
            <w:r>
              <w:rPr>
                <w:rFonts w:hint="eastAsia" w:ascii="宋体" w:hAnsi="Times New Roman" w:eastAsia="宋体" w:cs="宋体"/>
                <w:color w:val="000000" w:themeColor="text1"/>
                <w:sz w:val="21"/>
                <w:szCs w:val="21"/>
              </w:rPr>
              <w:t xml:space="preserve">） </w:t>
            </w:r>
            <w:r>
              <w:rPr>
                <w:rFonts w:hint="eastAsia" w:ascii="宋体" w:hAnsi="Times New Roman" w:eastAsia="宋体" w:cs="宋体"/>
                <w:color w:val="000000" w:themeColor="text1"/>
                <w:sz w:val="21"/>
                <w:szCs w:val="21"/>
              </w:rPr>
              <w:sym w:font="Wingdings 2" w:char="0052"/>
            </w:r>
            <w:r>
              <w:rPr>
                <w:rFonts w:hint="eastAsia" w:ascii="宋体" w:hAnsi="Times New Roman" w:eastAsia="宋体" w:cs="宋体"/>
                <w:color w:val="000000" w:themeColor="text1"/>
                <w:sz w:val="21"/>
                <w:szCs w:val="21"/>
              </w:rPr>
              <w:t xml:space="preserve">； </w:t>
            </w:r>
            <w:r>
              <w:rPr>
                <w:rFonts w:hint="default" w:ascii="Times New Roman" w:hAnsi="Times New Roman" w:eastAsia="宋体" w:cs="Times New Roman"/>
                <w:color w:val="000000" w:themeColor="text1"/>
                <w:sz w:val="21"/>
                <w:szCs w:val="21"/>
              </w:rPr>
              <w:t>b</w:t>
            </w:r>
            <w:r>
              <w:rPr>
                <w:rFonts w:hint="eastAsia" w:ascii="宋体" w:hAnsi="Times New Roman" w:eastAsia="宋体" w:cs="宋体"/>
                <w:color w:val="000000" w:themeColor="text1"/>
                <w:sz w:val="21"/>
                <w:szCs w:val="21"/>
              </w:rPr>
              <w:t xml:space="preserve">） </w:t>
            </w:r>
            <w:r>
              <w:rPr>
                <w:rFonts w:hint="eastAsia" w:ascii="宋体" w:hAnsi="Times New Roman" w:eastAsia="宋体" w:cs="宋体"/>
                <w:color w:val="000000" w:themeColor="text1"/>
                <w:sz w:val="21"/>
                <w:szCs w:val="21"/>
              </w:rPr>
              <w:sym w:font="Wingdings 2" w:char="0052"/>
            </w:r>
            <w:r>
              <w:rPr>
                <w:rFonts w:hint="eastAsia" w:ascii="宋体" w:hAnsi="Times New Roman" w:eastAsia="宋体" w:cs="宋体"/>
                <w:color w:val="000000" w:themeColor="text1"/>
                <w:sz w:val="21"/>
                <w:szCs w:val="21"/>
              </w:rPr>
              <w:t xml:space="preserve">； </w:t>
            </w:r>
            <w:r>
              <w:rPr>
                <w:rFonts w:hint="default" w:ascii="Times New Roman" w:hAnsi="Times New Roman" w:eastAsia="宋体" w:cs="Times New Roman"/>
                <w:color w:val="000000" w:themeColor="text1"/>
                <w:sz w:val="21"/>
                <w:szCs w:val="21"/>
              </w:rPr>
              <w:t>c</w:t>
            </w:r>
            <w:r>
              <w:rPr>
                <w:rFonts w:hint="eastAsia" w:ascii="宋体" w:hAnsi="Times New Roman" w:eastAsia="宋体" w:cs="宋体"/>
                <w:color w:val="000000" w:themeColor="text1"/>
                <w:sz w:val="21"/>
                <w:szCs w:val="21"/>
              </w:rPr>
              <w:t>） □； d） □</w:t>
            </w:r>
          </w:p>
        </w:tc>
        <w:tc>
          <w:tcPr>
            <w:tcW w:w="1095" w:type="dxa"/>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理化特性</w:t>
            </w:r>
          </w:p>
        </w:tc>
        <w:tc>
          <w:tcPr>
            <w:tcW w:w="5829" w:type="dxa"/>
            <w:gridSpan w:val="5"/>
            <w:tcBorders>
              <w:tl2br w:val="nil"/>
              <w:tr2bl w:val="nil"/>
            </w:tcBorders>
            <w:noWrap w:val="0"/>
            <w:vAlign w:val="top"/>
          </w:tcPr>
          <w:p>
            <w:pPr>
              <w:pStyle w:val="60"/>
              <w:spacing w:beforeLines="0" w:afterLines="0"/>
              <w:rPr>
                <w:rFonts w:hint="eastAsia"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调查</w:t>
            </w:r>
          </w:p>
        </w:tc>
        <w:tc>
          <w:tcPr>
            <w:tcW w:w="1095" w:type="dxa"/>
            <w:tcBorders>
              <w:tl2br w:val="nil"/>
              <w:tr2bl w:val="nil"/>
            </w:tcBorders>
            <w:noWrap w:val="0"/>
            <w:vAlign w:val="center"/>
          </w:tcPr>
          <w:p>
            <w:pPr>
              <w:pStyle w:val="60"/>
              <w:spacing w:beforeLines="0" w:afterLines="0"/>
              <w:rPr>
                <w:rFonts w:hint="default" w:ascii="Times New Roman" w:hAnsi="Times New Roman" w:eastAsia="宋体" w:cs="Times New Roman"/>
                <w:color w:val="000000" w:themeColor="text1"/>
                <w:sz w:val="21"/>
                <w:szCs w:val="21"/>
              </w:rPr>
            </w:pPr>
            <w:r>
              <w:rPr>
                <w:rFonts w:hint="eastAsia" w:ascii="宋体" w:eastAsia="宋体" w:cs="宋体"/>
                <w:color w:val="000000" w:themeColor="text1"/>
                <w:sz w:val="21"/>
                <w:szCs w:val="21"/>
              </w:rPr>
              <w:t xml:space="preserve">同附录 </w:t>
            </w:r>
            <w:r>
              <w:rPr>
                <w:rFonts w:hint="default" w:ascii="Times New Roman" w:hAnsi="Times New Roman" w:eastAsia="宋体" w:cs="Times New Roman"/>
                <w:color w:val="000000" w:themeColor="text1"/>
                <w:sz w:val="21"/>
                <w:szCs w:val="21"/>
              </w:rPr>
              <w:t>C</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2"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现状监测点位</w:t>
            </w:r>
          </w:p>
        </w:tc>
        <w:tc>
          <w:tcPr>
            <w:tcW w:w="136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c>
          <w:tcPr>
            <w:tcW w:w="1500" w:type="dxa"/>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占地范围内</w:t>
            </w:r>
          </w:p>
        </w:tc>
        <w:tc>
          <w:tcPr>
            <w:tcW w:w="1263"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占地范围外</w:t>
            </w:r>
          </w:p>
        </w:tc>
        <w:tc>
          <w:tcPr>
            <w:tcW w:w="1701" w:type="dxa"/>
            <w:gridSpan w:val="2"/>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深度</w:t>
            </w:r>
          </w:p>
        </w:tc>
        <w:tc>
          <w:tcPr>
            <w:tcW w:w="1095"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点位布置图</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365"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表层样点数</w:t>
            </w:r>
          </w:p>
        </w:tc>
        <w:tc>
          <w:tcPr>
            <w:tcW w:w="1500" w:type="dxa"/>
            <w:tcBorders>
              <w:tl2br w:val="nil"/>
              <w:tr2bl w:val="nil"/>
            </w:tcBorders>
            <w:noWrap w:val="0"/>
            <w:vAlign w:val="center"/>
          </w:tcPr>
          <w:p>
            <w:pPr>
              <w:pStyle w:val="60"/>
              <w:keepNext w:val="0"/>
              <w:keepLines w:val="0"/>
              <w:pageBreakBefore w:val="0"/>
              <w:widowControl w:val="0"/>
              <w:kinsoku/>
              <w:wordWrap/>
              <w:overflowPunct/>
              <w:topLinePunct w:val="0"/>
              <w:autoSpaceDE w:val="0"/>
              <w:autoSpaceDN w:val="0"/>
              <w:bidi w:val="0"/>
              <w:adjustRightInd w:val="0"/>
              <w:snapToGrid w:val="0"/>
              <w:spacing w:beforeLines="0" w:afterLine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6个（K1和K2分别三个）</w:t>
            </w:r>
          </w:p>
        </w:tc>
        <w:tc>
          <w:tcPr>
            <w:tcW w:w="1263" w:type="dxa"/>
            <w:tcBorders>
              <w:tl2br w:val="nil"/>
              <w:tr2bl w:val="nil"/>
            </w:tcBorders>
            <w:noWrap w:val="0"/>
            <w:vAlign w:val="center"/>
          </w:tcPr>
          <w:p>
            <w:pPr>
              <w:pStyle w:val="60"/>
              <w:spacing w:beforeLines="0" w:afterLine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701" w:type="dxa"/>
            <w:gridSpan w:val="2"/>
            <w:tcBorders>
              <w:tl2br w:val="nil"/>
              <w:tr2bl w:val="nil"/>
            </w:tcBorders>
            <w:noWrap w:val="0"/>
            <w:vAlign w:val="center"/>
          </w:tcPr>
          <w:p>
            <w:pPr>
              <w:pStyle w:val="60"/>
              <w:spacing w:beforeLines="0" w:afterLine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w:t>
            </w:r>
            <w:r>
              <w:rPr>
                <w:rFonts w:hint="eastAsia" w:ascii="Times New Roman" w:eastAsia="宋体" w:cs="Times New Roman"/>
                <w:color w:val="000000" w:themeColor="text1"/>
                <w:sz w:val="21"/>
                <w:szCs w:val="21"/>
                <w:lang w:val="en-US" w:eastAsia="zh-CN"/>
              </w:rPr>
              <w:t>2</w:t>
            </w:r>
            <w:r>
              <w:rPr>
                <w:rFonts w:hint="eastAsia" w:ascii="Times New Roman" w:hAnsi="Times New Roman" w:eastAsia="宋体" w:cs="Times New Roman"/>
                <w:color w:val="000000" w:themeColor="text1"/>
                <w:sz w:val="21"/>
                <w:szCs w:val="21"/>
                <w:lang w:val="en-US" w:eastAsia="zh-CN"/>
              </w:rPr>
              <w:t>m</w:t>
            </w:r>
          </w:p>
        </w:tc>
        <w:tc>
          <w:tcPr>
            <w:tcW w:w="1095" w:type="dxa"/>
            <w:vMerge w:val="continue"/>
            <w:tcBorders>
              <w:tl2br w:val="nil"/>
              <w:tr2bl w:val="nil"/>
            </w:tcBorders>
            <w:noWrap w:val="0"/>
            <w:vAlign w:val="center"/>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365"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柱状样点数</w:t>
            </w:r>
          </w:p>
        </w:tc>
        <w:tc>
          <w:tcPr>
            <w:tcW w:w="1500" w:type="dxa"/>
            <w:tcBorders>
              <w:tl2br w:val="nil"/>
              <w:tr2bl w:val="nil"/>
            </w:tcBorders>
            <w:noWrap w:val="0"/>
            <w:vAlign w:val="center"/>
          </w:tcPr>
          <w:p>
            <w:pPr>
              <w:pStyle w:val="60"/>
              <w:spacing w:beforeLines="0" w:afterLine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263" w:type="dxa"/>
            <w:tcBorders>
              <w:tl2br w:val="nil"/>
              <w:tr2bl w:val="nil"/>
            </w:tcBorders>
            <w:noWrap w:val="0"/>
            <w:vAlign w:val="center"/>
          </w:tcPr>
          <w:p>
            <w:pPr>
              <w:pStyle w:val="60"/>
              <w:spacing w:beforeLines="0" w:afterLine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701" w:type="dxa"/>
            <w:gridSpan w:val="2"/>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095" w:type="dxa"/>
            <w:vMerge w:val="continue"/>
            <w:tcBorders>
              <w:tl2br w:val="nil"/>
              <w:tr2bl w:val="nil"/>
            </w:tcBorders>
            <w:noWrap w:val="0"/>
            <w:vAlign w:val="center"/>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现状监测因子</w:t>
            </w:r>
          </w:p>
        </w:tc>
        <w:tc>
          <w:tcPr>
            <w:tcW w:w="5829" w:type="dxa"/>
            <w:gridSpan w:val="5"/>
            <w:tcBorders>
              <w:tl2br w:val="nil"/>
              <w:tr2bl w:val="nil"/>
            </w:tcBorders>
            <w:noWrap w:val="0"/>
            <w:vAlign w:val="top"/>
          </w:tcPr>
          <w:p>
            <w:pPr>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outlineLvl w:val="9"/>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基本监测内容包括GB36600-2018中表1中45项（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基本因子</w:t>
            </w:r>
          </w:p>
          <w:p>
            <w:pPr>
              <w:pStyle w:val="60"/>
              <w:spacing w:beforeLines="0" w:afterLines="0"/>
              <w:ind w:firstLine="420" w:firstLineChars="200"/>
              <w:rPr>
                <w:rFonts w:hint="default" w:cs="Times New Roman"/>
                <w:color w:val="000000" w:themeColor="text1"/>
                <w:sz w:val="21"/>
                <w:szCs w:val="21"/>
              </w:rPr>
            </w:pPr>
            <w:r>
              <w:rPr>
                <w:rFonts w:hint="default" w:ascii="Times New Roman" w:hAnsi="Times New Roman" w:eastAsia="宋体" w:cs="Times New Roman"/>
                <w:color w:val="000000" w:themeColor="text1"/>
                <w:kern w:val="0"/>
                <w:sz w:val="21"/>
                <w:szCs w:val="21"/>
                <w:lang w:val="en-US" w:eastAsia="zh-CN" w:bidi="ar-SA"/>
              </w:rPr>
              <w:t>其他监测因子：石油烃、钡、pH</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现状评价</w:t>
            </w: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评价因子</w:t>
            </w:r>
          </w:p>
        </w:tc>
        <w:tc>
          <w:tcPr>
            <w:tcW w:w="5829" w:type="dxa"/>
            <w:gridSpan w:val="5"/>
            <w:tcBorders>
              <w:tl2br w:val="nil"/>
              <w:tr2bl w:val="nil"/>
            </w:tcBorders>
            <w:noWrap w:val="0"/>
            <w:vAlign w:val="top"/>
          </w:tcPr>
          <w:p>
            <w:pPr>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outlineLvl w:val="9"/>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基本监测内容包括GB36600-2018中表1中45项（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基本因子</w:t>
            </w:r>
          </w:p>
          <w:p>
            <w:pPr>
              <w:pStyle w:val="60"/>
              <w:spacing w:beforeLines="0" w:afterLines="0"/>
              <w:ind w:firstLine="420" w:firstLineChars="200"/>
              <w:rPr>
                <w:rFonts w:hint="default" w:cs="Times New Roman"/>
                <w:color w:val="000000" w:themeColor="text1"/>
                <w:sz w:val="21"/>
                <w:szCs w:val="21"/>
              </w:rPr>
            </w:pPr>
            <w:r>
              <w:rPr>
                <w:rFonts w:hint="default" w:ascii="Times New Roman" w:hAnsi="Times New Roman" w:eastAsia="宋体" w:cs="Times New Roman"/>
                <w:color w:val="000000" w:themeColor="text1"/>
                <w:kern w:val="0"/>
                <w:sz w:val="21"/>
                <w:szCs w:val="21"/>
                <w:lang w:val="en-US" w:eastAsia="zh-CN" w:bidi="ar-SA"/>
              </w:rPr>
              <w:t>其他监测因子：石油烃、钡、pH</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评价标准</w:t>
            </w:r>
          </w:p>
        </w:tc>
        <w:tc>
          <w:tcPr>
            <w:tcW w:w="5829" w:type="dxa"/>
            <w:gridSpan w:val="5"/>
            <w:tcBorders>
              <w:tl2br w:val="nil"/>
              <w:tr2bl w:val="nil"/>
            </w:tcBorders>
            <w:noWrap w:val="0"/>
            <w:vAlign w:val="center"/>
          </w:tcPr>
          <w:p>
            <w:pPr>
              <w:pStyle w:val="60"/>
              <w:spacing w:beforeLines="0" w:afterLines="0"/>
              <w:rPr>
                <w:rFonts w:hint="default" w:ascii="宋体" w:hAnsi="Times New Roman" w:eastAsia="宋体" w:cs="宋体"/>
                <w:color w:val="000000" w:themeColor="text1"/>
                <w:sz w:val="21"/>
                <w:szCs w:val="21"/>
              </w:rPr>
            </w:pPr>
            <w:r>
              <w:rPr>
                <w:rFonts w:hint="default" w:ascii="Times New Roman" w:hAnsi="Times New Roman" w:cs="Times New Roman"/>
                <w:color w:val="000000" w:themeColor="text1"/>
                <w:sz w:val="21"/>
                <w:szCs w:val="21"/>
              </w:rPr>
              <w:t>GB 15618</w:t>
            </w:r>
            <w:r>
              <w:rPr>
                <w:rFonts w:hint="eastAsia" w:ascii="宋体" w:hAnsi="Times New Roman" w:eastAsia="宋体" w:cs="宋体"/>
                <w:color w:val="000000" w:themeColor="text1"/>
                <w:sz w:val="21"/>
                <w:szCs w:val="21"/>
              </w:rPr>
              <w:t xml:space="preserve">□； </w:t>
            </w:r>
            <w:r>
              <w:rPr>
                <w:rFonts w:hint="default" w:ascii="Times New Roman" w:hAnsi="Times New Roman" w:eastAsia="宋体" w:cs="Times New Roman"/>
                <w:color w:val="000000" w:themeColor="text1"/>
                <w:sz w:val="21"/>
                <w:szCs w:val="21"/>
              </w:rPr>
              <w:t>GB 36600</w:t>
            </w:r>
            <w:r>
              <w:rPr>
                <w:rFonts w:hint="eastAsia" w:ascii="宋体" w:hAnsi="Times New Roman" w:eastAsia="宋体" w:cs="宋体"/>
                <w:color w:val="000000" w:themeColor="text1"/>
                <w:sz w:val="21"/>
                <w:szCs w:val="21"/>
              </w:rPr>
              <w:sym w:font="Wingdings 2" w:char="0052"/>
            </w:r>
            <w:r>
              <w:rPr>
                <w:rFonts w:hint="eastAsia" w:ascii="宋体" w:hAnsi="Times New Roman" w:eastAsia="宋体" w:cs="宋体"/>
                <w:color w:val="000000" w:themeColor="text1"/>
                <w:sz w:val="21"/>
                <w:szCs w:val="21"/>
              </w:rPr>
              <w:t xml:space="preserve">；表 </w:t>
            </w:r>
            <w:r>
              <w:rPr>
                <w:rFonts w:hint="default" w:ascii="Times New Roman" w:hAnsi="Times New Roman" w:eastAsia="宋体" w:cs="Times New Roman"/>
                <w:color w:val="000000" w:themeColor="text1"/>
                <w:sz w:val="21"/>
                <w:szCs w:val="21"/>
              </w:rPr>
              <w:t>D.1</w:t>
            </w:r>
            <w:r>
              <w:rPr>
                <w:rFonts w:hint="eastAsia" w:ascii="宋体" w:hAnsi="Times New Roman" w:eastAsia="宋体" w:cs="宋体"/>
                <w:color w:val="000000" w:themeColor="text1"/>
                <w:sz w:val="21"/>
                <w:szCs w:val="21"/>
              </w:rPr>
              <w:t xml:space="preserve">□；表 </w:t>
            </w:r>
            <w:r>
              <w:rPr>
                <w:rFonts w:hint="default" w:ascii="Times New Roman" w:hAnsi="Times New Roman" w:eastAsia="宋体" w:cs="Times New Roman"/>
                <w:color w:val="000000" w:themeColor="text1"/>
                <w:sz w:val="21"/>
                <w:szCs w:val="21"/>
              </w:rPr>
              <w:t>D.2</w:t>
            </w:r>
            <w:r>
              <w:rPr>
                <w:rFonts w:hint="eastAsia" w:ascii="宋体" w:hAnsi="Times New Roman" w:eastAsia="宋体" w:cs="宋体"/>
                <w:color w:val="000000" w:themeColor="text1"/>
                <w:sz w:val="21"/>
                <w:szCs w:val="21"/>
              </w:rPr>
              <w:t>□；其他（   ）</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7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现状评价结论</w:t>
            </w:r>
          </w:p>
        </w:tc>
        <w:tc>
          <w:tcPr>
            <w:tcW w:w="5829" w:type="dxa"/>
            <w:gridSpan w:val="5"/>
            <w:tcBorders>
              <w:tl2br w:val="nil"/>
              <w:tr2bl w:val="nil"/>
            </w:tcBorders>
            <w:noWrap w:val="0"/>
            <w:vAlign w:val="center"/>
          </w:tcPr>
          <w:p>
            <w:pPr>
              <w:pStyle w:val="60"/>
              <w:spacing w:beforeLines="0" w:afterLines="0"/>
              <w:jc w:val="center"/>
              <w:rPr>
                <w:rFonts w:hint="default" w:ascii="Times New Roman" w:hAnsi="Times New Roman" w:eastAsia="宋体" w:cs="Times New Roman"/>
                <w:color w:val="000000" w:themeColor="text1"/>
                <w:sz w:val="21"/>
                <w:szCs w:val="21"/>
                <w:lang w:val="en-US" w:eastAsia="zh-CN"/>
              </w:rPr>
            </w:pPr>
            <w:r>
              <w:rPr>
                <w:rFonts w:hint="eastAsia" w:ascii="宋体" w:eastAsia="宋体" w:cs="宋体"/>
                <w:color w:val="000000" w:themeColor="text1"/>
                <w:sz w:val="21"/>
                <w:szCs w:val="21"/>
                <w:lang w:val="en-US" w:eastAsia="zh-CN"/>
              </w:rPr>
              <w:t>达标</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影响预测</w:t>
            </w: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预测因子</w:t>
            </w:r>
          </w:p>
        </w:tc>
        <w:tc>
          <w:tcPr>
            <w:tcW w:w="5829" w:type="dxa"/>
            <w:gridSpan w:val="5"/>
            <w:tcBorders>
              <w:tl2br w:val="nil"/>
              <w:tr2bl w:val="nil"/>
            </w:tcBorders>
            <w:noWrap w:val="0"/>
            <w:vAlign w:val="top"/>
          </w:tcPr>
          <w:p>
            <w:pPr>
              <w:pStyle w:val="60"/>
              <w:spacing w:beforeLines="0" w:afterLines="0"/>
              <w:rPr>
                <w:rFonts w:hint="eastAsia" w:eastAsia="华文新魏" w:cs="Times New Roman"/>
                <w:color w:val="000000" w:themeColor="text1"/>
                <w:sz w:val="21"/>
                <w:szCs w:val="21"/>
                <w:lang w:val="en-US" w:eastAsia="zh-CN"/>
              </w:rPr>
            </w:pP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预测方法</w:t>
            </w:r>
          </w:p>
        </w:tc>
        <w:tc>
          <w:tcPr>
            <w:tcW w:w="5829" w:type="dxa"/>
            <w:gridSpan w:val="5"/>
            <w:tcBorders>
              <w:tl2br w:val="nil"/>
              <w:tr2bl w:val="nil"/>
            </w:tcBorders>
            <w:noWrap w:val="0"/>
            <w:vAlign w:val="center"/>
          </w:tcPr>
          <w:p>
            <w:pPr>
              <w:pStyle w:val="60"/>
              <w:spacing w:beforeLines="0" w:afterLines="0"/>
              <w:rPr>
                <w:rFonts w:hint="default" w:ascii="宋体" w:hAnsi="Times New Roman" w:eastAsia="宋体" w:cs="宋体"/>
                <w:color w:val="000000" w:themeColor="text1"/>
                <w:sz w:val="21"/>
                <w:szCs w:val="21"/>
              </w:rPr>
            </w:pPr>
            <w:r>
              <w:rPr>
                <w:rFonts w:hint="eastAsia" w:ascii="宋体" w:eastAsia="宋体" w:cs="宋体"/>
                <w:color w:val="000000" w:themeColor="text1"/>
                <w:sz w:val="21"/>
                <w:szCs w:val="21"/>
              </w:rPr>
              <w:t xml:space="preserve">附录 </w:t>
            </w:r>
            <w:r>
              <w:rPr>
                <w:rFonts w:hint="default" w:ascii="Times New Roman" w:hAnsi="Times New Roman" w:eastAsia="宋体" w:cs="Times New Roman"/>
                <w:color w:val="000000" w:themeColor="text1"/>
                <w:sz w:val="21"/>
                <w:szCs w:val="21"/>
              </w:rPr>
              <w:t>E</w:t>
            </w:r>
            <w:r>
              <w:rPr>
                <w:rFonts w:hint="eastAsia" w:ascii="宋体" w:hAnsi="Times New Roman" w:eastAsia="宋体" w:cs="宋体"/>
                <w:color w:val="000000" w:themeColor="text1"/>
                <w:sz w:val="21"/>
                <w:szCs w:val="21"/>
              </w:rPr>
              <w:t xml:space="preserve">□；附录 </w:t>
            </w:r>
            <w:r>
              <w:rPr>
                <w:rFonts w:hint="default" w:ascii="Times New Roman" w:hAnsi="Times New Roman" w:eastAsia="宋体" w:cs="Times New Roman"/>
                <w:color w:val="000000" w:themeColor="text1"/>
                <w:sz w:val="21"/>
                <w:szCs w:val="21"/>
              </w:rPr>
              <w:t>F</w:t>
            </w:r>
            <w:r>
              <w:rPr>
                <w:rFonts w:hint="eastAsia" w:ascii="宋体" w:hAnsi="Times New Roman" w:eastAsia="宋体" w:cs="宋体"/>
                <w:color w:val="000000" w:themeColor="text1"/>
                <w:sz w:val="21"/>
                <w:szCs w:val="21"/>
              </w:rPr>
              <w:sym w:font="Wingdings 2" w:char="00A3"/>
            </w:r>
            <w:r>
              <w:rPr>
                <w:rFonts w:hint="eastAsia" w:ascii="宋体" w:hAnsi="Times New Roman" w:eastAsia="宋体" w:cs="宋体"/>
                <w:color w:val="000000" w:themeColor="text1"/>
                <w:sz w:val="21"/>
                <w:szCs w:val="21"/>
              </w:rPr>
              <w:t>；其他（ ）</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40"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预测分析内容</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影响范围（   ）</w:t>
            </w:r>
          </w:p>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影响程度（   ）</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37" w:hRule="atLeast"/>
          <w:jc w:val="center"/>
        </w:trPr>
        <w:tc>
          <w:tcPr>
            <w:tcW w:w="411"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预测结论</w:t>
            </w:r>
          </w:p>
        </w:tc>
        <w:tc>
          <w:tcPr>
            <w:tcW w:w="5829" w:type="dxa"/>
            <w:gridSpan w:val="5"/>
            <w:tcBorders>
              <w:tl2br w:val="nil"/>
              <w:tr2bl w:val="nil"/>
            </w:tcBorders>
            <w:noWrap w:val="0"/>
            <w:vAlign w:val="center"/>
          </w:tcPr>
          <w:p>
            <w:pPr>
              <w:pStyle w:val="60"/>
              <w:spacing w:beforeLines="0" w:afterLines="0"/>
              <w:rPr>
                <w:rFonts w:hint="default" w:ascii="宋体" w:hAnsi="Times New Roman" w:eastAsia="宋体" w:cs="宋体"/>
                <w:color w:val="000000" w:themeColor="text1"/>
                <w:sz w:val="21"/>
                <w:szCs w:val="21"/>
              </w:rPr>
            </w:pPr>
            <w:r>
              <w:rPr>
                <w:rFonts w:hint="eastAsia" w:ascii="宋体" w:eastAsia="宋体" w:cs="宋体"/>
                <w:color w:val="000000" w:themeColor="text1"/>
                <w:sz w:val="21"/>
                <w:szCs w:val="21"/>
              </w:rPr>
              <w:t xml:space="preserve">达标结论： </w:t>
            </w:r>
            <w:r>
              <w:rPr>
                <w:rFonts w:hint="default" w:ascii="Times New Roman" w:hAnsi="Times New Roman" w:eastAsia="宋体" w:cs="Times New Roman"/>
                <w:color w:val="000000" w:themeColor="text1"/>
                <w:sz w:val="21"/>
                <w:szCs w:val="21"/>
              </w:rPr>
              <w:t>a</w:t>
            </w:r>
            <w:r>
              <w:rPr>
                <w:rFonts w:hint="eastAsia" w:ascii="宋体" w:hAnsi="Times New Roman" w:eastAsia="宋体" w:cs="宋体"/>
                <w:color w:val="000000" w:themeColor="text1"/>
                <w:sz w:val="21"/>
                <w:szCs w:val="21"/>
              </w:rPr>
              <w:t xml:space="preserve">） □； </w:t>
            </w:r>
            <w:r>
              <w:rPr>
                <w:rFonts w:hint="default" w:ascii="Times New Roman" w:hAnsi="Times New Roman" w:eastAsia="宋体" w:cs="Times New Roman"/>
                <w:color w:val="000000" w:themeColor="text1"/>
                <w:sz w:val="21"/>
                <w:szCs w:val="21"/>
              </w:rPr>
              <w:t>b</w:t>
            </w:r>
            <w:r>
              <w:rPr>
                <w:rFonts w:hint="eastAsia" w:ascii="宋体" w:hAnsi="Times New Roman" w:eastAsia="宋体" w:cs="宋体"/>
                <w:color w:val="000000" w:themeColor="text1"/>
                <w:sz w:val="21"/>
                <w:szCs w:val="21"/>
              </w:rPr>
              <w:t xml:space="preserve">） □； </w:t>
            </w:r>
            <w:r>
              <w:rPr>
                <w:rFonts w:hint="default" w:ascii="Times New Roman" w:hAnsi="Times New Roman" w:eastAsia="宋体" w:cs="Times New Roman"/>
                <w:color w:val="000000" w:themeColor="text1"/>
                <w:sz w:val="21"/>
                <w:szCs w:val="21"/>
              </w:rPr>
              <w:t>c</w:t>
            </w:r>
            <w:r>
              <w:rPr>
                <w:rFonts w:hint="eastAsia" w:ascii="宋体" w:hAnsi="Times New Roman" w:eastAsia="宋体" w:cs="宋体"/>
                <w:color w:val="000000" w:themeColor="text1"/>
                <w:sz w:val="21"/>
                <w:szCs w:val="21"/>
              </w:rPr>
              <w:t xml:space="preserve">） □不达标结论： </w:t>
            </w:r>
            <w:r>
              <w:rPr>
                <w:rFonts w:hint="default" w:ascii="Times New Roman" w:hAnsi="Times New Roman" w:eastAsia="宋体" w:cs="Times New Roman"/>
                <w:color w:val="000000" w:themeColor="text1"/>
                <w:sz w:val="21"/>
                <w:szCs w:val="21"/>
              </w:rPr>
              <w:t>a</w:t>
            </w:r>
            <w:r>
              <w:rPr>
                <w:rFonts w:hint="eastAsia" w:ascii="宋体" w:hAnsi="Times New Roman" w:eastAsia="宋体" w:cs="宋体"/>
                <w:color w:val="000000" w:themeColor="text1"/>
                <w:sz w:val="21"/>
                <w:szCs w:val="21"/>
              </w:rPr>
              <w:t xml:space="preserve">） □； </w:t>
            </w:r>
            <w:r>
              <w:rPr>
                <w:rFonts w:hint="default" w:ascii="Times New Roman" w:hAnsi="Times New Roman" w:eastAsia="宋体" w:cs="Times New Roman"/>
                <w:color w:val="000000" w:themeColor="text1"/>
                <w:sz w:val="21"/>
                <w:szCs w:val="21"/>
              </w:rPr>
              <w:t>b</w:t>
            </w:r>
            <w:r>
              <w:rPr>
                <w:rFonts w:hint="eastAsia" w:ascii="宋体" w:hAnsi="Times New Roman" w:eastAsia="宋体" w:cs="宋体"/>
                <w:color w:val="000000" w:themeColor="text1"/>
                <w:sz w:val="21"/>
                <w:szCs w:val="21"/>
              </w:rPr>
              <w:t>） □</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防治措施</w:t>
            </w: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防控措施</w:t>
            </w:r>
          </w:p>
        </w:tc>
        <w:tc>
          <w:tcPr>
            <w:tcW w:w="5829" w:type="dxa"/>
            <w:gridSpan w:val="5"/>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 xml:space="preserve">土壤环境质量现状保障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 xml:space="preserve">；源头控制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 xml:space="preserve">；过程防控 </w:t>
            </w:r>
            <w:r>
              <w:rPr>
                <w:rFonts w:hint="eastAsia" w:ascii="宋体" w:eastAsia="宋体" w:cs="宋体"/>
                <w:color w:val="000000" w:themeColor="text1"/>
                <w:sz w:val="21"/>
                <w:szCs w:val="21"/>
              </w:rPr>
              <w:sym w:font="Wingdings 2" w:char="0052"/>
            </w:r>
            <w:r>
              <w:rPr>
                <w:rFonts w:hint="eastAsia" w:ascii="宋体" w:eastAsia="宋体" w:cs="宋体"/>
                <w:color w:val="000000" w:themeColor="text1"/>
                <w:sz w:val="21"/>
                <w:szCs w:val="21"/>
              </w:rPr>
              <w:t>；其他（）</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411" w:type="dxa"/>
            <w:vMerge w:val="continue"/>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c>
          <w:tcPr>
            <w:tcW w:w="1622" w:type="dxa"/>
            <w:vMerge w:val="restart"/>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跟踪监测</w:t>
            </w:r>
          </w:p>
        </w:tc>
        <w:tc>
          <w:tcPr>
            <w:tcW w:w="2865" w:type="dxa"/>
            <w:gridSpan w:val="2"/>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监测点数</w:t>
            </w:r>
          </w:p>
        </w:tc>
        <w:tc>
          <w:tcPr>
            <w:tcW w:w="1558" w:type="dxa"/>
            <w:gridSpan w:val="2"/>
            <w:tcBorders>
              <w:tl2br w:val="nil"/>
              <w:tr2bl w:val="nil"/>
            </w:tcBorders>
            <w:noWrap w:val="0"/>
            <w:vAlign w:val="center"/>
          </w:tcPr>
          <w:p>
            <w:pPr>
              <w:pStyle w:val="60"/>
              <w:spacing w:beforeLines="0" w:afterLines="0"/>
              <w:rPr>
                <w:rFonts w:hint="default" w:ascii="宋体" w:eastAsia="宋体" w:cs="宋体"/>
                <w:color w:val="000000" w:themeColor="text1"/>
                <w:sz w:val="21"/>
                <w:szCs w:val="21"/>
              </w:rPr>
            </w:pPr>
            <w:r>
              <w:rPr>
                <w:rFonts w:hint="eastAsia" w:ascii="宋体" w:eastAsia="宋体" w:cs="宋体"/>
                <w:color w:val="000000" w:themeColor="text1"/>
                <w:sz w:val="21"/>
                <w:szCs w:val="21"/>
              </w:rPr>
              <w:t>监测指标</w:t>
            </w:r>
          </w:p>
        </w:tc>
        <w:tc>
          <w:tcPr>
            <w:tcW w:w="1406"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监测频次</w:t>
            </w:r>
          </w:p>
        </w:tc>
        <w:tc>
          <w:tcPr>
            <w:tcW w:w="1095" w:type="dxa"/>
            <w:vMerge w:val="restart"/>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25" w:hRule="atLeast"/>
          <w:jc w:val="center"/>
        </w:trPr>
        <w:tc>
          <w:tcPr>
            <w:tcW w:w="411" w:type="dxa"/>
            <w:vMerge w:val="continue"/>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c>
          <w:tcPr>
            <w:tcW w:w="1622" w:type="dxa"/>
            <w:vMerge w:val="continue"/>
            <w:tcBorders>
              <w:tl2br w:val="nil"/>
              <w:tr2bl w:val="nil"/>
            </w:tcBorders>
            <w:noWrap w:val="0"/>
            <w:vAlign w:val="center"/>
          </w:tcPr>
          <w:p>
            <w:pPr>
              <w:pStyle w:val="60"/>
              <w:spacing w:beforeLines="0" w:afterLines="0"/>
              <w:jc w:val="center"/>
              <w:rPr>
                <w:rFonts w:hint="default" w:cs="Times New Roman"/>
                <w:color w:val="000000" w:themeColor="text1"/>
                <w:sz w:val="21"/>
                <w:szCs w:val="21"/>
              </w:rPr>
            </w:pPr>
          </w:p>
        </w:tc>
        <w:tc>
          <w:tcPr>
            <w:tcW w:w="2865" w:type="dxa"/>
            <w:gridSpan w:val="2"/>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c>
          <w:tcPr>
            <w:tcW w:w="1558" w:type="dxa"/>
            <w:gridSpan w:val="2"/>
            <w:tcBorders>
              <w:tl2br w:val="nil"/>
              <w:tr2bl w:val="nil"/>
            </w:tcBorders>
            <w:noWrap w:val="0"/>
            <w:vAlign w:val="top"/>
          </w:tcPr>
          <w:p>
            <w:pPr>
              <w:pStyle w:val="60"/>
              <w:spacing w:beforeLines="0" w:afterLines="0"/>
              <w:rPr>
                <w:rFonts w:hint="default" w:cs="Times New Roman"/>
                <w:color w:val="000000" w:themeColor="text1"/>
                <w:sz w:val="21"/>
                <w:szCs w:val="21"/>
              </w:rPr>
            </w:pPr>
          </w:p>
        </w:tc>
        <w:tc>
          <w:tcPr>
            <w:tcW w:w="1406"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c>
          <w:tcPr>
            <w:tcW w:w="1095" w:type="dxa"/>
            <w:vMerge w:val="continue"/>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411" w:type="dxa"/>
            <w:vMerge w:val="continue"/>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c>
          <w:tcPr>
            <w:tcW w:w="1622" w:type="dxa"/>
            <w:tcBorders>
              <w:tl2br w:val="nil"/>
              <w:tr2bl w:val="nil"/>
            </w:tcBorders>
            <w:noWrap w:val="0"/>
            <w:vAlign w:val="center"/>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信息公开指标</w:t>
            </w:r>
          </w:p>
        </w:tc>
        <w:tc>
          <w:tcPr>
            <w:tcW w:w="5829" w:type="dxa"/>
            <w:gridSpan w:val="5"/>
            <w:tcBorders>
              <w:tl2br w:val="nil"/>
              <w:tr2bl w:val="nil"/>
            </w:tcBorders>
            <w:noWrap w:val="0"/>
            <w:vAlign w:val="top"/>
          </w:tcPr>
          <w:p>
            <w:pPr>
              <w:pStyle w:val="60"/>
              <w:spacing w:beforeLines="0" w:afterLines="0"/>
              <w:rPr>
                <w:rFonts w:hint="default" w:cs="Times New Roman"/>
                <w:color w:val="000000" w:themeColor="text1"/>
                <w:sz w:val="21"/>
                <w:szCs w:val="21"/>
              </w:rPr>
            </w:pPr>
          </w:p>
        </w:tc>
        <w:tc>
          <w:tcPr>
            <w:tcW w:w="1095" w:type="dxa"/>
            <w:vMerge w:val="continue"/>
            <w:tcBorders>
              <w:tl2br w:val="nil"/>
              <w:tr2bl w:val="nil"/>
            </w:tcBorders>
            <w:noWrap w:val="0"/>
            <w:vAlign w:val="top"/>
          </w:tcPr>
          <w:p>
            <w:pPr>
              <w:pStyle w:val="60"/>
              <w:spacing w:beforeLines="0" w:afterLines="0"/>
              <w:jc w:val="center"/>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10" w:hRule="atLeast"/>
          <w:jc w:val="center"/>
        </w:trPr>
        <w:tc>
          <w:tcPr>
            <w:tcW w:w="2033" w:type="dxa"/>
            <w:gridSpan w:val="2"/>
            <w:tcBorders>
              <w:tl2br w:val="nil"/>
              <w:tr2bl w:val="nil"/>
            </w:tcBorders>
            <w:noWrap w:val="0"/>
            <w:vAlign w:val="top"/>
          </w:tcPr>
          <w:p>
            <w:pPr>
              <w:pStyle w:val="60"/>
              <w:spacing w:beforeLines="0" w:afterLines="0"/>
              <w:jc w:val="center"/>
              <w:rPr>
                <w:rFonts w:hint="default" w:ascii="宋体" w:eastAsia="宋体" w:cs="宋体"/>
                <w:color w:val="000000" w:themeColor="text1"/>
                <w:sz w:val="21"/>
                <w:szCs w:val="21"/>
              </w:rPr>
            </w:pPr>
            <w:r>
              <w:rPr>
                <w:rFonts w:hint="eastAsia" w:ascii="宋体" w:eastAsia="宋体" w:cs="宋体"/>
                <w:color w:val="000000" w:themeColor="text1"/>
                <w:sz w:val="21"/>
                <w:szCs w:val="21"/>
              </w:rPr>
              <w:t>评价结论</w:t>
            </w:r>
          </w:p>
        </w:tc>
        <w:tc>
          <w:tcPr>
            <w:tcW w:w="5829" w:type="dxa"/>
            <w:gridSpan w:val="5"/>
            <w:tcBorders>
              <w:tl2br w:val="nil"/>
              <w:tr2bl w:val="nil"/>
            </w:tcBorders>
            <w:noWrap w:val="0"/>
            <w:vAlign w:val="top"/>
          </w:tcPr>
          <w:p>
            <w:pPr>
              <w:pStyle w:val="60"/>
              <w:spacing w:beforeLines="0" w:afterLines="0"/>
              <w:jc w:val="center"/>
              <w:rPr>
                <w:rFonts w:hint="default" w:ascii="宋体" w:eastAsia="宋体" w:cs="宋体"/>
                <w:color w:val="000000" w:themeColor="text1"/>
                <w:sz w:val="21"/>
                <w:szCs w:val="21"/>
                <w:lang w:val="en-US" w:eastAsia="zh-CN"/>
              </w:rPr>
            </w:pPr>
            <w:r>
              <w:rPr>
                <w:rFonts w:hint="eastAsia" w:ascii="宋体" w:eastAsia="宋体" w:cs="宋体"/>
                <w:color w:val="000000" w:themeColor="text1"/>
                <w:sz w:val="21"/>
                <w:szCs w:val="21"/>
                <w:lang w:val="en-US" w:eastAsia="zh-CN"/>
              </w:rPr>
              <w:t>本项目对土壤环境的影响较小</w:t>
            </w:r>
          </w:p>
        </w:tc>
        <w:tc>
          <w:tcPr>
            <w:tcW w:w="1095" w:type="dxa"/>
            <w:tcBorders>
              <w:tl2br w:val="nil"/>
              <w:tr2bl w:val="nil"/>
            </w:tcBorders>
            <w:noWrap w:val="0"/>
            <w:vAlign w:val="top"/>
          </w:tcPr>
          <w:p>
            <w:pPr>
              <w:pStyle w:val="60"/>
              <w:spacing w:beforeLines="0" w:afterLines="0"/>
              <w:rPr>
                <w:rFonts w:hint="default"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22" w:hRule="atLeast"/>
          <w:jc w:val="center"/>
        </w:trPr>
        <w:tc>
          <w:tcPr>
            <w:tcW w:w="8957" w:type="dxa"/>
            <w:gridSpan w:val="8"/>
            <w:tcBorders>
              <w:tl2br w:val="nil"/>
              <w:tr2bl w:val="nil"/>
            </w:tcBorders>
            <w:noWrap w:val="0"/>
            <w:vAlign w:val="top"/>
          </w:tcPr>
          <w:p>
            <w:pPr>
              <w:pStyle w:val="60"/>
              <w:spacing w:beforeLines="0" w:afterLines="0"/>
              <w:ind w:firstLine="420" w:firstLineChars="200"/>
              <w:rPr>
                <w:rFonts w:hint="default" w:ascii="宋体" w:hAnsi="Times New Roman" w:eastAsia="宋体" w:cs="宋体"/>
                <w:color w:val="000000" w:themeColor="text1"/>
                <w:sz w:val="21"/>
                <w:szCs w:val="21"/>
              </w:rPr>
            </w:pPr>
            <w:r>
              <w:rPr>
                <w:rFonts w:hint="eastAsia" w:ascii="宋体" w:eastAsia="宋体" w:cs="宋体"/>
                <w:color w:val="000000" w:themeColor="text1"/>
                <w:sz w:val="21"/>
                <w:szCs w:val="21"/>
              </w:rPr>
              <w:t xml:space="preserve">注 </w:t>
            </w:r>
            <w:r>
              <w:rPr>
                <w:rFonts w:hint="default" w:ascii="Times New Roman" w:hAnsi="Times New Roman" w:eastAsia="宋体" w:cs="Times New Roman"/>
                <w:color w:val="000000" w:themeColor="text1"/>
                <w:sz w:val="21"/>
                <w:szCs w:val="21"/>
              </w:rPr>
              <w:t>1</w:t>
            </w:r>
            <w:r>
              <w:rPr>
                <w:rFonts w:hint="eastAsia" w:ascii="宋体" w:hAnsi="Times New Roman" w:eastAsia="宋体" w:cs="宋体"/>
                <w:color w:val="000000" w:themeColor="text1"/>
                <w:sz w:val="21"/>
                <w:szCs w:val="21"/>
              </w:rPr>
              <w:t xml:space="preserve">： </w:t>
            </w:r>
            <w:r>
              <w:rPr>
                <w:rFonts w:hint="eastAsia" w:ascii="宋体" w:eastAsia="宋体" w:cs="宋体"/>
                <w:color w:val="000000" w:themeColor="text1"/>
                <w:sz w:val="21"/>
                <w:szCs w:val="21"/>
                <w:lang w:eastAsia="zh-CN"/>
              </w:rPr>
              <w:t>“</w:t>
            </w:r>
            <w:r>
              <w:rPr>
                <w:rFonts w:hint="eastAsia" w:ascii="宋体" w:hAnsi="Times New Roman" w:eastAsia="宋体" w:cs="宋体"/>
                <w:color w:val="000000" w:themeColor="text1"/>
                <w:sz w:val="21"/>
                <w:szCs w:val="21"/>
              </w:rPr>
              <w:t>□</w:t>
            </w:r>
            <w:r>
              <w:rPr>
                <w:rFonts w:hint="eastAsia" w:ascii="宋体" w:eastAsia="宋体" w:cs="宋体"/>
                <w:color w:val="000000" w:themeColor="text1"/>
                <w:sz w:val="21"/>
                <w:szCs w:val="21"/>
                <w:lang w:eastAsia="zh-CN"/>
              </w:rPr>
              <w:t>”</w:t>
            </w:r>
            <w:r>
              <w:rPr>
                <w:rFonts w:hint="eastAsia" w:ascii="宋体" w:hAnsi="Times New Roman" w:eastAsia="宋体" w:cs="宋体"/>
                <w:color w:val="000000" w:themeColor="text1"/>
                <w:sz w:val="21"/>
                <w:szCs w:val="21"/>
              </w:rPr>
              <w:t>为勾选项，可 √；</w:t>
            </w:r>
            <w:r>
              <w:rPr>
                <w:rFonts w:hint="eastAsia" w:ascii="宋体" w:eastAsia="宋体" w:cs="宋体"/>
                <w:color w:val="000000" w:themeColor="text1"/>
                <w:sz w:val="21"/>
                <w:szCs w:val="21"/>
                <w:lang w:eastAsia="zh-CN"/>
              </w:rPr>
              <w:t>“</w:t>
            </w:r>
            <w:r>
              <w:rPr>
                <w:rFonts w:hint="eastAsia" w:ascii="宋体" w:hAnsi="Times New Roman" w:eastAsia="宋体" w:cs="宋体"/>
                <w:color w:val="000000" w:themeColor="text1"/>
                <w:sz w:val="21"/>
                <w:szCs w:val="21"/>
              </w:rPr>
              <w:t>（）</w:t>
            </w:r>
            <w:r>
              <w:rPr>
                <w:rFonts w:hint="eastAsia" w:ascii="宋体" w:eastAsia="宋体" w:cs="宋体"/>
                <w:color w:val="000000" w:themeColor="text1"/>
                <w:sz w:val="21"/>
                <w:szCs w:val="21"/>
                <w:lang w:eastAsia="zh-CN"/>
              </w:rPr>
              <w:t>”</w:t>
            </w:r>
            <w:r>
              <w:rPr>
                <w:rFonts w:hint="eastAsia" w:ascii="宋体" w:hAnsi="Times New Roman" w:eastAsia="宋体" w:cs="宋体"/>
                <w:color w:val="000000" w:themeColor="text1"/>
                <w:sz w:val="21"/>
                <w:szCs w:val="21"/>
              </w:rPr>
              <w:t>为内容填写项；</w:t>
            </w:r>
            <w:r>
              <w:rPr>
                <w:rFonts w:hint="eastAsia" w:ascii="宋体" w:eastAsia="宋体" w:cs="宋体"/>
                <w:color w:val="000000" w:themeColor="text1"/>
                <w:sz w:val="21"/>
                <w:szCs w:val="21"/>
                <w:lang w:eastAsia="zh-CN"/>
              </w:rPr>
              <w:t>“</w:t>
            </w:r>
            <w:r>
              <w:rPr>
                <w:rFonts w:hint="eastAsia" w:ascii="宋体" w:hAnsi="Times New Roman" w:eastAsia="宋体" w:cs="宋体"/>
                <w:color w:val="000000" w:themeColor="text1"/>
                <w:sz w:val="21"/>
                <w:szCs w:val="21"/>
              </w:rPr>
              <w:t>备注</w:t>
            </w:r>
            <w:r>
              <w:rPr>
                <w:rFonts w:hint="eastAsia" w:ascii="宋体" w:eastAsia="宋体" w:cs="宋体"/>
                <w:color w:val="000000" w:themeColor="text1"/>
                <w:sz w:val="21"/>
                <w:szCs w:val="21"/>
                <w:lang w:eastAsia="zh-CN"/>
              </w:rPr>
              <w:t>”</w:t>
            </w:r>
            <w:r>
              <w:rPr>
                <w:rFonts w:hint="eastAsia" w:ascii="宋体" w:hAnsi="Times New Roman" w:eastAsia="宋体" w:cs="宋体"/>
                <w:color w:val="000000" w:themeColor="text1"/>
                <w:sz w:val="21"/>
                <w:szCs w:val="21"/>
              </w:rPr>
              <w:t>为其他补充内容。</w:t>
            </w:r>
          </w:p>
          <w:p>
            <w:pPr>
              <w:pStyle w:val="60"/>
              <w:spacing w:beforeLines="0" w:afterLines="0"/>
              <w:ind w:firstLine="420" w:firstLineChars="200"/>
              <w:rPr>
                <w:rFonts w:hint="default" w:cs="Times New Roman"/>
                <w:color w:val="000000" w:themeColor="text1"/>
                <w:sz w:val="21"/>
                <w:szCs w:val="21"/>
              </w:rPr>
            </w:pPr>
            <w:r>
              <w:rPr>
                <w:rFonts w:hint="eastAsia" w:ascii="宋体" w:hAnsi="Times New Roman" w:eastAsia="宋体" w:cs="宋体"/>
                <w:color w:val="000000" w:themeColor="text1"/>
                <w:sz w:val="21"/>
                <w:szCs w:val="21"/>
              </w:rPr>
              <w:t xml:space="preserve">注 </w:t>
            </w:r>
            <w:r>
              <w:rPr>
                <w:rFonts w:hint="default" w:ascii="Times New Roman" w:hAnsi="Times New Roman" w:eastAsia="宋体" w:cs="Times New Roman"/>
                <w:color w:val="000000" w:themeColor="text1"/>
                <w:sz w:val="21"/>
                <w:szCs w:val="21"/>
              </w:rPr>
              <w:t>2</w:t>
            </w:r>
            <w:r>
              <w:rPr>
                <w:rFonts w:hint="eastAsia" w:ascii="宋体" w:hAnsi="Times New Roman" w:eastAsia="宋体" w:cs="宋体"/>
                <w:color w:val="000000" w:themeColor="text1"/>
                <w:sz w:val="21"/>
                <w:szCs w:val="21"/>
              </w:rPr>
              <w:t>：需要分别开展土壤环境影响评级工作的，分别填写自查表。</w:t>
            </w:r>
          </w:p>
        </w:tc>
      </w:tr>
    </w:tbl>
    <w:p>
      <w:pPr>
        <w:pStyle w:val="5"/>
        <w:keepNext w:val="0"/>
        <w:keepLines w:val="0"/>
        <w:pageBreakBefore w:val="0"/>
        <w:widowControl w:val="0"/>
        <w:kinsoku/>
        <w:wordWrap/>
        <w:overflowPunct/>
        <w:topLinePunct w:val="0"/>
        <w:autoSpaceDE/>
        <w:autoSpaceDN/>
        <w:bidi w:val="0"/>
        <w:textAlignment w:val="auto"/>
        <w:rPr>
          <w:rFonts w:hint="default"/>
          <w:color w:val="000000" w:themeColor="text1"/>
          <w:lang w:val="en-US" w:eastAsia="zh-CN"/>
        </w:rPr>
      </w:pPr>
      <w:bookmarkStart w:id="798" w:name="_Toc7328"/>
      <w:r>
        <w:rPr>
          <w:rFonts w:hint="default"/>
          <w:color w:val="000000" w:themeColor="text1"/>
          <w:lang w:val="en-US" w:eastAsia="zh-CN"/>
        </w:rPr>
        <w:t>运营期生态环境影响</w:t>
      </w:r>
      <w:bookmarkEnd w:id="797"/>
      <w:bookmarkEnd w:id="798"/>
    </w:p>
    <w:p>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FF0000"/>
          <w:sz w:val="24"/>
          <w:szCs w:val="24"/>
        </w:rPr>
        <w:t>5.</w:t>
      </w:r>
      <w:r>
        <w:rPr>
          <w:rFonts w:hint="eastAsia" w:ascii="Times New Roman" w:hAnsi="Times New Roman" w:eastAsia="宋体" w:cs="Times New Roman"/>
          <w:b w:val="0"/>
          <w:bCs w:val="0"/>
          <w:color w:val="FF0000"/>
          <w:sz w:val="24"/>
          <w:szCs w:val="24"/>
          <w:lang w:val="en-US" w:eastAsia="zh-CN"/>
        </w:rPr>
        <w:t>2.7</w:t>
      </w:r>
      <w:r>
        <w:rPr>
          <w:rFonts w:hint="default" w:ascii="Times New Roman" w:hAnsi="Times New Roman" w:eastAsia="宋体" w:cs="Times New Roman"/>
          <w:b w:val="0"/>
          <w:bCs w:val="0"/>
          <w:color w:val="FF0000"/>
          <w:sz w:val="24"/>
          <w:szCs w:val="24"/>
        </w:rPr>
        <w:t>.1 对植被资源的影响</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b w:val="0"/>
          <w:bCs w:val="0"/>
          <w:color w:val="FF0000"/>
          <w:sz w:val="24"/>
          <w:szCs w:val="24"/>
          <w:lang w:val="en-US" w:eastAsia="zh-CN"/>
        </w:rPr>
      </w:pPr>
      <w:bookmarkStart w:id="799" w:name="_Toc28100"/>
      <w:r>
        <w:rPr>
          <w:rFonts w:hint="eastAsia" w:ascii="Times New Roman" w:hAnsi="Times New Roman" w:eastAsia="宋体" w:cs="Times New Roman"/>
          <w:b w:val="0"/>
          <w:bCs w:val="0"/>
          <w:color w:val="FF0000"/>
          <w:kern w:val="2"/>
          <w:sz w:val="24"/>
          <w:szCs w:val="24"/>
          <w:lang w:val="en-US" w:eastAsia="zh-CN" w:bidi="ar-SA"/>
        </w:rPr>
        <w:t>本项目运营期对现有废石场进行植被恢复，可逐渐减少现有项目采矿废石堆放对植被的压占影响，运营期不会对植被有压占、挖损等行为，本项目运行期地下水涌水较少，为季节性涌水，对植被的影响不大。</w:t>
      </w:r>
      <w:r>
        <w:rPr>
          <w:rFonts w:hint="default" w:ascii="Times New Roman" w:hAnsi="Times New Roman" w:eastAsia="宋体" w:cs="Times New Roman"/>
          <w:b w:val="0"/>
          <w:bCs w:val="0"/>
          <w:color w:val="FF0000"/>
          <w:kern w:val="2"/>
          <w:sz w:val="24"/>
          <w:szCs w:val="24"/>
          <w:lang w:val="en-US" w:eastAsia="zh-CN" w:bidi="ar-SA"/>
        </w:rPr>
        <w:t>本项目占地面积相对较小，施工结束后按照</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rPr>
        <w:t>旬阳县赤岩镇水磨河口构皮沟毒重石矿</w:t>
      </w:r>
      <w:r>
        <w:rPr>
          <w:rFonts w:hint="default" w:ascii="Times New Roman" w:hAnsi="Times New Roman" w:eastAsia="宋体" w:cs="Times New Roman"/>
          <w:b w:val="0"/>
          <w:bCs w:val="0"/>
          <w:color w:val="FF0000"/>
          <w:sz w:val="24"/>
          <w:szCs w:val="24"/>
          <w:lang w:val="en-US" w:eastAsia="zh-CN"/>
        </w:rPr>
        <w:t>水保方案报告表》和《旬阳县赤岩镇水磨沟口构皮沟毒重石矿矿山地质环境保护与土地复垦方案》对占用的土地进行复垦，本项目剩余的运行期为5.3年，运行期相对较短，对植被的影响较小。</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5.2.7.2 对公益林的影响</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项目矿区范围林地无国家公益林，存在地方公益林，为地方一般公益林、一般商品林，工程占地不涉及基本农田，建设单位应按照《中华人民共和国土地管理法》、《森林法》等法律、行政法规，依法征得用地手续。</w:t>
      </w:r>
      <w:r>
        <w:rPr>
          <w:rFonts w:hint="eastAsia" w:ascii="Times New Roman" w:hAnsi="Times New Roman" w:eastAsia="宋体" w:cs="Times New Roman"/>
          <w:b w:val="0"/>
          <w:bCs w:val="0"/>
          <w:color w:val="FF0000"/>
          <w:kern w:val="2"/>
          <w:sz w:val="24"/>
          <w:szCs w:val="24"/>
          <w:lang w:val="en-US" w:eastAsia="zh-CN" w:bidi="ar-SA"/>
        </w:rPr>
        <w:t>由于本工程具有地下工程量大、地面工程量小的显著特点，对植被的影响主要为临时堆矿场、矿山道路及采矿工业场地等地表工程。现状调查，工程占地区植被类型以阔叶林为主，树种包括山杨、椿树、杉树等，无野生保护植物。由于本次工程建设期的地表植被剥离和压占面积较小，因此不会对当地植物群落的种类组成产生影响，也不会造成植物物种的消失，总体看来工程对当地植被的影响较小。</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 xml:space="preserve">5.2.7.3 </w:t>
      </w:r>
      <w:r>
        <w:rPr>
          <w:rFonts w:hint="default" w:ascii="Times New Roman" w:hAnsi="Times New Roman" w:eastAsia="宋体" w:cs="Times New Roman"/>
          <w:b w:val="0"/>
          <w:bCs w:val="0"/>
          <w:color w:val="000000" w:themeColor="text1"/>
          <w:kern w:val="2"/>
          <w:sz w:val="24"/>
          <w:szCs w:val="24"/>
          <w:lang w:val="en-US" w:eastAsia="zh-CN" w:bidi="ar-SA"/>
        </w:rPr>
        <w:t>对动物资源的影响</w:t>
      </w:r>
      <w:bookmarkEnd w:id="799"/>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 xml:space="preserve">生产期矿区植被的破坏、采矿噪声的影响、生产人员的活动等，将会引起鸟类、兽类等野生动物的迁移，此外运输车辆的运输噪声及粉尘，也将对野生动物产生不利影响。根据现状调查，生产活动主要在采区，采区内动物多为常见的小型野生动物，没有国家、省级重点保护物种。 </w:t>
      </w:r>
      <w:r>
        <w:rPr>
          <w:rFonts w:hint="eastAsia" w:ascii="Times New Roman" w:hAnsi="Times New Roman" w:eastAsia="宋体" w:cs="Times New Roman"/>
          <w:b w:val="0"/>
          <w:bCs w:val="0"/>
          <w:color w:val="000000" w:themeColor="text1"/>
          <w:kern w:val="2"/>
          <w:sz w:val="24"/>
          <w:szCs w:val="24"/>
          <w:lang w:val="en-US" w:eastAsia="zh-CN" w:bidi="ar-SA"/>
        </w:rPr>
        <w:t>环评采取的措施有：</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kern w:val="2"/>
          <w:sz w:val="24"/>
          <w:szCs w:val="24"/>
          <w:lang w:val="en-US" w:eastAsia="zh-CN" w:bidi="ar-SA"/>
        </w:rPr>
        <w:t>对风机和空压机产生的噪声从源头进行控制，对风机设置消声器、对风机加装消声器，通过治理后的噪声小于</w:t>
      </w:r>
      <w:r>
        <w:rPr>
          <w:rFonts w:hint="eastAsia" w:ascii="Times New Roman" w:hAnsi="Times New Roman" w:eastAsia="宋体" w:cs="Times New Roman"/>
          <w:b w:val="0"/>
          <w:bCs w:val="0"/>
          <w:color w:val="000000" w:themeColor="text1"/>
          <w:kern w:val="2"/>
          <w:sz w:val="24"/>
          <w:szCs w:val="24"/>
          <w:lang w:val="en-US" w:eastAsia="zh-CN" w:bidi="ar-SA"/>
        </w:rPr>
        <w:t>80</w:t>
      </w:r>
      <w:r>
        <w:rPr>
          <w:rFonts w:hint="default" w:ascii="Times New Roman" w:hAnsi="Times New Roman" w:eastAsia="宋体" w:cs="Times New Roman"/>
          <w:b w:val="0"/>
          <w:bCs w:val="0"/>
          <w:color w:val="000000" w:themeColor="text1"/>
          <w:kern w:val="2"/>
          <w:sz w:val="24"/>
          <w:szCs w:val="24"/>
          <w:lang w:val="en-US" w:eastAsia="zh-CN" w:bidi="ar-SA"/>
        </w:rPr>
        <w:t>dB(A)，通过距离衰减再加上山体阻隔，周边自然植被丰富，对噪声有一定的衰减作用</w:t>
      </w:r>
      <w:r>
        <w:rPr>
          <w:rFonts w:hint="eastAsia" w:ascii="Times New Roman" w:hAnsi="Times New Roman" w:eastAsia="宋体" w:cs="Times New Roman"/>
          <w:b w:val="0"/>
          <w:bCs w:val="0"/>
          <w:color w:val="000000" w:themeColor="text1"/>
          <w:kern w:val="2"/>
          <w:sz w:val="24"/>
          <w:szCs w:val="24"/>
          <w:lang w:val="en-US" w:eastAsia="zh-CN" w:bidi="ar-SA"/>
        </w:rPr>
        <w:t>，对野生动物的影响较小。</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color w:val="000000" w:themeColor="text1"/>
          <w:sz w:val="24"/>
          <w:szCs w:val="24"/>
          <w:lang w:val="en-US" w:eastAsia="zh-CN"/>
        </w:rPr>
        <w:t>运</w:t>
      </w:r>
      <w:r>
        <w:rPr>
          <w:rFonts w:hint="eastAsia" w:ascii="Times New Roman" w:hAnsi="Times New Roman" w:eastAsia="宋体" w:cs="Times New Roman"/>
          <w:color w:val="000000" w:themeColor="text1"/>
          <w:sz w:val="24"/>
          <w:szCs w:val="24"/>
          <w:lang w:val="en-US" w:eastAsia="zh-CN"/>
        </w:rPr>
        <w:t>矿车辆减速慢行，禁止鸣笛，减少噪声排放。</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通过采取以上治理措施，项目的运行对野生</w:t>
      </w:r>
      <w:r>
        <w:rPr>
          <w:rFonts w:hint="default" w:ascii="Times New Roman" w:hAnsi="Times New Roman" w:eastAsia="宋体" w:cs="Times New Roman"/>
          <w:b w:val="0"/>
          <w:bCs w:val="0"/>
          <w:color w:val="000000" w:themeColor="text1"/>
          <w:kern w:val="2"/>
          <w:sz w:val="24"/>
          <w:szCs w:val="24"/>
          <w:lang w:val="en-US" w:eastAsia="zh-CN" w:bidi="ar-SA"/>
        </w:rPr>
        <w:t>动物的影响</w:t>
      </w:r>
      <w:r>
        <w:rPr>
          <w:rFonts w:hint="eastAsia" w:ascii="Times New Roman" w:hAnsi="Times New Roman" w:eastAsia="宋体" w:cs="Times New Roman"/>
          <w:b w:val="0"/>
          <w:bCs w:val="0"/>
          <w:color w:val="000000" w:themeColor="text1"/>
          <w:kern w:val="2"/>
          <w:sz w:val="24"/>
          <w:szCs w:val="24"/>
          <w:lang w:val="en-US" w:eastAsia="zh-CN" w:bidi="ar-SA"/>
        </w:rPr>
        <w:t>较小</w:t>
      </w:r>
      <w:r>
        <w:rPr>
          <w:rFonts w:hint="default" w:ascii="Times New Roman" w:hAnsi="Times New Roman" w:eastAsia="宋体" w:cs="Times New Roman"/>
          <w:b w:val="0"/>
          <w:bCs w:val="0"/>
          <w:color w:val="000000" w:themeColor="text1"/>
          <w:kern w:val="2"/>
          <w:sz w:val="24"/>
          <w:szCs w:val="24"/>
          <w:lang w:val="en-US" w:eastAsia="zh-CN" w:bidi="ar-SA"/>
        </w:rPr>
        <w:t>。</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bookmarkStart w:id="800" w:name="_Toc8796"/>
      <w:r>
        <w:rPr>
          <w:rFonts w:hint="eastAsia" w:ascii="Times New Roman" w:hAnsi="Times New Roman" w:eastAsia="宋体" w:cs="Times New Roman"/>
          <w:b w:val="0"/>
          <w:bCs w:val="0"/>
          <w:color w:val="000000" w:themeColor="text1"/>
          <w:kern w:val="2"/>
          <w:sz w:val="24"/>
          <w:szCs w:val="24"/>
          <w:lang w:val="en-US" w:eastAsia="zh-CN" w:bidi="ar-SA"/>
        </w:rPr>
        <w:t xml:space="preserve">5.2.7.4  </w:t>
      </w:r>
      <w:r>
        <w:rPr>
          <w:rFonts w:hint="default" w:ascii="Times New Roman" w:hAnsi="Times New Roman" w:eastAsia="宋体" w:cs="Times New Roman"/>
          <w:b w:val="0"/>
          <w:bCs w:val="0"/>
          <w:color w:val="000000" w:themeColor="text1"/>
          <w:kern w:val="2"/>
          <w:sz w:val="24"/>
          <w:szCs w:val="24"/>
          <w:lang w:val="en-US" w:eastAsia="zh-CN" w:bidi="ar-SA"/>
        </w:rPr>
        <w:t>水土流失的影响</w:t>
      </w:r>
      <w:bookmarkEnd w:id="800"/>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本项目占地范围相对较小，进矿道路基本上沿着现有的土路进行修建，为了满足工程需要，扩建项目需要将原有的土路修整为水泥路，修正之后的水泥路路面和路基结实，不会因为降雨而引起水土流失。本项目的所有的工业场地均已硬化，不会引起水土流失。本项目运营期废石和矿石均临时贮存在堆棚中，不会因为降雨的冲刷而引起水土流失。运营期容易引起水土流失的区域主要为运输道路的边坡、工业场地的边坡、废石场等区域。</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运营期采取的措施有：</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kern w:val="2"/>
          <w:sz w:val="24"/>
          <w:szCs w:val="24"/>
          <w:lang w:val="en-US" w:eastAsia="zh-CN" w:bidi="ar-SA"/>
        </w:rPr>
        <w:t>本项目对工业场地和矿区道路进行硬化。</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kern w:val="2"/>
          <w:sz w:val="24"/>
          <w:szCs w:val="24"/>
          <w:lang w:val="en-US" w:eastAsia="zh-CN" w:bidi="ar-SA"/>
        </w:rPr>
        <w:t>裸露的区域</w:t>
      </w:r>
      <w:r>
        <w:rPr>
          <w:rFonts w:hint="eastAsia" w:ascii="Times New Roman" w:hAnsi="Times New Roman" w:eastAsia="宋体" w:cs="Times New Roman"/>
          <w:b w:val="0"/>
          <w:bCs w:val="0"/>
          <w:color w:val="000000" w:themeColor="text1"/>
          <w:kern w:val="2"/>
          <w:sz w:val="24"/>
          <w:szCs w:val="24"/>
          <w:lang w:val="en-US" w:eastAsia="zh-CN" w:bidi="ar-SA"/>
        </w:rPr>
        <w:t>，如废石场、边坡等，</w:t>
      </w:r>
      <w:r>
        <w:rPr>
          <w:rFonts w:hint="default" w:ascii="Times New Roman" w:hAnsi="Times New Roman" w:eastAsia="宋体" w:cs="Times New Roman"/>
          <w:b w:val="0"/>
          <w:bCs w:val="0"/>
          <w:color w:val="000000" w:themeColor="text1"/>
          <w:kern w:val="2"/>
          <w:sz w:val="24"/>
          <w:szCs w:val="24"/>
          <w:lang w:val="en-US" w:eastAsia="zh-CN" w:bidi="ar-SA"/>
        </w:rPr>
        <w:t>全部绿化，减少水土流失的可能。</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fldChar w:fldCharType="begin"/>
      </w:r>
      <w:r>
        <w:rPr>
          <w:rFonts w:hint="default" w:ascii="Times New Roman" w:hAnsi="Times New Roman" w:eastAsia="宋体" w:cs="Times New Roman"/>
          <w:b w:val="0"/>
          <w:bCs w:val="0"/>
          <w:color w:val="000000" w:themeColor="text1"/>
          <w:kern w:val="2"/>
          <w:sz w:val="24"/>
          <w:szCs w:val="24"/>
          <w:lang w:val="en-US" w:eastAsia="zh-CN" w:bidi="ar-SA"/>
        </w:rPr>
        <w:instrText xml:space="preserve"> = 3 \* GB3 \* MERGEFORMAT </w:instrText>
      </w:r>
      <w:r>
        <w:rPr>
          <w:rFonts w:hint="default" w:ascii="Times New Roman" w:hAnsi="Times New Roman" w:eastAsia="宋体" w:cs="Times New Roman"/>
          <w:b w:val="0"/>
          <w:bCs w:val="0"/>
          <w:color w:val="000000" w:themeColor="text1"/>
          <w:kern w:val="2"/>
          <w:sz w:val="24"/>
          <w:szCs w:val="24"/>
          <w:lang w:val="en-US" w:eastAsia="zh-CN" w:bidi="ar-SA"/>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b w:val="0"/>
          <w:bCs w:val="0"/>
          <w:color w:val="000000" w:themeColor="text1"/>
          <w:kern w:val="2"/>
          <w:sz w:val="24"/>
          <w:szCs w:val="24"/>
          <w:lang w:val="en-US" w:eastAsia="zh-CN" w:bidi="ar-SA"/>
        </w:rPr>
        <w:fldChar w:fldCharType="end"/>
      </w:r>
      <w:r>
        <w:rPr>
          <w:rFonts w:hint="default" w:ascii="Times New Roman" w:hAnsi="Times New Roman" w:eastAsia="宋体" w:cs="Times New Roman"/>
          <w:b w:val="0"/>
          <w:bCs w:val="0"/>
          <w:color w:val="000000" w:themeColor="text1"/>
          <w:kern w:val="2"/>
          <w:sz w:val="24"/>
          <w:szCs w:val="24"/>
          <w:lang w:val="en-US" w:eastAsia="zh-CN" w:bidi="ar-SA"/>
        </w:rPr>
        <w:t>定期</w:t>
      </w:r>
      <w:r>
        <w:rPr>
          <w:rFonts w:hint="eastAsia" w:ascii="Times New Roman" w:hAnsi="Times New Roman" w:eastAsia="宋体" w:cs="Times New Roman"/>
          <w:b w:val="0"/>
          <w:bCs w:val="0"/>
          <w:color w:val="000000" w:themeColor="text1"/>
          <w:kern w:val="2"/>
          <w:sz w:val="24"/>
          <w:szCs w:val="24"/>
          <w:lang w:val="en-US" w:eastAsia="zh-CN" w:bidi="ar-SA"/>
        </w:rPr>
        <w:t>对不稳定的区域进行巡视，如现有废石场、进场道路、截排水沟，边坡等区域有裂缝、坍塌、沉陷等现象，及时进行封堵、修复、加固，防止暴雨天大雨冲刷引起水土流失和地质灾害。</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通过采取以上措施，可有效防止本项目引起的水土流失问题，不违背</w:t>
      </w:r>
      <w:r>
        <w:rPr>
          <w:rFonts w:hint="default" w:ascii="Times New Roman" w:hAnsi="Times New Roman" w:eastAsia="宋体" w:cs="Times New Roman"/>
          <w:color w:val="000000" w:themeColor="text1"/>
          <w:sz w:val="24"/>
          <w:szCs w:val="24"/>
          <w:vertAlign w:val="baseline"/>
          <w:lang w:val="en-US" w:eastAsia="zh-CN"/>
        </w:rPr>
        <w:t>水土流失生态保护红线区</w:t>
      </w:r>
      <w:r>
        <w:rPr>
          <w:rFonts w:hint="eastAsia" w:ascii="Times New Roman" w:hAnsi="Times New Roman" w:eastAsia="宋体" w:cs="Times New Roman"/>
          <w:color w:val="000000" w:themeColor="text1"/>
          <w:sz w:val="24"/>
          <w:szCs w:val="24"/>
          <w:vertAlign w:val="baseline"/>
          <w:lang w:val="en-US" w:eastAsia="zh-CN"/>
        </w:rPr>
        <w:t>管控要求，因此本项目</w:t>
      </w:r>
      <w:r>
        <w:rPr>
          <w:rFonts w:hint="eastAsia" w:ascii="Times New Roman" w:hAnsi="Times New Roman" w:eastAsia="宋体" w:cs="Times New Roman"/>
          <w:b w:val="0"/>
          <w:bCs w:val="0"/>
          <w:color w:val="000000" w:themeColor="text1"/>
          <w:kern w:val="2"/>
          <w:sz w:val="24"/>
          <w:szCs w:val="24"/>
          <w:lang w:val="en-US" w:eastAsia="zh-CN" w:bidi="ar-SA"/>
        </w:rPr>
        <w:t>不会加剧当地水土流失现状。</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bookmarkStart w:id="801" w:name="_Toc22652"/>
      <w:r>
        <w:rPr>
          <w:rFonts w:hint="eastAsia" w:ascii="Times New Roman" w:hAnsi="Times New Roman" w:eastAsia="宋体" w:cs="Times New Roman"/>
          <w:b w:val="0"/>
          <w:bCs w:val="0"/>
          <w:color w:val="000000" w:themeColor="text1"/>
          <w:kern w:val="2"/>
          <w:sz w:val="24"/>
          <w:szCs w:val="24"/>
          <w:lang w:val="en-US" w:eastAsia="zh-CN" w:bidi="ar-SA"/>
        </w:rPr>
        <w:t xml:space="preserve">5.2.7.5 </w:t>
      </w:r>
      <w:r>
        <w:rPr>
          <w:rFonts w:hint="default" w:ascii="Times New Roman" w:hAnsi="Times New Roman" w:eastAsia="宋体" w:cs="Times New Roman"/>
          <w:b w:val="0"/>
          <w:bCs w:val="0"/>
          <w:color w:val="000000" w:themeColor="text1"/>
          <w:kern w:val="2"/>
          <w:sz w:val="24"/>
          <w:szCs w:val="24"/>
          <w:lang w:val="en-US" w:eastAsia="zh-CN" w:bidi="ar-SA"/>
        </w:rPr>
        <w:t>景观生态影响分析</w:t>
      </w:r>
      <w:bookmarkEnd w:id="801"/>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（1）景观功能根据</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陕西省生态功能区划》，本工程所在区域属于秦巴山地落叶阔叶、常绿阔叶混交林生态区～汉江两岸丘陵盆地农业生态亚区～汉江两岸低山丘陵土壤侵蚀控制区，该区属于农业区，土壤侵蚀敏感。生态保护对策为合理规划利用土地，加强坡地水土保持施，发展经济林、薪炭林和水土保持林，提高林木覆盖率，控制水土流失。</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（2）景观格局的影响</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矿区现为中低山地区，所采矿山均为高度适宜的中低山峰，植被生长季节表现为绵延起伏的绿色山峦。矿山开采将造成局部区域绿色植被受损、岩石裸露，沟内改为矿山工业景观。由于矿区开发范围面积较小，采用地下开采方式，因此不会影响评价区整体景观生态格局。工程采矿工业场地、</w:t>
      </w:r>
      <w:r>
        <w:rPr>
          <w:rFonts w:hint="eastAsia" w:ascii="Times New Roman" w:hAnsi="Times New Roman" w:eastAsia="宋体" w:cs="Times New Roman"/>
          <w:b w:val="0"/>
          <w:bCs w:val="0"/>
          <w:color w:val="000000" w:themeColor="text1"/>
          <w:kern w:val="2"/>
          <w:sz w:val="24"/>
          <w:szCs w:val="24"/>
          <w:lang w:val="en-US" w:eastAsia="zh-CN" w:bidi="ar-SA"/>
        </w:rPr>
        <w:t>现有工程</w:t>
      </w:r>
      <w:r>
        <w:rPr>
          <w:rFonts w:hint="default" w:ascii="Times New Roman" w:hAnsi="Times New Roman" w:eastAsia="宋体" w:cs="Times New Roman"/>
          <w:b w:val="0"/>
          <w:bCs w:val="0"/>
          <w:color w:val="000000" w:themeColor="text1"/>
          <w:kern w:val="2"/>
          <w:sz w:val="24"/>
          <w:szCs w:val="24"/>
          <w:lang w:val="en-US" w:eastAsia="zh-CN" w:bidi="ar-SA"/>
        </w:rPr>
        <w:t>废石场等建设地点均不在交通干线可视范围内，对景观影响</w:t>
      </w:r>
      <w:r>
        <w:rPr>
          <w:rFonts w:hint="eastAsia" w:ascii="Times New Roman" w:hAnsi="Times New Roman" w:eastAsia="宋体" w:cs="Times New Roman"/>
          <w:b w:val="0"/>
          <w:bCs w:val="0"/>
          <w:color w:val="000000" w:themeColor="text1"/>
          <w:kern w:val="2"/>
          <w:sz w:val="24"/>
          <w:szCs w:val="24"/>
          <w:lang w:val="en-US" w:eastAsia="zh-CN" w:bidi="ar-SA"/>
        </w:rPr>
        <w:t>较小</w:t>
      </w:r>
      <w:r>
        <w:rPr>
          <w:rFonts w:hint="default" w:ascii="Times New Roman" w:hAnsi="Times New Roman" w:eastAsia="宋体" w:cs="Times New Roman"/>
          <w:b w:val="0"/>
          <w:bCs w:val="0"/>
          <w:color w:val="000000" w:themeColor="text1"/>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（3）</w:t>
      </w:r>
      <w:r>
        <w:rPr>
          <w:rFonts w:hint="default" w:ascii="Times New Roman" w:hAnsi="Times New Roman" w:eastAsia="宋体" w:cs="Times New Roman"/>
          <w:b w:val="0"/>
          <w:bCs w:val="0"/>
          <w:color w:val="000000" w:themeColor="text1"/>
          <w:kern w:val="2"/>
          <w:sz w:val="24"/>
          <w:szCs w:val="24"/>
          <w:lang w:val="en-US" w:eastAsia="zh-CN" w:bidi="ar-SA"/>
        </w:rPr>
        <w:t>生态功能的影响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虽然矿山开采对矿区局部绿色景观有一定的影响，但由于其为地下开采，地表可见的仅为工业场地、</w:t>
      </w:r>
      <w:r>
        <w:rPr>
          <w:rFonts w:hint="eastAsia" w:ascii="Times New Roman" w:hAnsi="Times New Roman" w:eastAsia="宋体" w:cs="Times New Roman"/>
          <w:b w:val="0"/>
          <w:bCs w:val="0"/>
          <w:color w:val="000000" w:themeColor="text1"/>
          <w:kern w:val="2"/>
          <w:sz w:val="24"/>
          <w:szCs w:val="24"/>
          <w:lang w:val="en-US" w:eastAsia="zh-CN" w:bidi="ar-SA"/>
        </w:rPr>
        <w:t>矿区道路</w:t>
      </w:r>
      <w:r>
        <w:rPr>
          <w:rFonts w:hint="default" w:ascii="Times New Roman" w:hAnsi="Times New Roman" w:eastAsia="宋体" w:cs="Times New Roman"/>
          <w:b w:val="0"/>
          <w:bCs w:val="0"/>
          <w:color w:val="000000" w:themeColor="text1"/>
          <w:kern w:val="2"/>
          <w:sz w:val="24"/>
          <w:szCs w:val="24"/>
          <w:lang w:val="en-US" w:eastAsia="zh-CN" w:bidi="ar-SA"/>
        </w:rPr>
        <w:t>等，占地面积有限，不会改变当地的景观格局，占地生态功能在经过恢复治理后，在一定程度上对原有的生态功能进行了补偿，总体看来，对矿区的景观和生态功能影响较小。</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000000" w:themeColor="text1"/>
          <w:kern w:val="2"/>
          <w:sz w:val="24"/>
          <w:szCs w:val="24"/>
          <w:lang w:val="en-US" w:eastAsia="zh-CN" w:bidi="ar-SA"/>
        </w:rPr>
      </w:pPr>
      <w:bookmarkStart w:id="802" w:name="_Toc5776"/>
      <w:r>
        <w:rPr>
          <w:rFonts w:hint="eastAsia" w:ascii="Times New Roman" w:hAnsi="Times New Roman" w:eastAsia="宋体" w:cs="Times New Roman"/>
          <w:b w:val="0"/>
          <w:bCs w:val="0"/>
          <w:color w:val="000000" w:themeColor="text1"/>
          <w:kern w:val="2"/>
          <w:sz w:val="24"/>
          <w:szCs w:val="24"/>
          <w:lang w:val="en-US" w:eastAsia="zh-CN" w:bidi="ar-SA"/>
        </w:rPr>
        <w:t xml:space="preserve">5.2.7.6  </w:t>
      </w:r>
      <w:r>
        <w:rPr>
          <w:rFonts w:hint="default" w:ascii="Times New Roman" w:hAnsi="Times New Roman" w:eastAsia="宋体" w:cs="Times New Roman"/>
          <w:b w:val="0"/>
          <w:bCs w:val="0"/>
          <w:color w:val="000000" w:themeColor="text1"/>
          <w:kern w:val="2"/>
          <w:sz w:val="24"/>
          <w:szCs w:val="24"/>
          <w:lang w:val="en-US" w:eastAsia="zh-CN" w:bidi="ar-SA"/>
        </w:rPr>
        <w:t>地表错动影响分析</w:t>
      </w:r>
      <w:bookmarkEnd w:id="802"/>
    </w:p>
    <w:p>
      <w:pPr>
        <w:pStyle w:val="60"/>
        <w:snapToGrid w:val="0"/>
        <w:spacing w:line="360" w:lineRule="auto"/>
        <w:ind w:firstLine="480" w:firstLineChars="200"/>
        <w:rPr>
          <w:rFonts w:hint="default" w:ascii="Times New Roman" w:hAnsi="Times New Roman" w:eastAsia="宋体" w:cs="Times New Roman"/>
          <w:color w:val="000000" w:themeColor="text1"/>
          <w:sz w:val="24"/>
          <w:szCs w:val="24"/>
          <w:shd w:val="clear" w:color="auto" w:fill="FFFFFF"/>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HYPERLINK "https://baike.so.com/doc/432796-458282.html" \t "https://baike.so.com/doc/_blank" </w:instrText>
      </w:r>
      <w:r>
        <w:rPr>
          <w:rFonts w:hint="default" w:ascii="Times New Roman" w:hAnsi="Times New Roman" w:eastAsia="宋体" w:cs="Times New Roman"/>
          <w:color w:val="000000" w:themeColor="text1"/>
          <w:sz w:val="24"/>
          <w:szCs w:val="24"/>
        </w:rPr>
        <w:fldChar w:fldCharType="separate"/>
      </w:r>
      <w:r>
        <w:rPr>
          <w:rStyle w:val="35"/>
          <w:rFonts w:hint="default" w:ascii="Times New Roman" w:hAnsi="Times New Roman" w:eastAsia="宋体" w:cs="Times New Roman"/>
          <w:color w:val="000000" w:themeColor="text1"/>
          <w:sz w:val="24"/>
          <w:szCs w:val="24"/>
          <w:u w:val="none"/>
          <w:shd w:val="clear" w:color="auto" w:fill="FFFFFF"/>
        </w:rPr>
        <w:t>矿石</w:t>
      </w:r>
      <w:r>
        <w:rPr>
          <w:rStyle w:val="35"/>
          <w:rFonts w:hint="default" w:ascii="Times New Roman" w:hAnsi="Times New Roman" w:eastAsia="宋体" w:cs="Times New Roman"/>
          <w:color w:val="000000" w:themeColor="text1"/>
          <w:sz w:val="24"/>
          <w:szCs w:val="24"/>
          <w:u w:val="none"/>
          <w:shd w:val="clear" w:color="auto" w:fill="FFFFFF"/>
        </w:rPr>
        <w:fldChar w:fldCharType="end"/>
      </w:r>
      <w:r>
        <w:rPr>
          <w:rFonts w:hint="default" w:ascii="Times New Roman" w:hAnsi="Times New Roman" w:eastAsia="宋体" w:cs="Times New Roman"/>
          <w:color w:val="000000" w:themeColor="text1"/>
          <w:sz w:val="24"/>
          <w:szCs w:val="24"/>
          <w:shd w:val="clear" w:color="auto" w:fill="FFFFFF"/>
        </w:rPr>
        <w:t>采出后，围岩应力释放的关系，将在围岩表部形成一个松动圈。其上方岩石在自重作用下，内部应力超过岩石的强度极限而破裂、垮落。在采空区不充填或部分充填的情况下，顶板岩石一般都会垮落。由于垮落岩石体积膨胀，垮落区不可能无止境地向上发展。岩石垮落的范围称为垮落带。垮落带高度随着矿层厚度增加而增大，层愈薄，垮落的高度愈小。当矿体埋藏深度较浅时跨落带可以直达地表，从而形成塌陷坑。本项目采用地下开采方式，随着矿山的开采，矿体由上至下逐步采空，采空区上方岩石失去支撑，将会陷落、变形，在采空区上方形成岩移区。</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shd w:val="clear" w:color="auto" w:fill="FFFFFF"/>
          <w:lang w:val="en-US" w:eastAsia="zh-CN"/>
        </w:rPr>
      </w:pPr>
      <w:r>
        <w:rPr>
          <w:rFonts w:hint="eastAsia" w:ascii="Times New Roman" w:eastAsia="宋体" w:cs="Times New Roman"/>
          <w:color w:val="000000" w:themeColor="text1"/>
          <w:sz w:val="24"/>
          <w:szCs w:val="24"/>
          <w:shd w:val="clear" w:color="auto" w:fill="FFFFFF"/>
          <w:lang w:val="en-US" w:eastAsia="zh-CN"/>
        </w:rPr>
        <w:t>根据《旬阳县赤岩镇水磨河口毒重石矿矿山地质环境保护与土地复垦方案》确定本项目的岩石移动范围为旬阳县构皮沟毒重石矿矿体 K1、K2 矿体厚度小—中等，埋藏较浅，平均倾</w:t>
      </w:r>
      <w:r>
        <w:rPr>
          <w:rFonts w:hint="default" w:ascii="Times New Roman" w:hAnsi="Times New Roman" w:eastAsia="宋体" w:cs="Times New Roman"/>
          <w:color w:val="000000" w:themeColor="text1"/>
          <w:sz w:val="24"/>
          <w:szCs w:val="24"/>
          <w:shd w:val="clear" w:color="auto" w:fill="FFFFFF"/>
          <w:lang w:val="en-US" w:eastAsia="zh-CN"/>
        </w:rPr>
        <w:t>角为50~53°，为都倾斜矿体，因此，崩落范围较小。崩落范围的确定：K1、K2 矿体的上下盘围岩以含炭石英岩、硅质板岩为主，岩石坚固性系数 f=8，为中等稳固致密岩石，上盘岩石移动角β=60°，崩落角β1 =65°；下盘岩石移动角γ=65°，崩落角γ 1 =65°，侧翼岩石移动角δ=75°，崩落角δ 1 =80°，</w:t>
      </w:r>
      <w:r>
        <w:rPr>
          <w:rFonts w:hint="eastAsia" w:ascii="Times New Roman" w:eastAsia="宋体" w:cs="Times New Roman"/>
          <w:color w:val="000000" w:themeColor="text1"/>
          <w:sz w:val="24"/>
          <w:szCs w:val="24"/>
          <w:shd w:val="clear" w:color="auto" w:fill="FFFFFF"/>
          <w:lang w:val="en-US" w:eastAsia="zh-CN"/>
        </w:rPr>
        <w:t>据此圈定岩石崩落的范围。</w:t>
      </w:r>
    </w:p>
    <w:p>
      <w:pPr>
        <w:pStyle w:val="1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FF0000"/>
          <w:kern w:val="2"/>
          <w:sz w:val="24"/>
          <w:szCs w:val="24"/>
          <w:lang w:val="en-US" w:eastAsia="zh-CN" w:bidi="ar-SA"/>
        </w:rPr>
      </w:pPr>
      <w:r>
        <w:rPr>
          <w:rFonts w:hint="eastAsia" w:ascii="Times New Roman" w:hAnsi="Times New Roman" w:eastAsia="宋体" w:cs="Times New Roman"/>
          <w:b w:val="0"/>
          <w:bCs w:val="0"/>
          <w:color w:val="FF0000"/>
          <w:kern w:val="2"/>
          <w:sz w:val="24"/>
          <w:szCs w:val="24"/>
          <w:lang w:val="en-US" w:eastAsia="zh-CN" w:bidi="ar-SA"/>
        </w:rPr>
        <w:t>根据本项目的矿山地质环境保护与土地复垦方案可知：矿区主要出露地层为寒武一志留系地层，毒重石矿体顶底板围岩主要为炭质硅岩，岩石总厚度小，受区域地质作用影响，节理发育，一般较破碎。按照“采空区在走向上崩落外扩范围=(采空区边界地表标高-采空区边界标高)</w:t>
      </w:r>
      <w:r>
        <w:rPr>
          <w:rFonts w:hint="default" w:ascii="Arial" w:hAnsi="Arial" w:eastAsia="宋体" w:cs="Arial"/>
          <w:b w:val="0"/>
          <w:bCs w:val="0"/>
          <w:color w:val="FF0000"/>
          <w:kern w:val="2"/>
          <w:sz w:val="24"/>
          <w:szCs w:val="24"/>
          <w:lang w:val="en-US" w:eastAsia="zh-CN" w:bidi="ar-SA"/>
        </w:rPr>
        <w:t>×</w:t>
      </w:r>
      <w:r>
        <w:rPr>
          <w:rFonts w:hint="eastAsia" w:ascii="Times New Roman" w:hAnsi="Times New Roman" w:eastAsia="宋体" w:cs="Times New Roman"/>
          <w:b w:val="0"/>
          <w:bCs w:val="0"/>
          <w:color w:val="FF0000"/>
          <w:kern w:val="2"/>
          <w:sz w:val="24"/>
          <w:szCs w:val="24"/>
          <w:lang w:val="en-US" w:eastAsia="zh-CN" w:bidi="ar-SA"/>
        </w:rPr>
        <w:t>t</w:t>
      </w:r>
      <w:r>
        <w:rPr>
          <w:rFonts w:hint="default" w:ascii="Times New Roman" w:hAnsi="Times New Roman" w:eastAsia="宋体" w:cs="Times New Roman"/>
          <w:b w:val="0"/>
          <w:bCs w:val="0"/>
          <w:color w:val="FF0000"/>
          <w:kern w:val="2"/>
          <w:sz w:val="24"/>
          <w:szCs w:val="24"/>
          <w:lang w:val="en-US" w:eastAsia="zh-CN" w:bidi="ar-SA"/>
        </w:rPr>
        <w:t>anβ、采空区在倾向向崩落外扩范围=(采空区边界地表标高-采空区边界标高)×tanδ</w:t>
      </w:r>
      <w:r>
        <w:rPr>
          <w:rFonts w:hint="eastAsia" w:ascii="Times New Roman" w:hAnsi="Times New Roman" w:eastAsia="宋体" w:cs="Times New Roman"/>
          <w:b w:val="0"/>
          <w:bCs w:val="0"/>
          <w:color w:val="FF0000"/>
          <w:kern w:val="2"/>
          <w:sz w:val="24"/>
          <w:szCs w:val="24"/>
          <w:lang w:val="en-US" w:eastAsia="zh-CN" w:bidi="ar-SA"/>
        </w:rPr>
        <w:t>”原理，根据矿体赋存条件，结合K1、K2矿体上下盘岩石性质，确定上盘岩石移动角为</w:t>
      </w:r>
      <w:r>
        <w:rPr>
          <w:rFonts w:hint="default" w:ascii="Times New Roman" w:hAnsi="Times New Roman" w:eastAsia="宋体" w:cs="Times New Roman"/>
          <w:b w:val="0"/>
          <w:bCs w:val="0"/>
          <w:color w:val="FF0000"/>
          <w:kern w:val="2"/>
          <w:sz w:val="24"/>
          <w:szCs w:val="24"/>
          <w:lang w:val="en-US" w:eastAsia="zh-CN" w:bidi="ar-SA"/>
        </w:rPr>
        <w:t>60°，下盘岩石移动角为65°，</w:t>
      </w:r>
      <w:r>
        <w:rPr>
          <w:rFonts w:hint="eastAsia" w:ascii="Times New Roman" w:hAnsi="Times New Roman" w:eastAsia="宋体" w:cs="Times New Roman"/>
          <w:b w:val="0"/>
          <w:bCs w:val="0"/>
          <w:color w:val="FF0000"/>
          <w:kern w:val="2"/>
          <w:sz w:val="24"/>
          <w:szCs w:val="24"/>
          <w:lang w:val="en-US" w:eastAsia="zh-CN" w:bidi="ar-SA"/>
        </w:rPr>
        <w:t>圈定地下开采地表岩石移动范围。经计算，地下开采岩石移动范围面积约0.68hm</w:t>
      </w:r>
      <w:r>
        <w:rPr>
          <w:rFonts w:hint="eastAsia" w:ascii="Times New Roman" w:hAnsi="Times New Roman" w:eastAsia="宋体" w:cs="Times New Roman"/>
          <w:b w:val="0"/>
          <w:bCs w:val="0"/>
          <w:color w:val="FF0000"/>
          <w:kern w:val="2"/>
          <w:sz w:val="24"/>
          <w:szCs w:val="24"/>
          <w:vertAlign w:val="superscript"/>
          <w:lang w:val="en-US" w:eastAsia="zh-CN" w:bidi="ar-SA"/>
        </w:rPr>
        <w:t>2</w:t>
      </w:r>
      <w:r>
        <w:rPr>
          <w:rFonts w:hint="eastAsia" w:ascii="Times New Roman" w:hAnsi="Times New Roman" w:eastAsia="宋体" w:cs="Times New Roman"/>
          <w:b w:val="0"/>
          <w:bCs w:val="0"/>
          <w:color w:val="FF0000"/>
          <w:kern w:val="2"/>
          <w:sz w:val="24"/>
          <w:szCs w:val="24"/>
          <w:lang w:val="en-US" w:eastAsia="zh-CN" w:bidi="ar-SA"/>
        </w:rPr>
        <w:t>、0.46hm</w:t>
      </w:r>
      <w:r>
        <w:rPr>
          <w:rFonts w:hint="eastAsia" w:ascii="Times New Roman" w:hAnsi="Times New Roman" w:eastAsia="宋体" w:cs="Times New Roman"/>
          <w:b w:val="0"/>
          <w:bCs w:val="0"/>
          <w:color w:val="FF0000"/>
          <w:kern w:val="2"/>
          <w:sz w:val="24"/>
          <w:szCs w:val="24"/>
          <w:vertAlign w:val="superscript"/>
          <w:lang w:val="en-US" w:eastAsia="zh-CN" w:bidi="ar-SA"/>
        </w:rPr>
        <w:t>2</w:t>
      </w:r>
      <w:r>
        <w:rPr>
          <w:rFonts w:hint="eastAsia" w:ascii="Times New Roman" w:hAnsi="Times New Roman" w:eastAsia="宋体" w:cs="Times New Roman"/>
          <w:b w:val="0"/>
          <w:bCs w:val="0"/>
          <w:color w:val="FF0000"/>
          <w:kern w:val="2"/>
          <w:sz w:val="24"/>
          <w:szCs w:val="24"/>
          <w:lang w:val="en-US" w:eastAsia="zh-CN" w:bidi="ar-SA"/>
        </w:rPr>
        <w:t>。</w:t>
      </w:r>
    </w:p>
    <w:p>
      <w:pPr>
        <w:pStyle w:val="118"/>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val="0"/>
          <w:color w:val="FF0000"/>
          <w:kern w:val="2"/>
          <w:sz w:val="24"/>
          <w:szCs w:val="24"/>
          <w:lang w:val="en-US" w:eastAsia="zh-CN" w:bidi="ar-SA"/>
        </w:rPr>
      </w:pPr>
      <w:r>
        <w:rPr>
          <w:rFonts w:hint="default" w:ascii="Times New Roman" w:hAnsi="Times New Roman" w:eastAsia="宋体" w:cs="Times New Roman"/>
          <w:b w:val="0"/>
          <w:bCs w:val="0"/>
          <w:color w:val="FF0000"/>
          <w:kern w:val="2"/>
          <w:sz w:val="24"/>
          <w:szCs w:val="24"/>
          <w:lang w:val="en-US" w:eastAsia="zh-CN" w:bidi="ar-SA"/>
        </w:rPr>
        <w:t>在矿山采掘过程当中，不断的开挖会破坏原有的地质结构，形成一定的采矿空间，破坏了原有应力平衡状态。采空区在受到外力干扰的情况下，采空区地面很容易形成塌陷区域和地裂缝。《陕西省旬阳县赤岩镇水磨河口构皮沟毒重石矿矿产资源开发利用方案》中提出理选择采矿方法和工艺、合理布置开采工作面、采取井下充填法等措施，来减少地表下沉。运用土地复垦技术和建筑物抗采动变形技术，对开采沉陷破坏的土地进行整治和利用。井下采矿施工，应严格按照设计的矿块开采方案进行，留足合理的保安矿柱，施工中坚持敲帮问顶的工作制度，及时处理松动的天板，确保矿块安全回采。采场凿岩爆破后，用高压水冲洗顶底板，及时清除两帮松动的浮石，切实做好敲帮问顶工作；加强采场内照明，配备专职安全员检查和处理顶板。硐、平巷及各类硐室，均据围岩强度、性质、及构造（节理）发育程度与施工质量和工程使用与保留时间分别进行喷支、砼支架、木支护等支护，确保井下作业与其他人员的安全。严格按照开发利用方案中提出的措施，该项目地表错动造成的生态环境影响在可控范围内。矿山年开采区域无居民居住，无直接威胁对象，危害程度小，危险性小。</w:t>
      </w:r>
      <w:r>
        <w:rPr>
          <w:rFonts w:hint="eastAsia" w:ascii="Times New Roman" w:hAnsi="Times New Roman" w:eastAsia="宋体" w:cs="Times New Roman"/>
          <w:b w:val="0"/>
          <w:bCs w:val="0"/>
          <w:color w:val="FF0000"/>
          <w:kern w:val="2"/>
          <w:sz w:val="24"/>
          <w:szCs w:val="24"/>
          <w:lang w:val="en-US" w:eastAsia="zh-CN" w:bidi="ar-SA"/>
        </w:rPr>
        <w:t>本项目岩移范围内无国家级、省级重点保护植物、古树名木，主要以灌木林地为主的森林植被类型，根据对项目所在地林地的调查可知，周边存在大量的地方公益林地，通过采取各项防治措施，本项目对其影响较小。</w:t>
      </w:r>
    </w:p>
    <w:p>
      <w:pPr>
        <w:pStyle w:val="5"/>
        <w:keepNext w:val="0"/>
        <w:keepLines w:val="0"/>
        <w:pageBreakBefore w:val="0"/>
        <w:widowControl w:val="0"/>
        <w:numPr>
          <w:ilvl w:val="2"/>
          <w:numId w:val="0"/>
        </w:numPr>
        <w:kinsoku/>
        <w:wordWrap/>
        <w:overflowPunct/>
        <w:topLinePunct w:val="0"/>
        <w:bidi w:val="0"/>
        <w:ind w:left="420" w:leftChars="200"/>
        <w:textAlignment w:val="auto"/>
        <w:rPr>
          <w:rFonts w:hint="default" w:ascii="Times New Roman" w:hAnsi="Times New Roman" w:eastAsia="宋体" w:cs="Times New Roman"/>
          <w:b w:val="0"/>
          <w:bCs w:val="0"/>
          <w:color w:val="000000" w:themeColor="text1"/>
          <w:sz w:val="24"/>
          <w:szCs w:val="24"/>
          <w:lang w:val="en-US" w:eastAsia="zh-CN"/>
        </w:rPr>
      </w:pPr>
      <w:bookmarkStart w:id="803" w:name="_Toc26215"/>
      <w:r>
        <w:rPr>
          <w:rFonts w:hint="default" w:ascii="Times New Roman" w:hAnsi="Times New Roman" w:eastAsia="宋体" w:cs="Times New Roman"/>
          <w:b w:val="0"/>
          <w:bCs w:val="0"/>
          <w:color w:val="000000" w:themeColor="text1"/>
          <w:sz w:val="24"/>
          <w:szCs w:val="24"/>
          <w:lang w:val="en-US" w:eastAsia="zh-CN"/>
        </w:rPr>
        <w:t>5.2.7.</w:t>
      </w:r>
      <w:r>
        <w:rPr>
          <w:rFonts w:hint="eastAsia" w:ascii="Times New Roman" w:hAnsi="Times New Roman" w:eastAsia="宋体" w:cs="Times New Roman"/>
          <w:b w:val="0"/>
          <w:bCs w:val="0"/>
          <w:color w:val="000000" w:themeColor="text1"/>
          <w:sz w:val="24"/>
          <w:szCs w:val="24"/>
          <w:lang w:val="en-US" w:eastAsia="zh-CN"/>
        </w:rPr>
        <w:t>7</w:t>
      </w:r>
      <w:r>
        <w:rPr>
          <w:rFonts w:hint="default" w:ascii="Times New Roman" w:hAnsi="Times New Roman" w:eastAsia="宋体" w:cs="Times New Roman"/>
          <w:b w:val="0"/>
          <w:bCs w:val="0"/>
          <w:color w:val="000000" w:themeColor="text1"/>
          <w:sz w:val="24"/>
          <w:szCs w:val="24"/>
          <w:lang w:val="en-US" w:eastAsia="zh-CN"/>
        </w:rPr>
        <w:t xml:space="preserve">  </w:t>
      </w:r>
      <w:r>
        <w:rPr>
          <w:rFonts w:hint="default" w:ascii="Times New Roman" w:hAnsi="Times New Roman" w:eastAsia="宋体" w:cs="Times New Roman"/>
          <w:b w:val="0"/>
          <w:bCs w:val="0"/>
          <w:color w:val="000000" w:themeColor="text1"/>
          <w:sz w:val="24"/>
          <w:szCs w:val="24"/>
          <w:highlight w:val="none"/>
        </w:rPr>
        <w:t>地下水</w:t>
      </w:r>
      <w:r>
        <w:rPr>
          <w:rFonts w:hint="default" w:ascii="Times New Roman" w:hAnsi="Times New Roman" w:eastAsia="宋体" w:cs="Times New Roman"/>
          <w:b w:val="0"/>
          <w:bCs w:val="0"/>
          <w:color w:val="000000" w:themeColor="text1"/>
          <w:sz w:val="24"/>
          <w:szCs w:val="24"/>
          <w:highlight w:val="none"/>
          <w:lang w:eastAsia="zh-CN"/>
        </w:rPr>
        <w:t>水位下降对生态的影响</w:t>
      </w:r>
    </w:p>
    <w:p>
      <w:pPr>
        <w:pStyle w:val="60"/>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color w:val="000000" w:themeColor="text1"/>
          <w:sz w:val="24"/>
          <w:szCs w:val="24"/>
          <w:shd w:val="clear" w:color="auto" w:fill="FFFFFF"/>
        </w:rPr>
        <w:t>本矿区地下水为松散岩类孔隙水和基岩裂隙水，松散岩类岩性主要由第四系冲洪积，残坡积而形成的砾卵（碎）石层，含泥质碎石层、泥土，残坡积物组成，厚度1.5-10m。富水性分布不一，透水性好。地下水位和水量随季节性变化较大，其主要受大气降水和两侧基岩裂隙水的补给。排泄以地下径流与蒸发的形式为主。该含水层小，分布范围小，水量有限，且距矿区甚远，因此对矿床水文地质影响不大。另外，根据《陕西省旬阳县赤岩镇水磨河口构皮沟毒重石矿矿产资源开发利用方案》</w:t>
      </w:r>
      <w:r>
        <w:rPr>
          <w:rFonts w:hint="eastAsia" w:ascii="Times New Roman" w:eastAsia="宋体" w:cs="Times New Roman"/>
          <w:color w:val="000000" w:themeColor="text1"/>
          <w:sz w:val="24"/>
          <w:szCs w:val="24"/>
          <w:shd w:val="clear" w:color="auto" w:fill="FFFFFF"/>
          <w:lang w:eastAsia="zh-CN"/>
        </w:rPr>
        <w:t>和现有项目采矿情况可知</w:t>
      </w:r>
      <w:r>
        <w:rPr>
          <w:rFonts w:hint="default" w:ascii="Times New Roman" w:hAnsi="Times New Roman" w:eastAsia="宋体" w:cs="Times New Roman"/>
          <w:color w:val="000000" w:themeColor="text1"/>
          <w:sz w:val="24"/>
          <w:szCs w:val="24"/>
          <w:shd w:val="clear" w:color="auto" w:fill="FFFFFF"/>
        </w:rPr>
        <w:t>，各施工平硐基本无大的地下水涌水点，仅在进硐段局部有点滴状地下水从顶板渗出，矿坑涌水量很小，因此评价认为工程矿山开采对区域地下水水量和水位影响不大。</w:t>
      </w:r>
      <w:r>
        <w:rPr>
          <w:rFonts w:hint="eastAsia" w:ascii="Times New Roman" w:hAnsi="Times New Roman" w:eastAsia="宋体" w:cs="Times New Roman"/>
          <w:b w:val="0"/>
          <w:bCs w:val="0"/>
          <w:color w:val="000000" w:themeColor="text1"/>
          <w:sz w:val="24"/>
          <w:szCs w:val="24"/>
          <w:lang w:val="en-US" w:eastAsia="zh-CN"/>
        </w:rPr>
        <w:t>本项目所在地地下水的来源主要为大气降水，经查阅资料，本项目所在区域雨水充沛，可满足地表植被正常生存。本项目的开采活动地下水水位对生态环境的影响较小。</w:t>
      </w:r>
    </w:p>
    <w:bookmarkEnd w:id="803"/>
    <w:p>
      <w:pPr>
        <w:pStyle w:val="60"/>
        <w:snapToGrid w:val="0"/>
        <w:spacing w:line="360" w:lineRule="auto"/>
        <w:ind w:firstLine="480" w:firstLineChars="200"/>
        <w:rPr>
          <w:rFonts w:hint="eastAsia" w:eastAsia="宋体" w:asciiTheme="minorEastAsia" w:hAnsiTheme="minorEastAsia" w:cstheme="minorEastAsia"/>
          <w:color w:val="000000" w:themeColor="text1"/>
          <w:shd w:val="clear" w:color="auto" w:fill="FFFFFF"/>
          <w:lang w:eastAsia="zh-CN"/>
        </w:rPr>
      </w:pPr>
      <w:r>
        <w:rPr>
          <w:rFonts w:hint="default" w:ascii="Times New Roman" w:hAnsi="Times New Roman" w:eastAsia="宋体" w:cs="Times New Roman"/>
          <w:b w:val="0"/>
          <w:bCs w:val="0"/>
          <w:color w:val="000000" w:themeColor="text1"/>
          <w:sz w:val="24"/>
          <w:szCs w:val="24"/>
          <w:lang w:val="en-US" w:eastAsia="zh-CN"/>
        </w:rPr>
        <w:t>5.2.7.</w:t>
      </w:r>
      <w:r>
        <w:rPr>
          <w:rFonts w:hint="eastAsia" w:ascii="Times New Roman" w:eastAsia="宋体" w:cs="Times New Roman"/>
          <w:b w:val="0"/>
          <w:bCs w:val="0"/>
          <w:color w:val="000000" w:themeColor="text1"/>
          <w:sz w:val="24"/>
          <w:szCs w:val="24"/>
          <w:lang w:val="en-US" w:eastAsia="zh-CN"/>
        </w:rPr>
        <w:t>8</w:t>
      </w:r>
      <w:r>
        <w:rPr>
          <w:rFonts w:hint="default" w:ascii="Times New Roman" w:hAnsi="Times New Roman" w:eastAsia="宋体" w:cs="Times New Roman"/>
          <w:b w:val="0"/>
          <w:bCs w:val="0"/>
          <w:color w:val="000000" w:themeColor="text1"/>
          <w:sz w:val="24"/>
          <w:szCs w:val="24"/>
          <w:lang w:val="en-US" w:eastAsia="zh-CN"/>
        </w:rPr>
        <w:t xml:space="preserve">  </w:t>
      </w:r>
      <w:r>
        <w:rPr>
          <w:rFonts w:hint="eastAsia" w:ascii="Times New Roman" w:eastAsia="宋体" w:cs="Times New Roman"/>
          <w:b w:val="0"/>
          <w:bCs w:val="0"/>
          <w:color w:val="000000" w:themeColor="text1"/>
          <w:sz w:val="24"/>
          <w:szCs w:val="24"/>
          <w:highlight w:val="none"/>
          <w:lang w:eastAsia="zh-CN"/>
        </w:rPr>
        <w:t>水源涵养影响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val="0"/>
          <w:color w:val="FF0000"/>
          <w:kern w:val="2"/>
          <w:sz w:val="24"/>
          <w:szCs w:val="24"/>
          <w:vertAlign w:val="baseline"/>
          <w:lang w:val="en-US" w:eastAsia="zh-CN" w:bidi="ar-SA"/>
        </w:rPr>
      </w:pPr>
      <w:r>
        <w:rPr>
          <w:rFonts w:hint="eastAsia" w:asciiTheme="minorEastAsia" w:hAnsiTheme="minorEastAsia" w:eastAsiaTheme="minorEastAsia" w:cstheme="minorEastAsia"/>
          <w:color w:val="000000" w:themeColor="text1"/>
          <w:sz w:val="24"/>
          <w:szCs w:val="24"/>
          <w:shd w:val="clear" w:color="auto" w:fill="FFFFFF"/>
          <w:lang w:eastAsia="zh-CN"/>
        </w:rPr>
        <w:t>本项目位于巴山地区，属于铜钱关镇，铜钱关镇属于水源涵养生态保护红线区，其管控要求为“</w:t>
      </w:r>
      <w:r>
        <w:rPr>
          <w:rFonts w:hint="default" w:ascii="Times New Roman" w:hAnsi="Times New Roman" w:eastAsia="宋体" w:cs="Times New Roman"/>
          <w:color w:val="000000" w:themeColor="text1"/>
          <w:sz w:val="24"/>
          <w:szCs w:val="24"/>
          <w:vertAlign w:val="baseline"/>
          <w:lang w:val="en-US" w:eastAsia="zh-CN"/>
        </w:rPr>
        <w:t>1.限制或禁止各种损害生态系统水源涵养功能的经济社会活动和生产方式，如无序采矿、毁林开荒、湿地和草地开垦、过度放牧等。2.控制水污染，减轻水污染负荷。3.严格控制载畜量，实行以草定畜，减轻区内畜牧业对水源和生态系统的压力。</w:t>
      </w:r>
      <w:r>
        <w:rPr>
          <w:rFonts w:hint="eastAsia" w:asciiTheme="minorEastAsia" w:hAnsiTheme="minorEastAsia" w:eastAsiaTheme="minorEastAsia" w:cstheme="minorEastAsia"/>
          <w:color w:val="000000" w:themeColor="text1"/>
          <w:sz w:val="24"/>
          <w:szCs w:val="24"/>
          <w:shd w:val="clear" w:color="auto" w:fill="FFFFFF"/>
          <w:lang w:eastAsia="zh-CN"/>
        </w:rPr>
        <w:t>”</w:t>
      </w:r>
      <w:r>
        <w:rPr>
          <w:rFonts w:hint="eastAsia" w:asciiTheme="minorEastAsia" w:hAnsiTheme="minorEastAsia" w:cstheme="minorEastAsia"/>
          <w:color w:val="000000" w:themeColor="text1"/>
          <w:sz w:val="24"/>
          <w:szCs w:val="24"/>
          <w:shd w:val="clear" w:color="auto" w:fill="FFFFFF"/>
          <w:lang w:eastAsia="zh-CN"/>
        </w:rPr>
        <w:t>本项目在在当地侵蚀基准面以上开采，</w:t>
      </w:r>
      <w:r>
        <w:rPr>
          <w:rFonts w:hint="eastAsia" w:ascii="Times New Roman" w:hAnsi="Times New Roman" w:eastAsia="宋体" w:cs="Times New Roman"/>
          <w:b w:val="0"/>
          <w:bCs w:val="0"/>
          <w:color w:val="000000" w:themeColor="text1"/>
          <w:kern w:val="2"/>
          <w:sz w:val="24"/>
          <w:szCs w:val="24"/>
          <w:lang w:val="en-US" w:eastAsia="zh-CN" w:bidi="ar-SA"/>
        </w:rPr>
        <w:t>无大的富水层及含水构造，不会对地下水进行疏空，所以不会影响地下开采区以上的地面水源涵养产生影响。经调查，项目所在区域以大气降水补充地下水为主。本项目的地面设施主要工业场地、宿舍、道路等构筑物，总占地面积约为14200m</w:t>
      </w:r>
      <w:r>
        <w:rPr>
          <w:rFonts w:hint="eastAsia" w:ascii="Times New Roman" w:hAnsi="Times New Roman" w:eastAsia="宋体" w:cs="Times New Roman"/>
          <w:b w:val="0"/>
          <w:bCs w:val="0"/>
          <w:color w:val="000000" w:themeColor="text1"/>
          <w:kern w:val="2"/>
          <w:sz w:val="24"/>
          <w:szCs w:val="24"/>
          <w:vertAlign w:val="superscript"/>
          <w:lang w:val="en-US" w:eastAsia="zh-CN" w:bidi="ar-SA"/>
        </w:rPr>
        <w:t>2</w:t>
      </w:r>
      <w:r>
        <w:rPr>
          <w:rFonts w:hint="eastAsia" w:ascii="Times New Roman" w:hAnsi="Times New Roman" w:eastAsia="宋体" w:cs="Times New Roman"/>
          <w:b w:val="0"/>
          <w:bCs w:val="0"/>
          <w:color w:val="000000" w:themeColor="text1"/>
          <w:kern w:val="2"/>
          <w:sz w:val="24"/>
          <w:szCs w:val="24"/>
          <w:vertAlign w:val="baseline"/>
          <w:lang w:val="en-US" w:eastAsia="zh-CN" w:bidi="ar-SA"/>
        </w:rPr>
        <w:t>，项目所在区域为山区，植被繁茂，占地面积相对较小，从总体考虑，本项目不会影响当地水源涵养现状。</w:t>
      </w:r>
    </w:p>
    <w:p>
      <w:pPr>
        <w:pStyle w:val="2"/>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sz w:val="24"/>
          <w:szCs w:val="24"/>
          <w:lang w:val="en-US" w:eastAsia="zh-CN"/>
        </w:rPr>
      </w:pPr>
      <w:r>
        <w:rPr>
          <w:rFonts w:hint="eastAsia"/>
          <w:sz w:val="24"/>
          <w:szCs w:val="24"/>
          <w:lang w:val="en-US" w:eastAsia="zh-CN"/>
        </w:rPr>
        <w:t>研究资料表明:地表植被区集中降水时，其涵养水源量除空地、树干蒸腾和扩散外，约占总降水量的 55%。计算公式如下:</w:t>
      </w:r>
    </w:p>
    <w:p>
      <w:pPr>
        <w:pStyle w:val="2"/>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sz w:val="24"/>
          <w:szCs w:val="24"/>
          <w:lang w:val="en-US" w:eastAsia="zh-CN"/>
        </w:rPr>
      </w:pPr>
      <w:r>
        <w:rPr>
          <w:rFonts w:hint="eastAsia"/>
          <w:sz w:val="24"/>
          <w:szCs w:val="24"/>
          <w:lang w:val="en-US" w:eastAsia="zh-CN"/>
        </w:rPr>
        <w:t>总蓄水量=平均降水量 x 地表植被面积×55%。</w:t>
      </w:r>
    </w:p>
    <w:p>
      <w:pPr>
        <w:pStyle w:val="2"/>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sz w:val="24"/>
          <w:szCs w:val="24"/>
          <w:lang w:val="en-US" w:eastAsia="zh-CN"/>
        </w:rPr>
      </w:pPr>
      <w:r>
        <w:rPr>
          <w:rFonts w:hint="eastAsia"/>
          <w:sz w:val="24"/>
          <w:szCs w:val="24"/>
          <w:lang w:val="en-US" w:eastAsia="zh-CN"/>
        </w:rPr>
        <w:t>当地年平均降水量取890mm，本项目进矿山的道路在原有山路的基础上修建，工程占地损坏地表植被面积约为10000m</w:t>
      </w:r>
      <w:r>
        <w:rPr>
          <w:rFonts w:hint="eastAsia"/>
          <w:sz w:val="24"/>
          <w:szCs w:val="24"/>
          <w:vertAlign w:val="superscript"/>
          <w:lang w:val="en-US" w:eastAsia="zh-CN"/>
        </w:rPr>
        <w:t>2</w:t>
      </w:r>
      <w:r>
        <w:rPr>
          <w:rFonts w:hint="eastAsia"/>
          <w:sz w:val="24"/>
          <w:szCs w:val="24"/>
          <w:lang w:val="en-US" w:eastAsia="zh-CN"/>
        </w:rPr>
        <w:t>，由此估算出本工程年造成地表植被涵养水源能力减少约4895m</w:t>
      </w:r>
      <w:r>
        <w:rPr>
          <w:rFonts w:hint="eastAsia"/>
          <w:sz w:val="24"/>
          <w:szCs w:val="24"/>
          <w:vertAlign w:val="superscript"/>
          <w:lang w:val="en-US" w:eastAsia="zh-CN"/>
        </w:rPr>
        <w:t>3</w:t>
      </w:r>
      <w:r>
        <w:rPr>
          <w:rFonts w:hint="eastAsia"/>
          <w:sz w:val="24"/>
          <w:szCs w:val="24"/>
          <w:lang w:val="en-US" w:eastAsia="zh-CN"/>
        </w:rPr>
        <w:t>。可见项目对矿区地表植被涵养水源影响不是很大。项目所在地位于巴山山地，区域植被较发育，水源涵养量较丰富，相对整个区域而言，工程建设对区域地表植被水源涵养能力的影响不大。</w:t>
      </w:r>
    </w:p>
    <w:p>
      <w:pPr>
        <w:pStyle w:val="60"/>
        <w:snapToGrid w:val="0"/>
        <w:spacing w:line="360" w:lineRule="auto"/>
        <w:ind w:firstLine="480" w:firstLineChars="200"/>
        <w:rPr>
          <w:rFonts w:hint="eastAsia" w:asciiTheme="minorEastAsia" w:hAnsiTheme="minorEastAsia" w:eastAsiaTheme="minorEastAsia" w:cstheme="minorEastAsia"/>
          <w:color w:val="000000" w:themeColor="text1"/>
          <w:shd w:val="clear" w:color="auto" w:fill="FFFFFF"/>
          <w:lang w:eastAsia="zh-CN"/>
        </w:rPr>
      </w:pPr>
      <w:r>
        <w:rPr>
          <w:rFonts w:hint="eastAsia" w:asciiTheme="minorEastAsia" w:hAnsiTheme="minorEastAsia" w:eastAsiaTheme="minorEastAsia" w:cstheme="minorEastAsia"/>
          <w:color w:val="000000" w:themeColor="text1"/>
          <w:shd w:val="clear" w:color="auto" w:fill="FFFFFF"/>
          <w:lang w:eastAsia="zh-CN"/>
        </w:rPr>
        <w:t>生态影响评价自查表见下表：</w:t>
      </w:r>
    </w:p>
    <w:p>
      <w:pPr>
        <w:pStyle w:val="60"/>
        <w:snapToGrid w:val="0"/>
        <w:spacing w:line="360" w:lineRule="auto"/>
        <w:jc w:val="center"/>
        <w:rPr>
          <w:rFonts w:hint="default" w:ascii="Times New Roman" w:hAnsi="Times New Roman" w:eastAsia="宋体" w:cs="Times New Roman"/>
          <w:b/>
          <w:bCs/>
          <w:color w:val="000000" w:themeColor="text1"/>
          <w:sz w:val="21"/>
          <w:szCs w:val="21"/>
          <w:shd w:val="clear" w:color="auto" w:fill="FFFFFF"/>
          <w:lang w:val="en-US" w:eastAsia="zh-CN"/>
        </w:rPr>
      </w:pPr>
      <w:r>
        <w:rPr>
          <w:rFonts w:hint="default" w:ascii="Times New Roman" w:hAnsi="Times New Roman" w:eastAsia="宋体" w:cs="Times New Roman"/>
          <w:b/>
          <w:bCs/>
          <w:color w:val="000000" w:themeColor="text1"/>
          <w:sz w:val="21"/>
          <w:szCs w:val="21"/>
          <w:shd w:val="clear" w:color="auto" w:fill="FFFFFF"/>
          <w:lang w:eastAsia="zh-CN"/>
        </w:rPr>
        <w:t>表</w:t>
      </w:r>
      <w:r>
        <w:rPr>
          <w:rFonts w:hint="eastAsia" w:ascii="Times New Roman" w:hAnsi="Times New Roman" w:eastAsia="宋体" w:cs="Times New Roman"/>
          <w:b/>
          <w:bCs/>
          <w:color w:val="000000" w:themeColor="text1"/>
          <w:sz w:val="21"/>
          <w:szCs w:val="21"/>
          <w:shd w:val="clear" w:color="auto" w:fill="FFFFFF"/>
          <w:lang w:val="en-US" w:eastAsia="zh-CN"/>
        </w:rPr>
        <w:t>5.2-</w:t>
      </w:r>
      <w:r>
        <w:rPr>
          <w:rFonts w:hint="eastAsia" w:ascii="Times New Roman" w:eastAsia="宋体" w:cs="Times New Roman"/>
          <w:b/>
          <w:bCs/>
          <w:color w:val="000000" w:themeColor="text1"/>
          <w:sz w:val="21"/>
          <w:szCs w:val="21"/>
          <w:shd w:val="clear" w:color="auto" w:fill="FFFFFF"/>
          <w:lang w:val="en-US" w:eastAsia="zh-CN"/>
        </w:rPr>
        <w:t xml:space="preserve">24 </w:t>
      </w:r>
      <w:r>
        <w:rPr>
          <w:rFonts w:hint="default" w:ascii="Times New Roman" w:hAnsi="Times New Roman" w:eastAsia="宋体" w:cs="Times New Roman"/>
          <w:b/>
          <w:bCs/>
          <w:color w:val="000000" w:themeColor="text1"/>
          <w:sz w:val="21"/>
          <w:szCs w:val="21"/>
          <w:shd w:val="clear" w:color="auto" w:fill="FFFFFF"/>
          <w:lang w:val="en-US" w:eastAsia="zh-CN"/>
        </w:rPr>
        <w:t xml:space="preserve"> 生态影响评价自查表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89"/>
        <w:gridCol w:w="6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3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工作内容</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生态影响识别</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生态保护目标</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重要物种</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；国家公园</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；自然保护区</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；自然公园</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；世界自然遗产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；生态保护红线</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；重要生境</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；其他具有重要生态功能、对保护生物多样性具有重要意义的区域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影响方式</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工程占用</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；施工活动干扰</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；改变环境条件</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评价因子</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物种</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生境</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生物群落</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生态系统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生物多样性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生态敏感区</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自然景观</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地面构筑物对景观的影响）</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自然遗迹</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w:t>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（工程占地导致的植被损毁、施工对动物的影响、水土流失、地表错动、采矿活动对地下水的影响等）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3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评价等级</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一级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二级</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xml:space="preserve">    三级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xml:space="preserve">    生态影响简单分析</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3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评价范围</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default" w:ascii="Times New Roman" w:hAnsi="Times New Roman" w:eastAsia="宋体" w:cs="Times New Roman"/>
                <w:color w:val="000000" w:themeColor="text1"/>
                <w:sz w:val="21"/>
                <w:szCs w:val="21"/>
                <w:vertAlign w:val="baseline"/>
                <w:lang w:val="en-US" w:eastAsia="zh-CN"/>
              </w:rPr>
              <w:t>陆域面积：（</w:t>
            </w:r>
            <w:r>
              <w:rPr>
                <w:rFonts w:hint="eastAsia" w:ascii="Times New Roman" w:hAnsi="Times New Roman" w:eastAsia="宋体" w:cs="Times New Roman"/>
                <w:color w:val="000000" w:themeColor="text1"/>
                <w:sz w:val="21"/>
                <w:szCs w:val="21"/>
                <w:vertAlign w:val="baseline"/>
                <w:lang w:val="en-US" w:eastAsia="zh-CN"/>
              </w:rPr>
              <w:t xml:space="preserve"> 0.26 </w:t>
            </w:r>
            <w:r>
              <w:rPr>
                <w:rFonts w:hint="default" w:ascii="Times New Roman" w:hAnsi="Times New Roman" w:eastAsia="宋体" w:cs="Times New Roman"/>
                <w:color w:val="000000" w:themeColor="text1"/>
                <w:sz w:val="21"/>
                <w:szCs w:val="21"/>
                <w:vertAlign w:val="baseline"/>
                <w:lang w:val="en-US" w:eastAsia="zh-CN"/>
              </w:rPr>
              <w:t>）km</w:t>
            </w:r>
            <w:r>
              <w:rPr>
                <w:rFonts w:hint="default" w:ascii="Times New Roman" w:hAnsi="Times New Roman" w:eastAsia="宋体" w:cs="Times New Roman"/>
                <w:color w:val="000000" w:themeColor="text1"/>
                <w:sz w:val="21"/>
                <w:szCs w:val="21"/>
                <w:vertAlign w:val="superscript"/>
                <w:lang w:val="en-US" w:eastAsia="zh-CN"/>
              </w:rPr>
              <w:t>2</w:t>
            </w:r>
            <w:r>
              <w:rPr>
                <w:rFonts w:hint="eastAsia" w:ascii="Times New Roman" w:hAnsi="Times New Roman" w:eastAsia="宋体" w:cs="Times New Roman"/>
                <w:color w:val="000000" w:themeColor="text1"/>
                <w:sz w:val="21"/>
                <w:szCs w:val="21"/>
                <w:vertAlign w:val="baseline"/>
                <w:lang w:val="en-US" w:eastAsia="zh-CN"/>
              </w:rPr>
              <w:t>；水域面积：</w:t>
            </w:r>
            <w:r>
              <w:rPr>
                <w:rFonts w:hint="default" w:ascii="Times New Roman" w:hAnsi="Times New Roman" w:eastAsia="宋体" w:cs="Times New Roman"/>
                <w:color w:val="000000" w:themeColor="text1"/>
                <w:sz w:val="21"/>
                <w:szCs w:val="21"/>
                <w:vertAlign w:val="baseline"/>
                <w:lang w:val="en-US" w:eastAsia="zh-CN"/>
              </w:rPr>
              <w:t>（</w:t>
            </w:r>
            <w:r>
              <w:rPr>
                <w:rFonts w:hint="eastAsia" w:ascii="Times New Roman" w:hAnsi="Times New Roman" w:eastAsia="宋体" w:cs="Times New Roman"/>
                <w:color w:val="000000" w:themeColor="text1"/>
                <w:sz w:val="21"/>
                <w:szCs w:val="21"/>
                <w:vertAlign w:val="baseline"/>
                <w:lang w:val="en-US" w:eastAsia="zh-CN"/>
              </w:rPr>
              <w:t xml:space="preserve">  </w:t>
            </w:r>
            <w:r>
              <w:rPr>
                <w:rFonts w:hint="default" w:ascii="Times New Roman" w:hAnsi="Times New Roman" w:eastAsia="宋体" w:cs="Times New Roman"/>
                <w:color w:val="000000" w:themeColor="text1"/>
                <w:sz w:val="21"/>
                <w:szCs w:val="21"/>
                <w:vertAlign w:val="baseline"/>
                <w:lang w:val="en-US" w:eastAsia="zh-CN"/>
              </w:rPr>
              <w:t>）km</w:t>
            </w:r>
            <w:r>
              <w:rPr>
                <w:rFonts w:hint="default" w:ascii="Times New Roman" w:hAnsi="Times New Roman" w:eastAsia="宋体" w:cs="Times New Roman"/>
                <w:color w:val="000000" w:themeColor="text1"/>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生态现状调查与评价</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调查方法</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资料收集</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；遥感调查</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；调查样方、样线</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；调查点位断面</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；专家和公众咨询法</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调查时间</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春季</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夏季</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 秋季</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冬季</w:t>
            </w:r>
            <w:r>
              <w:rPr>
                <w:rFonts w:hint="eastAsia"/>
                <w:color w:val="000000" w:themeColor="text1"/>
                <w:sz w:val="21"/>
                <w:szCs w:val="21"/>
                <w:vertAlign w:val="baseline"/>
                <w:lang w:val="en-US" w:eastAsia="zh-CN"/>
              </w:rPr>
              <w:sym w:font="Wingdings 2" w:char="00A3"/>
            </w:r>
          </w:p>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丰水期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枯水期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 平水期</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所在区域的生态问题</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水土流失</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；沙漠化</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；石漠化</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；盐渍化</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；生物入侵</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；污染危害</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评价内容</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植被/植物群落</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；土地利用</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；生态系统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；生物多样性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；重要物种</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；生态敏感区</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生态影响预测与评价</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评价方法</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定性</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；定性和定量</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评价内容</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植被/植物群落</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；土地利用</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；生态系统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；生物多样性</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；重要物种</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；生态敏感区</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；生物入侵风险</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生态保护对策措施</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对策措施</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避让</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；减缓</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；生态修复</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；生态补偿</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；科研</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生态监测计划</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全生命周期</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；长期跟踪</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；常规</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环境管理</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环境监理</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；环境影响后评价</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；其他</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评价结论</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生态影响</w:t>
            </w:r>
          </w:p>
        </w:tc>
        <w:tc>
          <w:tcPr>
            <w:tcW w:w="6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可行</w:t>
            </w:r>
            <w:r>
              <w:rPr>
                <w:rFonts w:hint="eastAsia"/>
                <w:color w:val="000000" w:themeColor="text1"/>
                <w:sz w:val="21"/>
                <w:szCs w:val="21"/>
                <w:vertAlign w:val="baseline"/>
                <w:lang w:val="en-US" w:eastAsia="zh-CN"/>
              </w:rPr>
              <w:sym w:font="Wingdings 2" w:char="0052"/>
            </w:r>
            <w:r>
              <w:rPr>
                <w:rFonts w:hint="eastAsia"/>
                <w:color w:val="000000" w:themeColor="text1"/>
                <w:sz w:val="21"/>
                <w:szCs w:val="21"/>
                <w:vertAlign w:val="baseline"/>
                <w:lang w:val="en-US" w:eastAsia="zh-CN"/>
              </w:rPr>
              <w:t>；不可行</w:t>
            </w:r>
            <w:r>
              <w:rPr>
                <w:rFonts w:hint="eastAsia"/>
                <w:color w:val="000000" w:themeColor="text1"/>
                <w:sz w:val="21"/>
                <w:szCs w:val="21"/>
                <w:vertAlign w:val="baseline"/>
                <w:lang w:val="en-US" w:eastAsia="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95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hint="eastAsia" w:eastAsia="宋体"/>
                <w:color w:val="000000" w:themeColor="text1"/>
                <w:sz w:val="21"/>
                <w:szCs w:val="21"/>
                <w:vertAlign w:val="baseline"/>
                <w:lang w:val="en-US" w:eastAsia="zh-CN"/>
              </w:rPr>
            </w:pPr>
            <w:r>
              <w:rPr>
                <w:rFonts w:hint="eastAsia"/>
                <w:color w:val="000000" w:themeColor="text1"/>
                <w:sz w:val="21"/>
                <w:szCs w:val="21"/>
                <w:vertAlign w:val="baseline"/>
                <w:lang w:val="en-US" w:eastAsia="zh-CN"/>
              </w:rPr>
              <w:t>注：“</w:t>
            </w:r>
            <w:r>
              <w:rPr>
                <w:rFonts w:hint="eastAsia"/>
                <w:color w:val="000000" w:themeColor="text1"/>
                <w:sz w:val="21"/>
                <w:szCs w:val="21"/>
                <w:vertAlign w:val="baseline"/>
                <w:lang w:val="en-US" w:eastAsia="zh-CN"/>
              </w:rPr>
              <w:sym w:font="Wingdings 2" w:char="00A3"/>
            </w:r>
            <w:r>
              <w:rPr>
                <w:rFonts w:hint="eastAsia"/>
                <w:color w:val="000000" w:themeColor="text1"/>
                <w:sz w:val="21"/>
                <w:szCs w:val="21"/>
                <w:vertAlign w:val="baseline"/>
                <w:lang w:val="en-US" w:eastAsia="zh-CN"/>
              </w:rPr>
              <w:t>”为勾选项，可</w:t>
            </w:r>
            <w:r>
              <w:rPr>
                <w:rFonts w:hint="default" w:ascii="Arial" w:hAnsi="Arial" w:cs="Arial"/>
                <w:color w:val="000000" w:themeColor="text1"/>
                <w:sz w:val="21"/>
                <w:szCs w:val="21"/>
                <w:vertAlign w:val="baseline"/>
                <w:lang w:val="en-US" w:eastAsia="zh-CN"/>
              </w:rPr>
              <w:t>√</w:t>
            </w:r>
            <w:r>
              <w:rPr>
                <w:rFonts w:hint="eastAsia"/>
                <w:color w:val="000000" w:themeColor="text1"/>
                <w:sz w:val="21"/>
                <w:szCs w:val="21"/>
                <w:vertAlign w:val="baseline"/>
                <w:lang w:val="en-US" w:eastAsia="zh-CN"/>
              </w:rPr>
              <w:t>；“（ ）”为内容填写项。</w:t>
            </w:r>
          </w:p>
        </w:tc>
      </w:tr>
    </w:tbl>
    <w:p>
      <w:pPr>
        <w:pStyle w:val="5"/>
        <w:rPr>
          <w:rFonts w:hint="default"/>
          <w:color w:val="000000" w:themeColor="text1"/>
          <w:lang w:val="en-US" w:eastAsia="zh-CN"/>
        </w:rPr>
      </w:pPr>
      <w:bookmarkStart w:id="804" w:name="_Toc8579"/>
      <w:bookmarkStart w:id="805" w:name="_Toc5719"/>
      <w:r>
        <w:rPr>
          <w:rFonts w:hint="default"/>
          <w:color w:val="000000" w:themeColor="text1"/>
          <w:lang w:val="en-US" w:eastAsia="zh-CN"/>
        </w:rPr>
        <w:t>环境风险评价</w:t>
      </w:r>
      <w:bookmarkEnd w:id="804"/>
      <w:bookmarkEnd w:id="805"/>
    </w:p>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2" w:firstLineChars="200"/>
        <w:jc w:val="left"/>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4"/>
          <w:szCs w:val="24"/>
          <w:lang w:val="en-US" w:eastAsia="zh-CN"/>
        </w:rPr>
        <w:t>5.2.8.1  评价目的</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环境风险评价是对建设项目的环境风险进行分析，预测和评估，提出环境风险预防、控制和减缓措施，为建设项目风险防控提供科学依据。</w:t>
      </w:r>
    </w:p>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2" w:firstLineChars="200"/>
        <w:jc w:val="left"/>
        <w:textAlignment w:val="auto"/>
        <w:outlineLvl w:val="9"/>
        <w:rPr>
          <w:rFonts w:hint="default"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bCs/>
          <w:color w:val="000000" w:themeColor="text1"/>
          <w:sz w:val="24"/>
          <w:szCs w:val="24"/>
          <w:lang w:val="en-US" w:eastAsia="zh-CN"/>
        </w:rPr>
        <w:t>5.2.8.2  环境风险识别</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项目爆破使用的炸药委托专业的民爆公司，有专业人员进行操作，炸药库、炸药、雷管等与爆破相关的风险物质不在本项目评价范围内。</w:t>
      </w:r>
    </w:p>
    <w:p>
      <w:pPr>
        <w:pStyle w:val="12"/>
        <w:adjustRightInd w:val="0"/>
        <w:snapToGrid w:val="0"/>
        <w:spacing w:after="0" w:line="360" w:lineRule="auto"/>
        <w:ind w:firstLine="480" w:firstLineChars="200"/>
        <w:jc w:val="left"/>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本项目大型维修进行外委，日常检维修与保养在场区内进行。</w:t>
      </w:r>
    </w:p>
    <w:p>
      <w:pPr>
        <w:pStyle w:val="12"/>
        <w:adjustRightInd w:val="0"/>
        <w:snapToGrid w:val="0"/>
        <w:spacing w:after="0" w:line="360" w:lineRule="auto"/>
        <w:ind w:firstLine="480" w:firstLineChars="200"/>
        <w:jc w:val="lef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（1）危险物质识别</w:t>
      </w:r>
    </w:p>
    <w:p>
      <w:pPr>
        <w:pStyle w:val="12"/>
        <w:adjustRightInd w:val="0"/>
        <w:snapToGrid w:val="0"/>
        <w:spacing w:after="0" w:line="360" w:lineRule="auto"/>
        <w:ind w:firstLine="0" w:firstLineChars="0"/>
        <w:jc w:val="center"/>
        <w:rPr>
          <w:rFonts w:hint="default" w:ascii="Times New Roman" w:hAnsi="Times New Roman" w:eastAsia="宋体" w:cs="Times New Roman"/>
          <w:b/>
          <w:bCs/>
          <w:color w:val="000000" w:themeColor="text1"/>
          <w:szCs w:val="21"/>
          <w:lang w:val="en-US" w:eastAsia="zh-CN"/>
        </w:rPr>
      </w:pPr>
      <w:r>
        <w:rPr>
          <w:rFonts w:hint="eastAsia" w:ascii="Times New Roman" w:hAnsi="Times New Roman" w:eastAsia="宋体" w:cs="Times New Roman"/>
          <w:b/>
          <w:bCs/>
          <w:color w:val="000000" w:themeColor="text1"/>
          <w:szCs w:val="21"/>
          <w:lang w:val="en-US" w:eastAsia="zh-CN"/>
        </w:rPr>
        <w:t>表5.2-25  危险物质主要成分及储量</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4304"/>
        <w:gridCol w:w="2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6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序号</w:t>
            </w:r>
          </w:p>
        </w:tc>
        <w:tc>
          <w:tcPr>
            <w:tcW w:w="430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危险物质</w:t>
            </w:r>
          </w:p>
        </w:tc>
        <w:tc>
          <w:tcPr>
            <w:tcW w:w="298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最大储存量（t）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6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w:t>
            </w:r>
          </w:p>
        </w:tc>
        <w:tc>
          <w:tcPr>
            <w:tcW w:w="430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废机油</w:t>
            </w:r>
          </w:p>
        </w:tc>
        <w:tc>
          <w:tcPr>
            <w:tcW w:w="298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0.010</w:t>
            </w:r>
          </w:p>
        </w:tc>
      </w:tr>
    </w:tbl>
    <w:p>
      <w:pPr>
        <w:pStyle w:val="12"/>
        <w:adjustRightInd w:val="0"/>
        <w:snapToGrid w:val="0"/>
        <w:spacing w:after="0" w:line="360" w:lineRule="auto"/>
        <w:ind w:firstLine="0" w:firstLineChars="0"/>
        <w:jc w:val="center"/>
        <w:rPr>
          <w:rFonts w:hint="eastAsia" w:ascii="Times New Roman" w:hAnsi="Times New Roman" w:eastAsia="宋体" w:cs="Times New Roman"/>
          <w:b/>
          <w:bCs/>
          <w:color w:val="000000" w:themeColor="text1"/>
          <w:szCs w:val="21"/>
        </w:rPr>
      </w:pPr>
      <w:r>
        <w:rPr>
          <w:rFonts w:hint="eastAsia" w:ascii="Times New Roman" w:hAnsi="Times New Roman" w:eastAsia="宋体" w:cs="Times New Roman"/>
          <w:b/>
          <w:bCs/>
          <w:color w:val="000000" w:themeColor="text1"/>
          <w:szCs w:val="21"/>
        </w:rPr>
        <w:t>表</w:t>
      </w:r>
      <w:r>
        <w:rPr>
          <w:rFonts w:hint="eastAsia" w:ascii="Times New Roman" w:hAnsi="Times New Roman" w:eastAsia="宋体" w:cs="Times New Roman"/>
          <w:b/>
          <w:bCs/>
          <w:color w:val="000000" w:themeColor="text1"/>
          <w:szCs w:val="21"/>
          <w:lang w:val="en-US" w:eastAsia="zh-CN"/>
        </w:rPr>
        <w:t>5.2-26</w:t>
      </w:r>
      <w:r>
        <w:rPr>
          <w:rFonts w:hint="eastAsia" w:ascii="Times New Roman" w:hAnsi="Times New Roman" w:eastAsia="宋体" w:cs="Times New Roman"/>
          <w:b/>
          <w:bCs/>
          <w:color w:val="000000" w:themeColor="text1"/>
          <w:szCs w:val="21"/>
        </w:rPr>
        <w:t xml:space="preserve">  </w:t>
      </w:r>
      <w:r>
        <w:rPr>
          <w:rFonts w:hint="eastAsia" w:ascii="Times New Roman" w:hAnsi="Times New Roman" w:eastAsia="宋体" w:cs="Times New Roman"/>
          <w:b/>
          <w:bCs/>
          <w:color w:val="000000" w:themeColor="text1"/>
          <w:szCs w:val="21"/>
          <w:lang w:val="en-US" w:eastAsia="zh-CN"/>
        </w:rPr>
        <w:t>机油</w:t>
      </w:r>
      <w:r>
        <w:rPr>
          <w:rFonts w:hint="eastAsia" w:ascii="Times New Roman" w:hAnsi="Times New Roman" w:eastAsia="宋体" w:cs="Times New Roman"/>
          <w:b/>
          <w:bCs/>
          <w:color w:val="000000" w:themeColor="text1"/>
          <w:szCs w:val="21"/>
        </w:rPr>
        <w:t>理化性质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166"/>
        <w:gridCol w:w="2715"/>
        <w:gridCol w:w="39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82"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标识</w:t>
            </w:r>
          </w:p>
        </w:tc>
        <w:tc>
          <w:tcPr>
            <w:tcW w:w="7875"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rPr>
            </w:pPr>
            <w:r>
              <w:rPr>
                <w:rFonts w:hint="eastAsia" w:ascii="Times New Roman" w:hAnsi="Times New Roman" w:eastAsia="宋体" w:cs="Times New Roman"/>
                <w:b w:val="0"/>
                <w:bCs w:val="0"/>
                <w:color w:val="000000" w:themeColor="text1"/>
                <w:sz w:val="21"/>
                <w:szCs w:val="21"/>
                <w:vertAlign w:val="baseline"/>
                <w:lang w:val="en-US" w:eastAsia="zh-CN"/>
              </w:rPr>
              <w:t>中文名：机油、润滑油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7875"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rPr>
            </w:pPr>
            <w:r>
              <w:rPr>
                <w:rFonts w:hint="eastAsia" w:ascii="Times New Roman" w:hAnsi="Times New Roman" w:eastAsia="宋体" w:cs="Times New Roman"/>
                <w:b w:val="0"/>
                <w:bCs w:val="0"/>
                <w:color w:val="000000" w:themeColor="text1"/>
                <w:sz w:val="21"/>
                <w:szCs w:val="21"/>
                <w:vertAlign w:val="baseline"/>
                <w:lang w:val="en-US" w:eastAsia="zh-CN"/>
              </w:rPr>
              <w:t>分子量：230~500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理化性质</w:t>
            </w:r>
          </w:p>
        </w:tc>
        <w:tc>
          <w:tcPr>
            <w:tcW w:w="7875"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rPr>
            </w:pPr>
            <w:r>
              <w:rPr>
                <w:rFonts w:hint="eastAsia" w:ascii="Times New Roman" w:hAnsi="Times New Roman" w:eastAsia="宋体" w:cs="Times New Roman"/>
                <w:b w:val="0"/>
                <w:bCs w:val="0"/>
                <w:color w:val="000000" w:themeColor="text1"/>
                <w:sz w:val="21"/>
                <w:szCs w:val="21"/>
                <w:vertAlign w:val="baseline"/>
                <w:lang w:val="en-US" w:eastAsia="zh-CN"/>
              </w:rPr>
              <w:t>外观与性状：</w:t>
            </w:r>
            <w:r>
              <w:rPr>
                <w:rFonts w:hint="eastAsia" w:ascii="Times New Roman" w:hAnsi="Times New Roman" w:eastAsia="宋体" w:cs="Times New Roman"/>
                <w:bCs/>
                <w:color w:val="000000" w:themeColor="text1"/>
                <w:sz w:val="21"/>
                <w:szCs w:val="21"/>
                <w:lang w:val="en-US" w:eastAsia="zh-CN"/>
              </w:rPr>
              <w:t>油状液体，淡黄色至褐色，无气味或略带异味。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7875"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相对密度（水=1）：</w:t>
            </w:r>
            <w:r>
              <w:rPr>
                <w:rFonts w:hint="default" w:ascii="Times New Roman" w:hAnsi="Times New Roman" w:eastAsia="宋体" w:cs="Times New Roman"/>
                <w:b w:val="0"/>
                <w:bCs w:val="0"/>
                <w:color w:val="000000" w:themeColor="text1"/>
                <w:sz w:val="21"/>
                <w:szCs w:val="21"/>
                <w:vertAlign w:val="baseline"/>
                <w:lang w:val="en-US" w:eastAsia="zh-CN"/>
              </w:rPr>
              <w:t>&lt;</w:t>
            </w:r>
            <w:r>
              <w:rPr>
                <w:rFonts w:hint="eastAsia" w:ascii="Times New Roman" w:hAnsi="Times New Roman" w:eastAsia="宋体" w:cs="Times New Roman"/>
                <w:b w:val="0"/>
                <w:bCs w:val="0"/>
                <w:color w:val="000000" w:themeColor="text1"/>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7875"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溶解性：不溶于水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燃烧爆炸危险性</w:t>
            </w:r>
          </w:p>
        </w:tc>
        <w:tc>
          <w:tcPr>
            <w:tcW w:w="3881"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燃烧性：可燃</w:t>
            </w:r>
          </w:p>
        </w:tc>
        <w:tc>
          <w:tcPr>
            <w:tcW w:w="3994"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闪点</w:t>
            </w:r>
            <w:r>
              <w:rPr>
                <w:rFonts w:hint="default" w:ascii="Times New Roman" w:hAnsi="Times New Roman" w:eastAsia="宋体" w:cs="Times New Roman"/>
                <w:b w:val="0"/>
                <w:bCs w:val="0"/>
                <w:color w:val="000000" w:themeColor="text1"/>
                <w:sz w:val="21"/>
                <w:szCs w:val="21"/>
                <w:vertAlign w:val="baseline"/>
                <w:lang w:val="en-US" w:eastAsia="zh-CN"/>
              </w:rPr>
              <w:t>（</w:t>
            </w:r>
            <w:r>
              <w:rPr>
                <w:rFonts w:hint="default" w:ascii="Times New Roman" w:hAnsi="Times New Roman" w:eastAsia="宋体" w:cs="Times New Roman"/>
                <w:bCs/>
                <w:color w:val="000000" w:themeColor="text1"/>
                <w:sz w:val="21"/>
                <w:szCs w:val="21"/>
                <w:lang w:val="en-US" w:eastAsia="zh-CN"/>
              </w:rPr>
              <w:t>℃</w:t>
            </w:r>
            <w:r>
              <w:rPr>
                <w:rFonts w:hint="default" w:ascii="Times New Roman" w:hAnsi="Times New Roman" w:eastAsia="宋体" w:cs="Times New Roman"/>
                <w:b w:val="0"/>
                <w:bCs w:val="0"/>
                <w:color w:val="000000" w:themeColor="text1"/>
                <w:sz w:val="21"/>
                <w:szCs w:val="21"/>
                <w:vertAlign w:val="baseline"/>
                <w:lang w:val="en-US" w:eastAsia="zh-CN"/>
              </w:rPr>
              <w:t>）</w:t>
            </w:r>
            <w:r>
              <w:rPr>
                <w:rFonts w:hint="eastAsia" w:ascii="Times New Roman" w:hAnsi="Times New Roman" w:eastAsia="宋体" w:cs="Times New Roman"/>
                <w:b w:val="0"/>
                <w:bCs w:val="0"/>
                <w:color w:val="000000" w:themeColor="text1"/>
                <w:sz w:val="21"/>
                <w:szCs w:val="21"/>
                <w:vertAlign w:val="baseline"/>
                <w:lang w:val="en-US" w:eastAsia="zh-CN"/>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3881"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引燃温度</w:t>
            </w:r>
            <w:r>
              <w:rPr>
                <w:rFonts w:hint="default" w:ascii="Times New Roman" w:hAnsi="Times New Roman" w:eastAsia="宋体" w:cs="Times New Roman"/>
                <w:b w:val="0"/>
                <w:bCs w:val="0"/>
                <w:color w:val="000000" w:themeColor="text1"/>
                <w:sz w:val="21"/>
                <w:szCs w:val="21"/>
                <w:vertAlign w:val="baseline"/>
                <w:lang w:val="en-US" w:eastAsia="zh-CN"/>
              </w:rPr>
              <w:t>（</w:t>
            </w:r>
            <w:r>
              <w:rPr>
                <w:rFonts w:hint="default" w:ascii="Times New Roman" w:hAnsi="Times New Roman" w:eastAsia="宋体" w:cs="Times New Roman"/>
                <w:bCs/>
                <w:color w:val="000000" w:themeColor="text1"/>
                <w:sz w:val="21"/>
                <w:szCs w:val="21"/>
                <w:lang w:val="en-US" w:eastAsia="zh-CN"/>
              </w:rPr>
              <w:t>℃</w:t>
            </w:r>
            <w:r>
              <w:rPr>
                <w:rFonts w:hint="default" w:ascii="Times New Roman" w:hAnsi="Times New Roman" w:eastAsia="宋体" w:cs="Times New Roman"/>
                <w:b w:val="0"/>
                <w:bCs w:val="0"/>
                <w:color w:val="000000" w:themeColor="text1"/>
                <w:sz w:val="21"/>
                <w:szCs w:val="21"/>
                <w:vertAlign w:val="baseline"/>
                <w:lang w:val="en-US" w:eastAsia="zh-CN"/>
              </w:rPr>
              <w:t>）</w:t>
            </w:r>
            <w:r>
              <w:rPr>
                <w:rFonts w:hint="eastAsia" w:ascii="Times New Roman" w:hAnsi="Times New Roman" w:eastAsia="宋体" w:cs="Times New Roman"/>
                <w:b w:val="0"/>
                <w:bCs w:val="0"/>
                <w:color w:val="000000" w:themeColor="text1"/>
                <w:sz w:val="21"/>
                <w:szCs w:val="21"/>
                <w:vertAlign w:val="baseline"/>
                <w:lang w:val="en-US" w:eastAsia="zh-CN"/>
              </w:rPr>
              <w:t>：248</w:t>
            </w:r>
          </w:p>
        </w:tc>
        <w:tc>
          <w:tcPr>
            <w:tcW w:w="3994"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危险特性</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遇明火、高热可燃。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灭火方法</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default" w:ascii="Times New Roman" w:hAnsi="Times New Roman" w:eastAsia="宋体" w:cs="Times New Roman"/>
                <w:b w:val="0"/>
                <w:bCs w:val="0"/>
                <w:color w:val="000000" w:themeColor="text1"/>
                <w:sz w:val="21"/>
                <w:szCs w:val="21"/>
                <w:vertAlign w:val="baseline"/>
              </w:rPr>
              <w:t>消防人员须佩戴防毒面具、穿全身消防服，在上风向灭火。尽可能将容器从火场移至空旷处。喷水保持火场容器冷却</w:t>
            </w:r>
            <w:r>
              <w:rPr>
                <w:rFonts w:hint="eastAsia" w:ascii="Times New Roman" w:hAnsi="Times New Roman" w:eastAsia="宋体" w:cs="Times New Roman"/>
                <w:b w:val="0"/>
                <w:bCs w:val="0"/>
                <w:color w:val="000000" w:themeColor="text1"/>
                <w:sz w:val="21"/>
                <w:szCs w:val="21"/>
                <w:vertAlign w:val="baseline"/>
                <w:lang w:eastAsia="zh-CN"/>
              </w:rPr>
              <w:t>，</w:t>
            </w:r>
            <w:r>
              <w:rPr>
                <w:rFonts w:hint="default" w:ascii="Times New Roman" w:hAnsi="Times New Roman" w:eastAsia="宋体" w:cs="Times New Roman"/>
                <w:b w:val="0"/>
                <w:bCs w:val="0"/>
                <w:color w:val="000000" w:themeColor="text1"/>
                <w:sz w:val="21"/>
                <w:szCs w:val="21"/>
                <w:vertAlign w:val="baseline"/>
              </w:rPr>
              <w:t>直至灭火结束。处在火场中的容器若已变色或从安全泄压装置中产生声音，必须马上撤离。灭火剂:雾状水、泡沫、干粉、二氧化碳、砂土。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燃烧产物</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稳定性</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聚合危害</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毒性及健康危害</w:t>
            </w: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急性毒性</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rPr>
              <w:t>LD50</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mg/kg</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116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健康危害</w:t>
            </w:r>
          </w:p>
        </w:tc>
        <w:tc>
          <w:tcPr>
            <w:tcW w:w="6709"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rPr>
              <w:t>侵入途径</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吸如、食入</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急救</w:t>
            </w:r>
          </w:p>
        </w:tc>
        <w:tc>
          <w:tcPr>
            <w:tcW w:w="7875" w:type="dxa"/>
            <w:gridSpan w:val="3"/>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rPr>
              <w:t>皮肤接触</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立即脱去被污染的衣着</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用大量清水冲洗</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眼睛接触</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立即提起眼睑，用大量流动清水或生理盐水冲洗，就医</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吸入</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迅速脱离现场至空气新鲜处，保持呼吸道通畅，如呼吸困难，给输氧</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如呼吸停止</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立即进行人工呼吸，就医</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食入</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饮足量温水</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防护</w:t>
            </w:r>
          </w:p>
        </w:tc>
        <w:tc>
          <w:tcPr>
            <w:tcW w:w="7875" w:type="dxa"/>
            <w:gridSpan w:val="3"/>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rPr>
              <w:t>工程控制</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密闭操作</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注意通风</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呼吸系统防护</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空气中浓度超标时，建议佩戴自吸过滤式防毒面具（半面罩)。紧急事抢救或撤离时</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应该佩戴空气呼吸器。眼睛防护</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戴化学安全防护眼镜</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身体防护</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穿防毒物渗透工作服</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手防护</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戴橡胶耐油手套</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其他</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工作现场严禁吸烟</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避免长期反复接触。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泄露处理</w:t>
            </w:r>
          </w:p>
        </w:tc>
        <w:tc>
          <w:tcPr>
            <w:tcW w:w="7875" w:type="dxa"/>
            <w:gridSpan w:val="3"/>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rPr>
              <w:t>迅速撤离泄漏污染区人员至安全区，并进行隔离，严格限制出入。切断火源。建议应急处理人员戴自给正压式呼吸器，穿防毒服。尽可能切断泄漏源。防止流入下水道、排洪沟等限制性空间。小量泄漏</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用砂土或其它不燃材料吸附或吸收。大量泄漏</w:t>
            </w:r>
            <w:r>
              <w:rPr>
                <w:rFonts w:hint="eastAsia" w:ascii="Times New Roman" w:hAnsi="Times New Roman" w:eastAsia="宋体" w:cs="Times New Roman"/>
                <w:b w:val="0"/>
                <w:bCs w:val="0"/>
                <w:color w:val="000000" w:themeColor="text1"/>
                <w:sz w:val="21"/>
                <w:szCs w:val="21"/>
                <w:vertAlign w:val="baseline"/>
                <w:lang w:eastAsia="zh-CN"/>
              </w:rPr>
              <w:t>：</w:t>
            </w:r>
            <w:r>
              <w:rPr>
                <w:rFonts w:hint="eastAsia" w:ascii="Times New Roman" w:hAnsi="Times New Roman" w:eastAsia="宋体" w:cs="Times New Roman"/>
                <w:b w:val="0"/>
                <w:bCs w:val="0"/>
                <w:color w:val="000000" w:themeColor="text1"/>
                <w:sz w:val="21"/>
                <w:szCs w:val="21"/>
                <w:vertAlign w:val="baseline"/>
              </w:rPr>
              <w:t>构筑围堤或挖坑收容。用泵转移至槽车或专用收集器内，回收或运至废物处理场所处置。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8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储运</w:t>
            </w:r>
          </w:p>
        </w:tc>
        <w:tc>
          <w:tcPr>
            <w:tcW w:w="7875" w:type="dxa"/>
            <w:gridSpan w:val="3"/>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rPr>
            </w:pPr>
            <w:r>
              <w:rPr>
                <w:rFonts w:hint="eastAsia" w:ascii="Times New Roman" w:hAnsi="Times New Roman" w:eastAsia="宋体" w:cs="Times New Roman"/>
                <w:b w:val="0"/>
                <w:bCs w:val="0"/>
                <w:color w:val="000000" w:themeColor="text1"/>
                <w:sz w:val="21"/>
                <w:szCs w:val="21"/>
                <w:vertAlign w:val="baseline"/>
              </w:rPr>
              <w:t>储存于阴凉、通风的库房。远离火种、热源。应与氧化剂分开存放，切忌混储。配备相应品种和数量的消防器材。储区应备有泄漏应急处理设备和合适的收容材料。运输前应先检查包装容器是否完整、密封，运输过程中要确保容器不泄漏、不倒塌、不坠落、不损坏。严禁与氧化剂、食用化学品等混装混运。运输车船必须彻底清洗、消毒，否则不得装运其它物品。</w:t>
            </w:r>
          </w:p>
        </w:tc>
      </w:tr>
    </w:tbl>
    <w:p>
      <w:pPr>
        <w:pStyle w:val="12"/>
        <w:adjustRightInd w:val="0"/>
        <w:snapToGrid w:val="0"/>
        <w:spacing w:after="0" w:line="360" w:lineRule="auto"/>
        <w:ind w:firstLine="480" w:firstLineChars="200"/>
        <w:jc w:val="left"/>
        <w:rPr>
          <w:rFonts w:hint="eastAsia" w:ascii="Times New Roman" w:hAnsi="Times New Roman" w:eastAsia="宋体" w:cs="Times New Roman"/>
          <w:bCs/>
          <w:color w:val="000000" w:themeColor="text1"/>
          <w:sz w:val="24"/>
          <w:szCs w:val="24"/>
          <w:lang w:eastAsia="zh-CN"/>
        </w:rPr>
      </w:pPr>
      <w:r>
        <w:rPr>
          <w:rFonts w:hint="eastAsia" w:ascii="Times New Roman" w:hAnsi="Times New Roman" w:eastAsia="宋体" w:cs="Times New Roman"/>
          <w:bCs/>
          <w:color w:val="000000" w:themeColor="text1"/>
          <w:sz w:val="24"/>
          <w:szCs w:val="24"/>
        </w:rPr>
        <w:t>（</w:t>
      </w:r>
      <w:r>
        <w:rPr>
          <w:rFonts w:hint="eastAsia" w:ascii="Times New Roman" w:hAnsi="Times New Roman" w:eastAsia="宋体" w:cs="Times New Roman"/>
          <w:bCs/>
          <w:color w:val="000000" w:themeColor="text1"/>
          <w:sz w:val="24"/>
          <w:szCs w:val="24"/>
          <w:lang w:val="en-US" w:eastAsia="zh-CN"/>
        </w:rPr>
        <w:t>2</w:t>
      </w:r>
      <w:r>
        <w:rPr>
          <w:rFonts w:hint="eastAsia" w:ascii="Times New Roman" w:hAnsi="Times New Roman" w:eastAsia="宋体" w:cs="Times New Roman"/>
          <w:bCs/>
          <w:color w:val="000000" w:themeColor="text1"/>
          <w:sz w:val="24"/>
          <w:szCs w:val="24"/>
        </w:rPr>
        <w:t>）装置</w:t>
      </w:r>
      <w:r>
        <w:rPr>
          <w:rFonts w:hint="eastAsia" w:ascii="Times New Roman" w:hAnsi="Times New Roman" w:eastAsia="宋体" w:cs="Times New Roman"/>
          <w:bCs/>
          <w:color w:val="000000" w:themeColor="text1"/>
          <w:sz w:val="24"/>
          <w:szCs w:val="24"/>
          <w:lang w:val="en-US" w:eastAsia="zh-CN"/>
        </w:rPr>
        <w:t>和生产设施风险识别</w:t>
      </w:r>
    </w:p>
    <w:p>
      <w:pPr>
        <w:pStyle w:val="12"/>
        <w:adjustRightInd w:val="0"/>
        <w:snapToGrid w:val="0"/>
        <w:spacing w:after="0" w:line="360" w:lineRule="auto"/>
        <w:ind w:firstLine="480" w:firstLineChars="200"/>
        <w:jc w:val="left"/>
        <w:rPr>
          <w:rFonts w:hint="default" w:ascii="Times New Roman" w:hAnsi="Times New Roman" w:eastAsia="宋体" w:cs="Times New Roman"/>
          <w:bCs/>
          <w:color w:val="000000" w:themeColor="text1"/>
          <w:sz w:val="24"/>
          <w:szCs w:val="24"/>
          <w:lang w:val="en-US" w:eastAsia="zh-CN"/>
        </w:rPr>
      </w:pPr>
      <w:r>
        <w:rPr>
          <w:rFonts w:hint="eastAsia" w:ascii="Times New Roman" w:hAnsi="Times New Roman" w:eastAsia="宋体" w:cs="Times New Roman"/>
          <w:bCs/>
          <w:color w:val="000000" w:themeColor="text1"/>
          <w:sz w:val="24"/>
          <w:szCs w:val="24"/>
        </w:rPr>
        <w:t>本项目装置</w:t>
      </w:r>
      <w:r>
        <w:rPr>
          <w:rFonts w:hint="eastAsia" w:ascii="Times New Roman" w:hAnsi="Times New Roman" w:eastAsia="宋体" w:cs="Times New Roman"/>
          <w:bCs/>
          <w:color w:val="000000" w:themeColor="text1"/>
          <w:sz w:val="24"/>
          <w:szCs w:val="24"/>
          <w:lang w:val="en-US" w:eastAsia="zh-CN"/>
        </w:rPr>
        <w:t>和生产设施风险</w:t>
      </w:r>
      <w:r>
        <w:rPr>
          <w:rFonts w:hint="eastAsia" w:ascii="Times New Roman" w:hAnsi="Times New Roman" w:eastAsia="宋体" w:cs="Times New Roman"/>
          <w:bCs/>
          <w:color w:val="000000" w:themeColor="text1"/>
          <w:sz w:val="24"/>
          <w:szCs w:val="24"/>
        </w:rPr>
        <w:t>主要表现在</w:t>
      </w:r>
      <w:r>
        <w:rPr>
          <w:rFonts w:hint="eastAsia" w:ascii="Times New Roman" w:hAnsi="Times New Roman" w:eastAsia="宋体" w:cs="Times New Roman"/>
          <w:bCs/>
          <w:color w:val="000000" w:themeColor="text1"/>
          <w:sz w:val="24"/>
          <w:szCs w:val="24"/>
          <w:lang w:val="en-US" w:eastAsia="zh-CN"/>
        </w:rPr>
        <w:t>采矿巷道、废水沉淀池、现有工程废石场；采矿巷道可能发生的风险活动包括采空区塌陷、突水或透水、爆破等，详见下表：</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lang w:val="en-US" w:eastAsia="zh-CN"/>
        </w:rPr>
      </w:pPr>
      <w:r>
        <w:rPr>
          <w:rFonts w:hint="eastAsia" w:ascii="Times New Roman" w:hAnsi="Times New Roman" w:eastAsia="宋体" w:cs="Times New Roman"/>
          <w:bCs/>
          <w:color w:val="000000" w:themeColor="text1"/>
          <w:sz w:val="24"/>
          <w:szCs w:val="24"/>
          <w:lang w:val="en-US" w:eastAsia="zh-CN"/>
        </w:rPr>
        <w:t>A.巷道</w:t>
      </w:r>
    </w:p>
    <w:p>
      <w:pPr>
        <w:pStyle w:val="12"/>
        <w:adjustRightInd w:val="0"/>
        <w:snapToGrid w:val="0"/>
        <w:spacing w:after="0" w:line="360" w:lineRule="auto"/>
        <w:ind w:left="0" w:leftChars="0" w:firstLine="0" w:firstLineChars="0"/>
        <w:jc w:val="center"/>
        <w:rPr>
          <w:rFonts w:hint="default" w:ascii="Times New Roman" w:hAnsi="Times New Roman" w:eastAsia="宋体" w:cs="Times New Roman"/>
          <w:b/>
          <w:bCs w:val="0"/>
          <w:color w:val="000000" w:themeColor="text1"/>
          <w:sz w:val="21"/>
          <w:szCs w:val="21"/>
          <w:lang w:val="en-US" w:eastAsia="zh-CN"/>
        </w:rPr>
      </w:pPr>
      <w:r>
        <w:rPr>
          <w:rFonts w:hint="eastAsia" w:ascii="Times New Roman" w:hAnsi="Times New Roman" w:eastAsia="宋体" w:cs="Times New Roman"/>
          <w:b/>
          <w:bCs w:val="0"/>
          <w:color w:val="000000" w:themeColor="text1"/>
          <w:sz w:val="21"/>
          <w:szCs w:val="21"/>
          <w:lang w:val="en-US" w:eastAsia="zh-CN"/>
        </w:rPr>
        <w:t>表5.2-27  采矿巷道风险识别分析表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4401"/>
        <w:gridCol w:w="1663"/>
        <w:gridCol w:w="13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50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活动</w:t>
            </w: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导致风险的因素</w:t>
            </w:r>
          </w:p>
        </w:tc>
        <w:tc>
          <w:tcPr>
            <w:tcW w:w="166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直接结果</w:t>
            </w:r>
          </w:p>
        </w:tc>
        <w:tc>
          <w:tcPr>
            <w:tcW w:w="138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不良后果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506"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采矿活动</w:t>
            </w: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采矿活动作业不规范</w:t>
            </w:r>
          </w:p>
        </w:tc>
        <w:tc>
          <w:tcPr>
            <w:tcW w:w="1663"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采空区塌陷</w:t>
            </w:r>
          </w:p>
        </w:tc>
        <w:tc>
          <w:tcPr>
            <w:tcW w:w="1387"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生态破坏、人员伤亡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506"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井下支护不规范</w:t>
            </w:r>
          </w:p>
        </w:tc>
        <w:tc>
          <w:tcPr>
            <w:tcW w:w="166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c>
          <w:tcPr>
            <w:tcW w:w="1387"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150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掘进或开采过程</w:t>
            </w: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遇到特殊水文地质单元</w:t>
            </w:r>
          </w:p>
        </w:tc>
        <w:tc>
          <w:tcPr>
            <w:tcW w:w="166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突水或透水</w:t>
            </w:r>
          </w:p>
        </w:tc>
        <w:tc>
          <w:tcPr>
            <w:tcW w:w="138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人员伤亡、生态破坏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50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爆破</w:t>
            </w: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作业人员不规范操作</w:t>
            </w:r>
          </w:p>
        </w:tc>
        <w:tc>
          <w:tcPr>
            <w:tcW w:w="166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意外爆破</w:t>
            </w:r>
          </w:p>
        </w:tc>
        <w:tc>
          <w:tcPr>
            <w:tcW w:w="1387"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人员伤亡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1506"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炮烟及工作面扬尘</w:t>
            </w: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通风系统不完善或故障</w:t>
            </w:r>
          </w:p>
        </w:tc>
        <w:tc>
          <w:tcPr>
            <w:tcW w:w="1663"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瞬时废气浓度大大增高</w:t>
            </w:r>
          </w:p>
        </w:tc>
        <w:tc>
          <w:tcPr>
            <w:tcW w:w="1387"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人体器官受损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506"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000000" w:themeColor="text1"/>
                <w:sz w:val="21"/>
                <w:szCs w:val="21"/>
                <w:vertAlign w:val="baseline"/>
                <w:lang w:val="en-US" w:eastAsia="zh-CN"/>
              </w:rPr>
              <w:t>放炮后等待炮烟扩散的时间不够</w:t>
            </w:r>
          </w:p>
        </w:tc>
        <w:tc>
          <w:tcPr>
            <w:tcW w:w="166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c>
          <w:tcPr>
            <w:tcW w:w="1387"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06"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c>
          <w:tcPr>
            <w:tcW w:w="4401"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采矿除尘系统除尘效率不够或出现故障</w:t>
            </w:r>
          </w:p>
        </w:tc>
        <w:tc>
          <w:tcPr>
            <w:tcW w:w="1663"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c>
          <w:tcPr>
            <w:tcW w:w="1387"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000000" w:themeColor="text1"/>
                <w:sz w:val="21"/>
                <w:szCs w:val="21"/>
                <w:vertAlign w:val="baseline"/>
              </w:rPr>
            </w:pPr>
          </w:p>
        </w:tc>
      </w:tr>
    </w:tbl>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eastAsia" w:ascii="Times New Roman" w:hAnsi="Times New Roman" w:eastAsia="宋体" w:cs="Times New Roman"/>
          <w:bCs/>
          <w:color w:val="000000" w:themeColor="text1"/>
          <w:sz w:val="24"/>
          <w:szCs w:val="24"/>
          <w:lang w:val="en-US" w:eastAsia="zh-CN"/>
        </w:rPr>
      </w:pPr>
      <w:r>
        <w:rPr>
          <w:rFonts w:hint="eastAsia" w:ascii="Times New Roman" w:hAnsi="Times New Roman" w:eastAsia="宋体" w:cs="Times New Roman"/>
          <w:bCs/>
          <w:color w:val="000000" w:themeColor="text1"/>
          <w:sz w:val="24"/>
          <w:szCs w:val="24"/>
          <w:lang w:val="en-US" w:eastAsia="zh-CN"/>
        </w:rPr>
        <w:t>B.废水沉淀池</w:t>
      </w:r>
    </w:p>
    <w:p>
      <w:pPr>
        <w:pStyle w:val="12"/>
        <w:adjustRightInd w:val="0"/>
        <w:snapToGrid w:val="0"/>
        <w:spacing w:after="0" w:line="360" w:lineRule="auto"/>
        <w:ind w:firstLine="480" w:firstLineChars="200"/>
        <w:rPr>
          <w:rFonts w:ascii="Times New Roman" w:hAnsi="Times New Roman" w:cs="Times New Roman"/>
          <w:bCs/>
          <w:color w:val="000000" w:themeColor="text1"/>
          <w:kern w:val="0"/>
          <w:sz w:val="24"/>
        </w:rPr>
      </w:pPr>
      <w:r>
        <w:rPr>
          <w:rFonts w:hint="eastAsia" w:ascii="Times New Roman" w:hAnsi="Times New Roman" w:eastAsia="宋体" w:cs="Times New Roman"/>
          <w:bCs/>
          <w:color w:val="000000" w:themeColor="text1"/>
          <w:sz w:val="24"/>
          <w:szCs w:val="24"/>
          <w:lang w:val="en-US" w:eastAsia="zh-CN"/>
        </w:rPr>
        <w:t>废水沉淀池的水主要为除尘废水以及少量的井下涌水。沉淀池将废水沉淀后全部回用于地下开采或矿石堆场降尘。另外，还有现有工程废石场的淋溶废水。废水在沉淀过程中，沉淀池泄露，废水在事故状态下可能会进入外环境，进而对环境产生影响。本项目涉及的</w:t>
      </w:r>
      <w:r>
        <w:rPr>
          <w:rFonts w:hint="eastAsia" w:ascii="Times New Roman" w:hAnsi="Times New Roman" w:cs="Times New Roman"/>
          <w:bCs/>
          <w:color w:val="000000" w:themeColor="text1"/>
          <w:kern w:val="0"/>
          <w:sz w:val="24"/>
        </w:rPr>
        <w:t>钡是一种重金属，</w:t>
      </w:r>
      <w:r>
        <w:rPr>
          <w:rFonts w:hint="eastAsia" w:ascii="Times New Roman" w:hAnsi="Times New Roman" w:cs="Times New Roman"/>
          <w:bCs/>
          <w:color w:val="000000" w:themeColor="text1"/>
          <w:kern w:val="0"/>
          <w:sz w:val="24"/>
          <w:lang w:val="en-US" w:eastAsia="zh-CN"/>
        </w:rPr>
        <w:t>通过</w:t>
      </w:r>
      <w:r>
        <w:rPr>
          <w:rFonts w:hint="eastAsia" w:ascii="Times New Roman" w:hAnsi="Times New Roman" w:cs="Times New Roman"/>
          <w:bCs/>
          <w:color w:val="000000" w:themeColor="text1"/>
          <w:kern w:val="0"/>
          <w:sz w:val="24"/>
        </w:rPr>
        <w:t>化学反应、经过水长期淋溶、渗漏、溢流等作用，并在一定的环境条件下改变了水</w:t>
      </w:r>
      <w:r>
        <w:rPr>
          <w:rFonts w:hint="eastAsia" w:ascii="Times New Roman" w:hAnsi="Times New Roman" w:cs="Times New Roman"/>
          <w:bCs/>
          <w:color w:val="000000" w:themeColor="text1"/>
          <w:kern w:val="0"/>
          <w:sz w:val="24"/>
          <w:lang w:eastAsia="zh-CN"/>
        </w:rPr>
        <w:t>、</w:t>
      </w:r>
      <w:r>
        <w:rPr>
          <w:rFonts w:hint="eastAsia" w:ascii="Times New Roman" w:hAnsi="Times New Roman" w:cs="Times New Roman"/>
          <w:bCs/>
          <w:color w:val="000000" w:themeColor="text1"/>
          <w:kern w:val="0"/>
          <w:sz w:val="24"/>
        </w:rPr>
        <w:t>沉积物、土壤界面的环境条件，使固定在颗粒中的重金属释放、迁移，导致水体、土壤、植物的重金属污染。这样，生物从环境中摄取含钡有毒物质可以经过食物链的生物放大作用，在较高级生物体内成千万倍地富集起来，然后通过食物进入人体，在人体的某些器官中积蓄起来造成慢性中毒，危害人体健康。我们已经知道，金属钡毒性很低，但可溶性钡盐的毒性很高。不同的钡化合物的毒性大小与溶解度有关，溶解度高，毒性大，可溶性钡盐如氯化钡、醋酸钡、硝酸钡等为剧毒。碳酸钡虽不溶于水，但服入后与胃酸反应成为氯化钡而有毒。口服氯化钡0.2~0.5克即可中毒，致死量约为0.8~1.0克。大量钡离子吸收入血液后，可对各类肌肉组织包括骨骼肌、平滑肌及心肌产生过度兴奋作用，最后转为抑制而致麻痹。钡离子可进入细胞内，使血清钾降低，导致低钾血症。所以，应严格防止钡的重金属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本次项目</w:t>
      </w:r>
      <w:r>
        <w:rPr>
          <w:rFonts w:hint="default" w:ascii="Times New Roman" w:hAnsi="Times New Roman" w:eastAsia="宋体" w:cs="Times New Roman"/>
          <w:color w:val="000000" w:themeColor="text1"/>
          <w:sz w:val="24"/>
          <w:szCs w:val="24"/>
        </w:rPr>
        <w:t>矿物组成为毒重石和重晶石。毒重石矿石的有用矿物为白色、深灰——灰色毒重石，含量约占矿物总量的90—95%。脉石矿物含量较少，主要为重晶石、石英、绿泥石等，约占矿物总量的5—10%。重晶石呈白、灰、深灰及黄褐等颜色。主要矿物成分为重晶石，含量≥90%；次为石英、毒重石、斜钡钙石；含有少量的方解石、碳质、钡钒云母、铝硅钡石及微量黄铁矿。毒重石主要成分BaCO</w:t>
      </w:r>
      <w:r>
        <w:rPr>
          <w:rFonts w:hint="default" w:ascii="Times New Roman" w:hAnsi="Times New Roman" w:eastAsia="宋体" w:cs="Times New Roman"/>
          <w:color w:val="000000" w:themeColor="text1"/>
          <w:sz w:val="24"/>
          <w:szCs w:val="24"/>
          <w:vertAlign w:val="subscript"/>
        </w:rPr>
        <w:t>3</w:t>
      </w:r>
      <w:r>
        <w:rPr>
          <w:rFonts w:hint="default" w:ascii="Times New Roman" w:hAnsi="Times New Roman" w:eastAsia="宋体" w:cs="Times New Roman"/>
          <w:color w:val="000000" w:themeColor="text1"/>
          <w:sz w:val="24"/>
          <w:szCs w:val="24"/>
        </w:rPr>
        <w:t>（含量76.72%），重晶石主要成分BaSO</w:t>
      </w:r>
      <w:r>
        <w:rPr>
          <w:rFonts w:hint="default" w:ascii="Times New Roman" w:hAnsi="Times New Roman" w:eastAsia="宋体" w:cs="Times New Roman"/>
          <w:color w:val="000000" w:themeColor="text1"/>
          <w:sz w:val="24"/>
          <w:szCs w:val="24"/>
          <w:vertAlign w:val="subscript"/>
        </w:rPr>
        <w:t>4</w:t>
      </w:r>
      <w:r>
        <w:rPr>
          <w:rFonts w:hint="default" w:ascii="Times New Roman" w:hAnsi="Times New Roman" w:eastAsia="宋体" w:cs="Times New Roman"/>
          <w:color w:val="000000" w:themeColor="text1"/>
          <w:sz w:val="24"/>
          <w:szCs w:val="24"/>
        </w:rPr>
        <w:t>（含量89.36～96.82%）。碳酸钡难溶于水；硫酸钡性质稳定，难溶于水、酸、碱或</w:t>
      </w: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HYPERLINK "https://baike.so.com/doc/4792021-5008084.html" \t "https://baike.so.com/doc/_blank"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有机溶剂</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bCs/>
          <w:color w:val="000000" w:themeColor="text1"/>
          <w:sz w:val="24"/>
          <w:szCs w:val="24"/>
        </w:rPr>
        <w:t>由本项目的废石浸出液可知，钡元素没有检出，说明废水中</w:t>
      </w:r>
      <w:r>
        <w:rPr>
          <w:rFonts w:hint="eastAsia" w:ascii="Times New Roman" w:hAnsi="Times New Roman" w:eastAsia="宋体" w:cs="Times New Roman"/>
          <w:bCs/>
          <w:color w:val="000000" w:themeColor="text1"/>
          <w:sz w:val="24"/>
          <w:szCs w:val="24"/>
          <w:lang w:eastAsia="zh-CN"/>
        </w:rPr>
        <w:t>钡元素含量极低</w:t>
      </w:r>
      <w:r>
        <w:rPr>
          <w:rFonts w:hint="default" w:ascii="Times New Roman" w:hAnsi="Times New Roman" w:eastAsia="宋体" w:cs="Times New Roman"/>
          <w:bCs/>
          <w:color w:val="000000" w:themeColor="text1"/>
          <w:sz w:val="24"/>
          <w:szCs w:val="24"/>
        </w:rPr>
        <w:t>。运营期间，为进一步保障金属元素尤其是钡元素不对外环境产生影响，本项目要求对采矿废水进行收集沉淀后回用，项目废水不外排，从源头杜绝钡元素进入外环境的可能性。沉淀池防渗层一旦发生泄漏，生产废水将会进入土壤、地下水甚至是地表水环境。环评要求对废水沉淀池进行专人管理，定期检查。厂区应制定环境突发事件应急预案，设置应急储存设备，配备必要的应急物资，并且对人员进行应急演练。</w:t>
      </w:r>
    </w:p>
    <w:p>
      <w:pPr>
        <w:pStyle w:val="12"/>
        <w:adjustRightInd w:val="0"/>
        <w:snapToGrid w:val="0"/>
        <w:spacing w:after="0" w:line="360" w:lineRule="auto"/>
        <w:ind w:firstLine="480" w:firstLineChars="200"/>
        <w:jc w:val="left"/>
        <w:rPr>
          <w:rFonts w:hint="default" w:ascii="Times New Roman" w:hAnsi="Times New Roman" w:eastAsia="宋体" w:cs="Times New Roman"/>
          <w:bCs/>
          <w:color w:val="FF0000"/>
          <w:sz w:val="24"/>
          <w:szCs w:val="24"/>
          <w:lang w:val="en-US" w:eastAsia="zh-CN"/>
        </w:rPr>
      </w:pPr>
      <w:r>
        <w:rPr>
          <w:rFonts w:hint="eastAsia" w:ascii="Times New Roman" w:hAnsi="Times New Roman" w:eastAsia="宋体" w:cs="Times New Roman"/>
          <w:bCs/>
          <w:color w:val="FF0000"/>
          <w:sz w:val="24"/>
          <w:szCs w:val="24"/>
          <w:lang w:val="en-US" w:eastAsia="zh-CN"/>
        </w:rPr>
        <w:t>C.现有工程废石场</w:t>
      </w:r>
    </w:p>
    <w:p>
      <w:pPr>
        <w:pStyle w:val="12"/>
        <w:adjustRightInd w:val="0"/>
        <w:snapToGrid w:val="0"/>
        <w:spacing w:after="0" w:line="360" w:lineRule="auto"/>
        <w:ind w:firstLine="480" w:firstLineChars="200"/>
        <w:jc w:val="left"/>
        <w:rPr>
          <w:rFonts w:hint="eastAsia" w:ascii="Times New Roman" w:hAnsi="Times New Roman" w:eastAsia="宋体" w:cs="Times New Roman"/>
          <w:bCs/>
          <w:color w:val="FF0000"/>
          <w:kern w:val="2"/>
          <w:sz w:val="24"/>
          <w:szCs w:val="24"/>
          <w:lang w:val="en-US" w:eastAsia="zh-CN" w:bidi="ar-SA"/>
        </w:rPr>
      </w:pPr>
      <w:r>
        <w:rPr>
          <w:rFonts w:hint="eastAsia" w:ascii="Times New Roman" w:hAnsi="Times New Roman" w:eastAsia="宋体" w:cs="Times New Roman"/>
          <w:bCs/>
          <w:color w:val="FF0000"/>
          <w:kern w:val="2"/>
          <w:sz w:val="24"/>
          <w:szCs w:val="24"/>
          <w:lang w:val="en-US" w:eastAsia="zh-CN" w:bidi="ar-SA"/>
        </w:rPr>
        <w:t>现有工程废石场的主要风险为溃坝风险。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FF0000"/>
          <w:sz w:val="24"/>
          <w:szCs w:val="24"/>
        </w:rPr>
      </w:pPr>
      <w:r>
        <w:rPr>
          <w:rFonts w:hint="eastAsia"/>
          <w:color w:val="FF0000"/>
          <w:sz w:val="24"/>
          <w:szCs w:val="24"/>
        </w:rPr>
        <w:t>废石场若截水、排水不利，</w:t>
      </w:r>
      <w:r>
        <w:rPr>
          <w:rFonts w:hint="eastAsia"/>
          <w:color w:val="FF0000"/>
          <w:sz w:val="24"/>
          <w:szCs w:val="24"/>
          <w:lang w:val="en-US" w:eastAsia="zh-CN"/>
        </w:rPr>
        <w:t>拦渣坝</w:t>
      </w:r>
      <w:r>
        <w:rPr>
          <w:rFonts w:hint="eastAsia"/>
          <w:color w:val="FF0000"/>
          <w:sz w:val="24"/>
          <w:szCs w:val="24"/>
        </w:rPr>
        <w:t>修筑不规范或暴雨冲刷废石场，可能引发废石滑塌和泥石流，将阻塞下游河道，威胁居民安全，并对生态环境产生较大的不利影响。废石场发生滑塌一般为两种情况，即整体失稳和边坡失稳。废石场整体失稳主要原因：废石场基底地形坡度陡，剥离物的物理学性质差，与基底之间的摩擦系数小；基底工程地质、水文地质条件差，基底承载力低；排水工程设施不完善；人类活动及自然灾害等影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bCs/>
          <w:color w:val="FF0000"/>
          <w:sz w:val="24"/>
          <w:szCs w:val="24"/>
        </w:rPr>
      </w:pPr>
      <w:r>
        <w:rPr>
          <w:rFonts w:hint="eastAsia"/>
          <w:color w:val="FF0000"/>
          <w:sz w:val="24"/>
          <w:szCs w:val="24"/>
        </w:rPr>
        <w:t>废石场边坡失稳的主要原因：废石场排放剥离物的阶段高度超过了剥离物的稳定高度；场内连续排放了物理力学性质不良的岩石层，从而形成了软弱面，导致边坡失稳；地表水截水不当，流入场内，使岩土含水饱和，降低了岩土的物理力学性质；场内地表水集流冲刷边坡，河沟水流浸泡冲刷边坡角等，废石场边坡一旦失稳，也会形成泥石流。据现场调查，项目废石场</w:t>
      </w:r>
      <w:r>
        <w:rPr>
          <w:rFonts w:hint="eastAsia"/>
          <w:color w:val="FF0000"/>
          <w:sz w:val="24"/>
          <w:szCs w:val="24"/>
          <w:lang w:val="en-US" w:eastAsia="zh-CN"/>
        </w:rPr>
        <w:t>平硐下</w:t>
      </w:r>
      <w:r>
        <w:rPr>
          <w:rFonts w:hint="eastAsia"/>
          <w:color w:val="FF0000"/>
          <w:sz w:val="24"/>
          <w:szCs w:val="24"/>
        </w:rPr>
        <w:t>荒沟内，下游至吕河河口范围内无村庄。废石场一旦发生泥石流事故，泥石流以涌坡形式泄入下游沟道，将对下游沟道生态</w:t>
      </w:r>
      <w:r>
        <w:rPr>
          <w:rFonts w:hint="eastAsia"/>
          <w:color w:val="FF0000"/>
          <w:sz w:val="24"/>
          <w:szCs w:val="24"/>
          <w:lang w:val="en-US" w:eastAsia="zh-CN"/>
        </w:rPr>
        <w:t>环境</w:t>
      </w:r>
      <w:r>
        <w:rPr>
          <w:rFonts w:hint="eastAsia"/>
          <w:color w:val="FF0000"/>
          <w:sz w:val="24"/>
          <w:szCs w:val="24"/>
        </w:rPr>
        <w:t>和水环境造成影响，对下游居民的影响较小。</w:t>
      </w:r>
    </w:p>
    <w:p>
      <w:pPr>
        <w:pStyle w:val="12"/>
        <w:adjustRightInd w:val="0"/>
        <w:snapToGrid w:val="0"/>
        <w:spacing w:after="0" w:line="360" w:lineRule="auto"/>
        <w:ind w:firstLine="480" w:firstLineChars="200"/>
        <w:jc w:val="left"/>
        <w:rPr>
          <w:rFonts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rPr>
        <w:t>（3）途径识别</w:t>
      </w:r>
    </w:p>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Cs/>
          <w:color w:val="000000" w:themeColor="text1"/>
          <w:sz w:val="24"/>
          <w:szCs w:val="24"/>
        </w:rPr>
        <w:t>本项目的危险物质主要为</w:t>
      </w:r>
      <w:r>
        <w:rPr>
          <w:rFonts w:hint="eastAsia" w:ascii="Times New Roman" w:hAnsi="Times New Roman" w:eastAsia="宋体" w:cs="Times New Roman"/>
          <w:bCs/>
          <w:color w:val="000000" w:themeColor="text1"/>
          <w:sz w:val="24"/>
          <w:szCs w:val="24"/>
          <w:lang w:val="en-US" w:eastAsia="zh-CN"/>
        </w:rPr>
        <w:t>废机油</w:t>
      </w:r>
      <w:r>
        <w:rPr>
          <w:rFonts w:hint="eastAsia" w:ascii="Times New Roman" w:hAnsi="Times New Roman" w:eastAsia="宋体" w:cs="Times New Roman"/>
          <w:bCs/>
          <w:color w:val="000000" w:themeColor="text1"/>
          <w:sz w:val="24"/>
          <w:szCs w:val="24"/>
        </w:rPr>
        <w:t>，</w:t>
      </w:r>
      <w:r>
        <w:rPr>
          <w:rFonts w:hint="eastAsia" w:ascii="Times New Roman" w:hAnsi="Times New Roman" w:eastAsia="宋体" w:cs="Times New Roman"/>
          <w:bCs/>
          <w:color w:val="000000" w:themeColor="text1"/>
          <w:sz w:val="24"/>
          <w:szCs w:val="24"/>
          <w:lang w:val="en-US" w:eastAsia="zh-CN"/>
        </w:rPr>
        <w:t>遇明火易发生火灾和爆炸。</w:t>
      </w:r>
      <w:r>
        <w:rPr>
          <w:rFonts w:hint="eastAsia" w:ascii="Times New Roman" w:hAnsi="Times New Roman" w:eastAsia="宋体" w:cs="Times New Roman"/>
          <w:bCs/>
          <w:color w:val="000000" w:themeColor="text1"/>
          <w:sz w:val="24"/>
          <w:szCs w:val="24"/>
        </w:rPr>
        <w:t>火灾产生的浓烟以及大量的有害物质以及造成的缺氧环境会使人呼吸困难，活动能力减弱，严重时晕倒窒息，当人体吸入大量的一氧化碳时，可能导致人员死亡。</w:t>
      </w:r>
    </w:p>
    <w:p>
      <w:pPr>
        <w:pageBreakBefore w:val="0"/>
        <w:widowControl w:val="0"/>
        <w:numPr>
          <w:ilvl w:val="2"/>
          <w:numId w:val="0"/>
        </w:numPr>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表5.2-28  环境风险识别表</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491"/>
        <w:gridCol w:w="1163"/>
        <w:gridCol w:w="1335"/>
        <w:gridCol w:w="1380"/>
        <w:gridCol w:w="2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93"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危险单元</w:t>
            </w:r>
          </w:p>
        </w:tc>
        <w:tc>
          <w:tcPr>
            <w:tcW w:w="1491"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危险源</w:t>
            </w:r>
          </w:p>
        </w:tc>
        <w:tc>
          <w:tcPr>
            <w:tcW w:w="1163"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主要危险物质</w:t>
            </w:r>
          </w:p>
        </w:tc>
        <w:tc>
          <w:tcPr>
            <w:tcW w:w="1335"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环境风险类型</w:t>
            </w:r>
          </w:p>
        </w:tc>
        <w:tc>
          <w:tcPr>
            <w:tcW w:w="1380"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影响途径</w:t>
            </w:r>
          </w:p>
        </w:tc>
        <w:tc>
          <w:tcPr>
            <w:tcW w:w="2095"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可能受影响的环境敏感目标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1493"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环保工程</w:t>
            </w:r>
          </w:p>
        </w:tc>
        <w:tc>
          <w:tcPr>
            <w:tcW w:w="1491"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危险废物储存间</w:t>
            </w:r>
          </w:p>
        </w:tc>
        <w:tc>
          <w:tcPr>
            <w:tcW w:w="1163"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机油</w:t>
            </w:r>
          </w:p>
        </w:tc>
        <w:tc>
          <w:tcPr>
            <w:tcW w:w="1335"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泄露、火灾、爆炸</w:t>
            </w:r>
          </w:p>
        </w:tc>
        <w:tc>
          <w:tcPr>
            <w:tcW w:w="1380"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大气、地表水、土壤、地下水</w:t>
            </w:r>
          </w:p>
        </w:tc>
        <w:tc>
          <w:tcPr>
            <w:tcW w:w="2095" w:type="dxa"/>
            <w:tcBorders>
              <w:tl2br w:val="nil"/>
              <w:tr2bl w:val="nil"/>
            </w:tcBorders>
            <w:vAlign w:val="center"/>
          </w:tcPr>
          <w:p>
            <w:pPr>
              <w:keepNext w:val="0"/>
              <w:keepLines w:val="0"/>
              <w:pageBreakBefore w:val="0"/>
              <w:widowControl w:val="0"/>
              <w:numPr>
                <w:ilvl w:val="2"/>
                <w:numId w:val="0"/>
              </w:numPr>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构皮沟地表水、土壤环境、地下水环境、周边居民等</w:t>
            </w:r>
          </w:p>
        </w:tc>
      </w:tr>
    </w:tbl>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5.2.8.3  环境风险分析</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（1）大气环境</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废机油在发生火灾和爆炸后，会产生一氧化碳、氮氧化物等有害气体，导致局部环境空气质量变差，人大量吸入后，可能导致一氧化碳中毒，危及生命。</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（2）地表水环境</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废机油发生泄露后，可能直接流入地表水体。生产废水事故状态下也可能直接流入地表水环境。风险物质进入地表水体，均会对地表水体的水质产生影响。</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（3）土壤</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废机油在储存过程中，容器发生破裂，地面无防渗时，危险物质就会直接进入土壤环境。废水在沉淀池发生破损的情况下发生泄露，首先会进入周围的土壤，对土壤环境产生影响。</w:t>
      </w:r>
    </w:p>
    <w:p>
      <w:pPr>
        <w:keepNext w:val="0"/>
        <w:keepLines w:val="0"/>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（4）地下水</w:t>
      </w:r>
    </w:p>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废机油、废水等在事故状态下进入土壤环境后，通过不断下渗，就会进入地下水，进而影响地下水环境。</w:t>
      </w:r>
    </w:p>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5.2.8.4  环境风险防范措施及应急要求</w:t>
      </w:r>
    </w:p>
    <w:p>
      <w:pPr>
        <w:pageBreakBefore w:val="0"/>
        <w:widowControl w:val="0"/>
        <w:numPr>
          <w:ilvl w:val="2"/>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风险防范措施：</w:t>
      </w:r>
    </w:p>
    <w:p>
      <w:pPr>
        <w:keepNext w:val="0"/>
        <w:keepLines w:val="0"/>
        <w:pageBreakBefore w:val="0"/>
        <w:widowControl w:val="0"/>
        <w:numPr>
          <w:ilvl w:val="0"/>
          <w:numId w:val="22"/>
        </w:numPr>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定期对废水沉淀池进行检查，防止有破损、泄露的现象。防止废水输送过程中出现跑冒滴漏的现象，一旦发生管线有破损，应立即进行修补或者更换。</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（2）废机油储存应选用防渗漏的容器，做好地面防渗，定期检查地面，防止出现裂缝，贮存场所应严禁烟火。</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3）矿区设环保小组、专职人员对危险物质进行管理，定期对职工进行培训，尤其是相关环保设备的使用情况，相关安全防范知识等，应做到人人尽知，人人尽责。按照安全、应急预案等要求，在矿区配备相应的消防物资。</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color w:val="FF0000"/>
          <w:sz w:val="24"/>
          <w:szCs w:val="24"/>
        </w:rPr>
      </w:pPr>
      <w:r>
        <w:rPr>
          <w:rFonts w:hint="eastAsia" w:ascii="Times New Roman" w:hAnsi="Times New Roman" w:eastAsia="宋体" w:cs="Times New Roman"/>
          <w:b w:val="0"/>
          <w:bCs w:val="0"/>
          <w:color w:val="FF0000"/>
          <w:sz w:val="24"/>
          <w:szCs w:val="24"/>
          <w:lang w:val="en-US" w:eastAsia="zh-CN"/>
        </w:rPr>
        <w:t>（4）</w:t>
      </w:r>
      <w:r>
        <w:rPr>
          <w:rFonts w:hint="default" w:ascii="Times New Roman" w:hAnsi="Times New Roman" w:eastAsia="宋体" w:cs="Times New Roman"/>
          <w:color w:val="FF0000"/>
          <w:sz w:val="24"/>
          <w:szCs w:val="24"/>
        </w:rPr>
        <w:t>井下采矿施工，应严格按照设计的矿块开采方案进行，留足合理的保安矿柱，施工中坚持敲帮问顶的工作制度，及时处理松动的天板，确保矿块安全回采。采场凿岩爆破后，用高压水冲洗顶底板，及时清除两帮松动的浮石，切实做好敲帮问顶工作；加强采场内照明，配备专职安全员检查和处理顶板。硐、平巷及各类硐室，均据围岩强度、性质、及构造（节理）发育程度与施工质量和工程使用与保留时间分别进行喷支、砼支架、木支护等支护，确保井下作业与其他人员的安全。</w:t>
      </w:r>
    </w:p>
    <w:p>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rPr>
      </w:pPr>
      <w:r>
        <w:rPr>
          <w:rFonts w:hint="eastAsia" w:ascii="Times New Roman" w:hAnsi="Times New Roman" w:eastAsia="宋体" w:cs="Times New Roman"/>
          <w:b w:val="0"/>
          <w:bCs w:val="0"/>
          <w:color w:val="FF0000"/>
          <w:sz w:val="24"/>
          <w:szCs w:val="24"/>
          <w:lang w:val="en-US" w:eastAsia="zh-CN"/>
        </w:rPr>
        <w:t>（5）</w:t>
      </w:r>
      <w:r>
        <w:rPr>
          <w:rFonts w:hint="default" w:ascii="Times New Roman" w:hAnsi="Times New Roman" w:eastAsia="宋体" w:cs="Times New Roman"/>
          <w:color w:val="FF0000"/>
          <w:sz w:val="24"/>
          <w:szCs w:val="24"/>
        </w:rPr>
        <w:t>根据《陕西省旬阳县赤岩镇水磨河口构皮沟毒重石矿矿产资源开发利用方案》报告资料，各施工平硐基本无大的地下水涌水点，仅在进硐段局部有点滴状地下水从顶板渗出，矿坑涌水量很小，因此评价认为工程矿山开采对区域地下水水量和水位影响不大。为防止沉淀池渗漏对环境造成危害，环评要求在沉淀池下方修建事故水池，以防止事故状态下废水对环境的危害。如果井下突发大量透水事件或构皮沟及支沟断流，则应立即停止矿山生产，利用工程手段切断采掘面与地表水体的水力联系，确保矿山生产持续进行。</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6）发生废机油泄露风险事故时，应首先找到泄露源头，迅速堵截，切断火源，进一步对泄露的风险物质进行处置，防止其进入外环境。发生火灾和爆炸事故时，首先转移人员至安全地点，应选择所在场地的上风向；应急处理人员在处理风险事故时，应配备相应的安全防护设备，如防毒面罩、手套、呼吸器等。</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color w:val="FF0000"/>
          <w:sz w:val="24"/>
          <w:szCs w:val="24"/>
          <w:lang w:val="en-US" w:eastAsia="zh-CN"/>
        </w:rPr>
        <w:t>（7）</w:t>
      </w:r>
      <w:r>
        <w:rPr>
          <w:rFonts w:hint="default" w:ascii="Times New Roman" w:hAnsi="Times New Roman" w:eastAsia="宋体" w:cs="Times New Roman"/>
          <w:color w:val="FF0000"/>
          <w:sz w:val="24"/>
          <w:szCs w:val="24"/>
        </w:rPr>
        <w:t>发现地表岩石移动、地裂缝和地面塌陷现象时，应立即对裂缝和塌陷进行封堵，并设置警示标志</w:t>
      </w:r>
      <w:r>
        <w:rPr>
          <w:rFonts w:hint="eastAsia" w:ascii="Times New Roman" w:hAnsi="Times New Roman" w:eastAsia="宋体" w:cs="Times New Roman"/>
          <w:color w:val="FF0000"/>
          <w:sz w:val="24"/>
          <w:szCs w:val="24"/>
          <w:lang w:eastAsia="zh-CN"/>
        </w:rPr>
        <w:t>，并组织专业人员进行检查，排除隐患。</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（8）作业人员严格按照作业规程进行作业，防止放炮烟气和施工作业面烟尘对身体造成损害。</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9）按照工程技术文件修筑拦渣坝，本项目废石场内无地表径流，为减少雨天进入废石场的水量，应根据现场地形，修建截排水沟。尽快对现有工程的废石场进行生态恢复。由专人负责定期对废石场进行检查，尤其是边坡和整体的稳定性，对废石场基底地形比较陡峭的坡段，要削坡，增加其与基底之间的摩擦系数，禁止人为活动对废石场进行私自挖掘，生态恢复治理也需要根据设计方案进行治理，防止治理不当引起的水土流失，滑坡等现象。</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（10）按照本项目的安全设施设计方案，建设安全设施六大系统。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应急要求：</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（1）环境风险应急预案</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为防范和减缓本项目环境风险，在事故状态下能够应急处置，建设单位必须结合本矿山实际以及生产区周边情况，制定切实有效的环境风险应急预案，本次评价提出应急预案的主要编制内容建议见</w:t>
      </w:r>
      <w:r>
        <w:rPr>
          <w:rFonts w:hint="eastAsia" w:ascii="Times New Roman" w:hAnsi="Times New Roman" w:eastAsia="宋体" w:cs="Times New Roman"/>
          <w:color w:val="000000" w:themeColor="text1"/>
          <w:sz w:val="24"/>
          <w:szCs w:val="24"/>
          <w:lang w:eastAsia="zh-CN"/>
        </w:rPr>
        <w:t>下</w:t>
      </w:r>
      <w:r>
        <w:rPr>
          <w:rFonts w:hint="default" w:ascii="Times New Roman" w:hAnsi="Times New Roman" w:eastAsia="宋体" w:cs="Times New Roman"/>
          <w:color w:val="000000" w:themeColor="text1"/>
          <w:sz w:val="24"/>
          <w:szCs w:val="24"/>
        </w:rPr>
        <w:t>。</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w:t>
      </w:r>
      <w:r>
        <w:rPr>
          <w:rFonts w:hint="eastAsia" w:ascii="Times New Roman" w:hAnsi="Times New Roman" w:eastAsia="宋体" w:cs="Times New Roman"/>
          <w:b/>
          <w:bCs w:val="0"/>
          <w:color w:val="000000" w:themeColor="text1"/>
          <w:sz w:val="21"/>
          <w:szCs w:val="21"/>
          <w:lang w:val="en-US" w:eastAsia="zh-CN"/>
        </w:rPr>
        <w:t xml:space="preserve">5.2-29  </w:t>
      </w:r>
      <w:r>
        <w:rPr>
          <w:rFonts w:hint="default" w:ascii="Times New Roman" w:hAnsi="Times New Roman" w:eastAsia="宋体" w:cs="Times New Roman"/>
          <w:b/>
          <w:bCs w:val="0"/>
          <w:color w:val="000000" w:themeColor="text1"/>
          <w:sz w:val="21"/>
          <w:szCs w:val="21"/>
        </w:rPr>
        <w:t>应急预案建议内容</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920"/>
        <w:gridCol w:w="3353"/>
        <w:gridCol w:w="4684"/>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序号</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内容及要求</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应急计划区</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危险目标：</w:t>
            </w:r>
            <w:r>
              <w:rPr>
                <w:rFonts w:hint="eastAsia" w:ascii="Times New Roman" w:eastAsia="宋体" w:cs="Times New Roman"/>
                <w:color w:val="000000" w:themeColor="text1"/>
                <w:lang w:val="en-US" w:eastAsia="zh-CN"/>
              </w:rPr>
              <w:t>危废暂存间</w:t>
            </w:r>
            <w:r>
              <w:rPr>
                <w:rFonts w:hint="default" w:ascii="Times New Roman" w:hAnsi="Times New Roman" w:eastAsia="宋体" w:cs="Times New Roman"/>
                <w:color w:val="000000" w:themeColor="text1"/>
              </w:rPr>
              <w:t>、废石场</w:t>
            </w:r>
            <w:r>
              <w:rPr>
                <w:rFonts w:hint="eastAsia" w:ascii="Times New Roman" w:eastAsia="宋体" w:cs="Times New Roman"/>
                <w:color w:val="000000" w:themeColor="text1"/>
                <w:lang w:eastAsia="zh-CN"/>
              </w:rPr>
              <w:t>、</w:t>
            </w:r>
            <w:r>
              <w:rPr>
                <w:rFonts w:hint="eastAsia" w:ascii="Times New Roman" w:eastAsia="宋体" w:cs="Times New Roman"/>
                <w:color w:val="000000" w:themeColor="text1"/>
                <w:lang w:val="en-US" w:eastAsia="zh-CN"/>
              </w:rPr>
              <w:t>沉淀池等</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应急组织机构、人员</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企业、地区应急组织机构、人员</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预案分级响应条件</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规定预案的级别及分级响应程序，与上级管理部分协调联动，及时汇报并取得社会力量支持</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4</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应急救援保障</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应急设施，设备与器材等</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报警、通讯联络方式</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249"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6</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应急环境监测、抢险、救援及控制措施</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7</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应急检测、防护措施、清除泄漏措施和器材</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8</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人员紧急撤离、疏散，应急剂量控制、撤离组织计划</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事故现场、矿山邻近区、受事故影响的区域人员及公众对毒物应急剂量控制规定，撤离组织计划及救护，医疗救护与公众健康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9</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事故应急救援关闭程序与恢复措施</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规定应急状态终止程序</w:t>
            </w:r>
          </w:p>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事故现场善后处理，恢复措施</w:t>
            </w:r>
          </w:p>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10</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应急培训计划</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92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11</w:t>
            </w:r>
          </w:p>
        </w:tc>
        <w:tc>
          <w:tcPr>
            <w:tcW w:w="335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公众教育和信息</w:t>
            </w:r>
          </w:p>
        </w:tc>
        <w:tc>
          <w:tcPr>
            <w:tcW w:w="468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对矿山邻近地区开展公众教育、培训和发布有关信息</w:t>
            </w:r>
          </w:p>
        </w:tc>
      </w:tr>
    </w:tbl>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（2）应急系统</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①事故应急响</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应重大事故应急处置刻不容缓，响应速度至关重要，任何人接到重大事故报警，必马上报告应急办公室。应急组织各环节相互配合，确保响应迅速。</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1）报警</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当发生滑塌、泥石流、火灾等重大不安全事故，现场值班人员应立即向主管部门，单位领导或公司值班人员报警。接到报警的公司值班人员和部门、单位领导迅速向公司救援领导小组汇报，小组组长立即组织救援队伍赶到现场，并按预定预案组织实施，根据事故大小，在规定的时间内上报相关部门。</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2）事故发生内容；事故发生单位名称、联系人、联系方式；事故发生时间、地点；事故概况人员伤亡、经济损失情况。</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3）事故发生单位及值班人员应当采取紧急措施，如有滑塌、泥石流、火灾等重大危险，首先鸣锣、鸣号通知排土场工作人员撤离危险区，在沟口公路两侧设警戒线，严禁行人、车辆通过。</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②事故应急处置</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根据本项目实际情况，设立应急救援领导小组，全面负责应急救援指挥部门人员的组成、职责和分工，争取社会救援，保证应急救援所需经费以及事故调查报告和处理结果的上报。</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接到报警后，救援队伍到达现场，立即了解情况，确定警戒区域和事故控制具体方案，布置救援任务，在救援过程中，要注意个体防护，并设定警示标志，各处置方法措施如下：</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1）抢险：应急救援队伍到达事故现场后，在事故现场总指挥的统一领导下，技术保障组迅速查明事故性质、原因、影响范围等基本情况，判断事故后果和可能发展的趋势，拿出抢险和救援处置方案。抢险救灾负责在紧急状态下的现场抢险作业，及时控制危险区，防止事故扩大。物资供应组负责事故现场物资、设备、工具的保障供给工作。</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2）疏散：发生重大事故时，事故应急救援领导小组应立即组织现场救援工作，并由安全警戒组负责排土场及下游工作人员的疏散和两侧的警戒工作，严禁车辆和行人通过，负责维护事故现场秩序和社会治安等工作。</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3）转移：在事故救援工作中，排土场有滑塌或泥石流危险或有人员伤亡情况下，由安全疏散组、医疗救护组负责，将受伤人员向安全区域转移，在转移过程中，各救援组织应与现总指挥及救援小组保持联系。</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4）如果事故严重，对下游污染形势扩大，现场总指挥采取果断措施，请求地方政府增援，调动铲车、挖掘机对污染物进行封堵、拦截，环境保护组负责对污染程度进行监分析，采取有效治理措施。</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hint="eastAsia" w:ascii="宋体" w:hAnsi="宋体" w:eastAsia="宋体" w:cs="宋体"/>
          <w:color w:val="000000" w:themeColor="text1"/>
          <w:sz w:val="24"/>
          <w:szCs w:val="24"/>
        </w:rPr>
        <w:t>5）结束：救援工作结束后，名救援专业队必须经现场总指挥同意后，方可撤离现场，并成立事故调查组，对事故进行分析处理，及时总结经验和教训，并整理事故档案。</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5.2.8.5  分析结论</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000000" w:themeColor="text1"/>
        </w:rPr>
      </w:pPr>
      <w:r>
        <w:rPr>
          <w:rFonts w:hint="eastAsia" w:ascii="宋体" w:hAnsi="宋体" w:eastAsia="宋体" w:cs="宋体"/>
          <w:color w:val="000000" w:themeColor="text1"/>
          <w:sz w:val="24"/>
          <w:szCs w:val="24"/>
        </w:rPr>
        <w:t>本项目不涉及重大危险源，主要环境风险源为机油</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lang w:val="en-US" w:eastAsia="zh-CN"/>
        </w:rPr>
        <w:t>废机油</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、金属元素钡</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采空区塌陷</w:t>
      </w:r>
      <w:r>
        <w:rPr>
          <w:rFonts w:hint="eastAsia" w:ascii="宋体" w:hAnsi="宋体" w:eastAsia="宋体" w:cs="宋体"/>
          <w:color w:val="000000" w:themeColor="text1"/>
          <w:sz w:val="24"/>
          <w:szCs w:val="24"/>
          <w:lang w:val="en-US" w:eastAsia="zh-CN"/>
        </w:rPr>
        <w:t>等</w:t>
      </w:r>
      <w:r>
        <w:rPr>
          <w:rFonts w:hint="eastAsia" w:ascii="宋体" w:hAnsi="宋体" w:eastAsia="宋体" w:cs="宋体"/>
          <w:color w:val="000000" w:themeColor="text1"/>
          <w:sz w:val="24"/>
          <w:szCs w:val="24"/>
        </w:rPr>
        <w:t>。在采取必要的风险防范措施后，项目环境风险在可接受范围内。</w:t>
      </w:r>
    </w:p>
    <w:p>
      <w:pPr>
        <w:pageBreakBefore w:val="0"/>
        <w:widowControl w:val="0"/>
        <w:numPr>
          <w:ilvl w:val="2"/>
          <w:numId w:val="0"/>
        </w:numPr>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表</w:t>
      </w:r>
      <w:r>
        <w:rPr>
          <w:rFonts w:hint="eastAsia" w:ascii="Times New Roman" w:hAnsi="Times New Roman" w:eastAsia="宋体" w:cs="Times New Roman"/>
          <w:b/>
          <w:bCs/>
          <w:color w:val="000000" w:themeColor="text1"/>
          <w:sz w:val="21"/>
          <w:szCs w:val="21"/>
          <w:lang w:val="en-US" w:eastAsia="zh-CN"/>
        </w:rPr>
        <w:t xml:space="preserve">5.2-30 </w:t>
      </w:r>
      <w:r>
        <w:rPr>
          <w:rFonts w:hint="default" w:ascii="Times New Roman" w:hAnsi="Times New Roman" w:eastAsia="宋体" w:cs="Times New Roman"/>
          <w:b/>
          <w:bCs/>
          <w:color w:val="000000" w:themeColor="text1"/>
          <w:sz w:val="21"/>
          <w:szCs w:val="21"/>
          <w:lang w:val="en-US" w:eastAsia="zh-CN"/>
        </w:rPr>
        <w:t xml:space="preserve"> 建设项目环境风险简单分析内容表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952"/>
        <w:gridCol w:w="905"/>
        <w:gridCol w:w="1456"/>
        <w:gridCol w:w="196"/>
        <w:gridCol w:w="715"/>
        <w:gridCol w:w="944"/>
        <w:gridCol w:w="18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3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建设项目名称</w:t>
            </w:r>
          </w:p>
        </w:tc>
        <w:tc>
          <w:tcPr>
            <w:tcW w:w="7022" w:type="dxa"/>
            <w:gridSpan w:val="7"/>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旬阳县赤岩镇水磨河口构皮沟毒重石（重晶石及伴生毒重石）矿扩建项目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93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建设地点</w:t>
            </w:r>
          </w:p>
        </w:tc>
        <w:tc>
          <w:tcPr>
            <w:tcW w:w="1857" w:type="dxa"/>
            <w:gridSpan w:val="2"/>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陕西省</w:t>
            </w:r>
          </w:p>
        </w:tc>
        <w:tc>
          <w:tcPr>
            <w:tcW w:w="1456" w:type="dxa"/>
            <w:tcBorders>
              <w:tl2br w:val="nil"/>
              <w:tr2bl w:val="nil"/>
            </w:tcBorders>
            <w:vAlign w:val="center"/>
          </w:tcPr>
          <w:p>
            <w:pPr>
              <w:adjustRightInd w:val="0"/>
              <w:snapToGrid w:val="0"/>
              <w:jc w:val="center"/>
              <w:rPr>
                <w:rFonts w:hint="eastAsia" w:eastAsiaTheme="minorEastAsia"/>
                <w:color w:val="000000" w:themeColor="text1"/>
                <w:szCs w:val="21"/>
                <w:lang w:eastAsia="zh-CN"/>
              </w:rPr>
            </w:pPr>
            <w:r>
              <w:rPr>
                <w:rFonts w:hint="eastAsia"/>
                <w:color w:val="000000" w:themeColor="text1"/>
                <w:szCs w:val="21"/>
                <w:lang w:val="en-US" w:eastAsia="zh-CN"/>
              </w:rPr>
              <w:t>安康市</w:t>
            </w:r>
          </w:p>
        </w:tc>
        <w:tc>
          <w:tcPr>
            <w:tcW w:w="1855" w:type="dxa"/>
            <w:gridSpan w:val="3"/>
            <w:tcBorders>
              <w:tl2br w:val="nil"/>
              <w:tr2bl w:val="nil"/>
            </w:tcBorders>
            <w:vAlign w:val="center"/>
          </w:tcPr>
          <w:p>
            <w:pPr>
              <w:adjustRightInd w:val="0"/>
              <w:snapToGrid w:val="0"/>
              <w:jc w:val="center"/>
              <w:rPr>
                <w:rFonts w:hint="eastAsia" w:eastAsia="宋体"/>
                <w:color w:val="000000" w:themeColor="text1"/>
                <w:szCs w:val="21"/>
                <w:lang w:eastAsia="zh-CN"/>
              </w:rPr>
            </w:pPr>
            <w:r>
              <w:rPr>
                <w:rFonts w:hint="eastAsia" w:eastAsia="宋体"/>
                <w:color w:val="000000" w:themeColor="text1"/>
                <w:szCs w:val="21"/>
                <w:lang w:val="en-US" w:eastAsia="zh-CN"/>
              </w:rPr>
              <w:t>旬阳市</w:t>
            </w:r>
          </w:p>
        </w:tc>
        <w:tc>
          <w:tcPr>
            <w:tcW w:w="1854" w:type="dxa"/>
            <w:tcBorders>
              <w:tl2br w:val="nil"/>
              <w:tr2bl w:val="nil"/>
            </w:tcBorders>
            <w:vAlign w:val="center"/>
          </w:tcPr>
          <w:p>
            <w:pPr>
              <w:adjustRightInd w:val="0"/>
              <w:snapToGrid w:val="0"/>
              <w:jc w:val="center"/>
              <w:rPr>
                <w:rFonts w:hint="eastAsia" w:eastAsiaTheme="minorEastAsia"/>
                <w:color w:val="000000" w:themeColor="text1"/>
                <w:szCs w:val="21"/>
                <w:lang w:val="en-US" w:eastAsia="zh-CN"/>
              </w:rPr>
            </w:pPr>
            <w:r>
              <w:rPr>
                <w:rFonts w:hint="eastAsia"/>
                <w:color w:val="000000" w:themeColor="text1"/>
                <w:szCs w:val="21"/>
                <w:lang w:val="en-US" w:eastAsia="zh-CN"/>
              </w:rPr>
              <w:t>铜钱关镇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93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地理坐标</w:t>
            </w:r>
          </w:p>
        </w:tc>
        <w:tc>
          <w:tcPr>
            <w:tcW w:w="952"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经度</w:t>
            </w:r>
          </w:p>
        </w:tc>
        <w:tc>
          <w:tcPr>
            <w:tcW w:w="2557" w:type="dxa"/>
            <w:gridSpan w:val="3"/>
            <w:tcBorders>
              <w:tl2br w:val="nil"/>
              <w:tr2bl w:val="nil"/>
            </w:tcBorders>
            <w:vAlign w:val="center"/>
          </w:tcPr>
          <w:p>
            <w:pPr>
              <w:adjustRightInd w:val="0"/>
              <w:snapToGrid w:val="0"/>
              <w:jc w:val="center"/>
              <w:rPr>
                <w:color w:val="000000" w:themeColor="text1"/>
                <w:sz w:val="21"/>
                <w:szCs w:val="21"/>
              </w:rPr>
            </w:pPr>
            <w:r>
              <w:rPr>
                <w:rFonts w:hint="default" w:ascii="Times New Roman" w:hAnsi="Times New Roman" w:eastAsia="宋体" w:cs="Times New Roman"/>
                <w:color w:val="000000" w:themeColor="text1"/>
                <w:sz w:val="21"/>
                <w:szCs w:val="21"/>
              </w:rPr>
              <w:t>109°33′</w:t>
            </w:r>
            <w:r>
              <w:rPr>
                <w:rFonts w:hint="eastAsia" w:ascii="Times New Roman" w:hAnsi="Times New Roman" w:eastAsia="宋体" w:cs="Times New Roman"/>
                <w:color w:val="000000" w:themeColor="text1"/>
                <w:sz w:val="21"/>
                <w:szCs w:val="21"/>
                <w:lang w:val="en-US" w:eastAsia="zh-CN"/>
              </w:rPr>
              <w:t>22.92</w:t>
            </w:r>
            <w:r>
              <w:rPr>
                <w:rFonts w:hint="default" w:ascii="Times New Roman" w:hAnsi="Times New Roman" w:eastAsia="宋体" w:cs="Times New Roman"/>
                <w:color w:val="000000" w:themeColor="text1"/>
                <w:sz w:val="21"/>
                <w:szCs w:val="21"/>
              </w:rPr>
              <w:t>″</w:t>
            </w:r>
          </w:p>
        </w:tc>
        <w:tc>
          <w:tcPr>
            <w:tcW w:w="715" w:type="dxa"/>
            <w:tcBorders>
              <w:tl2br w:val="nil"/>
              <w:tr2bl w:val="nil"/>
            </w:tcBorders>
            <w:vAlign w:val="center"/>
          </w:tcPr>
          <w:p>
            <w:pPr>
              <w:adjustRightInd w:val="0"/>
              <w:snapToGrid w:val="0"/>
              <w:jc w:val="center"/>
              <w:rPr>
                <w:color w:val="000000" w:themeColor="text1"/>
                <w:sz w:val="21"/>
                <w:szCs w:val="21"/>
              </w:rPr>
            </w:pPr>
            <w:r>
              <w:rPr>
                <w:rFonts w:hint="eastAsia"/>
                <w:color w:val="000000" w:themeColor="text1"/>
                <w:sz w:val="21"/>
                <w:szCs w:val="21"/>
              </w:rPr>
              <w:t>纬度</w:t>
            </w:r>
          </w:p>
        </w:tc>
        <w:tc>
          <w:tcPr>
            <w:tcW w:w="2798" w:type="dxa"/>
            <w:gridSpan w:val="2"/>
            <w:tcBorders>
              <w:tl2br w:val="nil"/>
              <w:tr2bl w:val="nil"/>
            </w:tcBorders>
            <w:vAlign w:val="center"/>
          </w:tcPr>
          <w:p>
            <w:pPr>
              <w:adjustRightInd w:val="0"/>
              <w:snapToGrid w:val="0"/>
              <w:jc w:val="center"/>
              <w:rPr>
                <w:color w:val="000000" w:themeColor="text1"/>
                <w:sz w:val="21"/>
                <w:szCs w:val="21"/>
              </w:rPr>
            </w:pPr>
            <w:r>
              <w:rPr>
                <w:rFonts w:hint="default" w:ascii="Times New Roman" w:hAnsi="Times New Roman" w:eastAsia="宋体" w:cs="Times New Roman"/>
                <w:color w:val="000000" w:themeColor="text1"/>
                <w:sz w:val="21"/>
                <w:szCs w:val="21"/>
              </w:rPr>
              <w:t>32°37′</w:t>
            </w:r>
            <w:r>
              <w:rPr>
                <w:rFonts w:hint="eastAsia" w:ascii="Times New Roman" w:hAnsi="Times New Roman" w:eastAsia="宋体" w:cs="Times New Roman"/>
                <w:color w:val="000000" w:themeColor="text1"/>
                <w:sz w:val="21"/>
                <w:szCs w:val="21"/>
                <w:lang w:val="en-US" w:eastAsia="zh-CN"/>
              </w:rPr>
              <w:t>1.9244</w:t>
            </w:r>
            <w:r>
              <w:rPr>
                <w:rFonts w:hint="default" w:ascii="Times New Roman" w:hAnsi="Times New Roman" w:eastAsia="宋体" w:cs="Times New Roman"/>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93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主要危险物质及分布</w:t>
            </w:r>
          </w:p>
        </w:tc>
        <w:tc>
          <w:tcPr>
            <w:tcW w:w="7022" w:type="dxa"/>
            <w:gridSpan w:val="7"/>
            <w:tcBorders>
              <w:tl2br w:val="nil"/>
              <w:tr2bl w:val="nil"/>
            </w:tcBorders>
            <w:vAlign w:val="center"/>
          </w:tcPr>
          <w:p>
            <w:pPr>
              <w:adjustRightInd w:val="0"/>
              <w:snapToGrid w:val="0"/>
              <w:jc w:val="left"/>
              <w:rPr>
                <w:rFonts w:hint="default" w:eastAsiaTheme="minorEastAsia"/>
                <w:color w:val="000000" w:themeColor="text1"/>
                <w:szCs w:val="21"/>
                <w:lang w:val="en-US" w:eastAsia="zh-CN"/>
              </w:rPr>
            </w:pPr>
            <w:r>
              <w:rPr>
                <w:rFonts w:hint="eastAsia"/>
                <w:color w:val="000000" w:themeColor="text1"/>
                <w:szCs w:val="21"/>
              </w:rPr>
              <w:t>危险物质：</w:t>
            </w:r>
            <w:r>
              <w:rPr>
                <w:rFonts w:hint="eastAsia"/>
                <w:color w:val="000000" w:themeColor="text1"/>
                <w:szCs w:val="21"/>
                <w:lang w:val="en-US" w:eastAsia="zh-CN"/>
              </w:rPr>
              <w:t>废机油，贮存于危险废物贮存间</w:t>
            </w:r>
            <w:r>
              <w:rPr>
                <w:rFonts w:hint="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93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环境影响途径及危害后果</w:t>
            </w:r>
          </w:p>
        </w:tc>
        <w:tc>
          <w:tcPr>
            <w:tcW w:w="7022" w:type="dxa"/>
            <w:gridSpan w:val="7"/>
            <w:tcBorders>
              <w:tl2br w:val="nil"/>
              <w:tr2bl w:val="nil"/>
            </w:tcBorders>
            <w:vAlign w:val="center"/>
          </w:tcPr>
          <w:p>
            <w:pPr>
              <w:adjustRightInd w:val="0"/>
              <w:snapToGrid w:val="0"/>
              <w:jc w:val="left"/>
              <w:rPr>
                <w:rFonts w:hint="default" w:eastAsiaTheme="minorEastAsia"/>
                <w:color w:val="000000" w:themeColor="text1"/>
                <w:szCs w:val="21"/>
                <w:lang w:val="en-US" w:eastAsia="zh-CN"/>
              </w:rPr>
            </w:pPr>
            <w:r>
              <w:rPr>
                <w:rFonts w:hint="eastAsia"/>
                <w:color w:val="000000" w:themeColor="text1"/>
                <w:szCs w:val="21"/>
              </w:rPr>
              <w:t>泄漏、火灾、爆炸，产生的烟尘、有害物质污染环境空气，对人体健康及生命健康造成危害。</w:t>
            </w:r>
            <w:r>
              <w:rPr>
                <w:rFonts w:hint="eastAsia"/>
                <w:color w:val="000000" w:themeColor="text1"/>
                <w:szCs w:val="21"/>
                <w:lang w:val="en-US" w:eastAsia="zh-CN"/>
              </w:rPr>
              <w:t>采空区坍塌，对生态环境造成影响，对生命财产造成危害。金属元素钡，对人体健康有危害等。废石场溃坝、泥石流等地质灾害。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193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风险防范措施要求</w:t>
            </w:r>
          </w:p>
        </w:tc>
        <w:tc>
          <w:tcPr>
            <w:tcW w:w="7022" w:type="dxa"/>
            <w:gridSpan w:val="7"/>
            <w:tcBorders>
              <w:tl2br w:val="nil"/>
              <w:tr2bl w:val="nil"/>
            </w:tcBorders>
            <w:vAlign w:val="center"/>
          </w:tcPr>
          <w:p>
            <w:pPr>
              <w:adjustRightInd w:val="0"/>
              <w:snapToGrid w:val="0"/>
              <w:jc w:val="left"/>
              <w:rPr>
                <w:rFonts w:eastAsia="宋体"/>
                <w:color w:val="000000" w:themeColor="text1"/>
                <w:szCs w:val="21"/>
              </w:rPr>
            </w:pPr>
            <w:r>
              <w:rPr>
                <w:rFonts w:hint="eastAsia"/>
                <w:color w:val="000000" w:themeColor="text1"/>
                <w:szCs w:val="21"/>
              </w:rPr>
              <w:t>按照设计文件进行规范建设，</w:t>
            </w:r>
            <w:r>
              <w:rPr>
                <w:rFonts w:hint="eastAsia" w:ascii="Times New Roman" w:hAnsi="Times New Roman" w:eastAsia="宋体" w:cs="Times New Roman"/>
                <w:bCs/>
                <w:color w:val="000000" w:themeColor="text1"/>
                <w:szCs w:val="21"/>
              </w:rPr>
              <w:t>按照要求建设各项预防措施包括</w:t>
            </w:r>
            <w:r>
              <w:rPr>
                <w:rFonts w:hint="eastAsia" w:ascii="Times New Roman" w:hAnsi="Times New Roman" w:eastAsia="宋体" w:cs="Times New Roman"/>
                <w:bCs/>
                <w:color w:val="000000" w:themeColor="text1"/>
                <w:szCs w:val="21"/>
                <w:lang w:val="en-US" w:eastAsia="zh-CN"/>
              </w:rPr>
              <w:t>事故水池</w:t>
            </w:r>
            <w:r>
              <w:rPr>
                <w:rFonts w:hint="eastAsia" w:ascii="Times New Roman" w:hAnsi="Times New Roman" w:eastAsia="宋体" w:cs="Times New Roman"/>
                <w:bCs/>
                <w:color w:val="000000" w:themeColor="text1"/>
                <w:szCs w:val="21"/>
              </w:rPr>
              <w:t>，应急物资等，</w:t>
            </w:r>
            <w:r>
              <w:rPr>
                <w:color w:val="000000" w:themeColor="text1"/>
                <w:szCs w:val="21"/>
              </w:rPr>
              <w:t>建立健全应急预案体系、环保管理机制和各项环保规章制度落实</w:t>
            </w:r>
            <w:r>
              <w:rPr>
                <w:rFonts w:hint="eastAsia"/>
                <w:color w:val="000000" w:themeColor="text1"/>
                <w:szCs w:val="21"/>
              </w:rPr>
              <w:t>到位等。</w:t>
            </w:r>
          </w:p>
        </w:tc>
      </w:tr>
      <w:bookmarkEnd w:id="758"/>
      <w:bookmarkEnd w:id="759"/>
    </w:tbl>
    <w:p>
      <w:pPr>
        <w:pStyle w:val="4"/>
        <w:rPr>
          <w:rFonts w:hint="default"/>
          <w:color w:val="000000" w:themeColor="text1"/>
        </w:rPr>
      </w:pPr>
      <w:bookmarkStart w:id="806" w:name="_Toc12056"/>
      <w:r>
        <w:rPr>
          <w:rFonts w:hint="default"/>
          <w:color w:val="000000" w:themeColor="text1"/>
        </w:rPr>
        <w:t>退役期生态环境影响</w:t>
      </w:r>
      <w:bookmarkEnd w:id="806"/>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矿山退役期，随着采矿活动的结束，生产设备停产，将使大气、水、声等环境要素得到恢复，随着生态环境综合整治措施的落实，生态环境将会得到逐步恢复。在退役期，主要的生态保护措施主要体现在以下几个方面：</w:t>
      </w:r>
    </w:p>
    <w:p>
      <w:pPr>
        <w:keepNext w:val="0"/>
        <w:keepLines w:val="0"/>
        <w:pageBreakBefore w:val="0"/>
        <w:widowControl w:val="0"/>
        <w:numPr>
          <w:ilvl w:val="0"/>
          <w:numId w:val="23"/>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采矿设备搬离以及硐口封堵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采矿结束后，将所有的采矿设备全部搬离出采矿区域并进行妥善处置，禁止将采矿设备旗帜在地下和工业场地，需要对全部的硐口进行封堵。</w:t>
      </w:r>
    </w:p>
    <w:p>
      <w:pPr>
        <w:keepNext w:val="0"/>
        <w:keepLines w:val="0"/>
        <w:pageBreakBefore w:val="0"/>
        <w:widowControl w:val="0"/>
        <w:numPr>
          <w:ilvl w:val="0"/>
          <w:numId w:val="23"/>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土地及</w:t>
      </w:r>
      <w:r>
        <w:rPr>
          <w:rFonts w:hint="default" w:ascii="Times New Roman" w:hAnsi="Times New Roman" w:eastAsia="宋体" w:cs="Times New Roman"/>
          <w:color w:val="000000" w:themeColor="text1"/>
          <w:sz w:val="24"/>
          <w:szCs w:val="24"/>
        </w:rPr>
        <w:t>植被的恢复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2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pacing w:val="10"/>
          <w:sz w:val="24"/>
          <w:szCs w:val="24"/>
        </w:rPr>
        <w:t>矿业活动结束后的地质环境保护及恢复治理，全面系统的</w:t>
      </w:r>
      <w:r>
        <w:rPr>
          <w:rFonts w:hint="default" w:ascii="Times New Roman" w:hAnsi="Times New Roman" w:eastAsia="宋体" w:cs="Times New Roman"/>
          <w:color w:val="000000" w:themeColor="text1"/>
          <w:sz w:val="24"/>
          <w:szCs w:val="24"/>
        </w:rPr>
        <w:t>实施土地复垦，植树造林，恢复矿山植被生态环境；进行矿山地质环境保护与恢复治理工程竣工验收。在植物品种的选择时应尽量选择当地物种，这样既避免了</w:t>
      </w:r>
      <w:r>
        <w:rPr>
          <w:rFonts w:hint="default" w:ascii="Times New Roman" w:hAnsi="Times New Roman" w:eastAsia="宋体" w:cs="Times New Roman"/>
          <w:color w:val="000000" w:themeColor="text1"/>
          <w:sz w:val="24"/>
          <w:szCs w:val="24"/>
          <w:lang w:eastAsia="zh-CN"/>
        </w:rPr>
        <w:t>外来</w:t>
      </w:r>
      <w:r>
        <w:rPr>
          <w:rFonts w:hint="default" w:ascii="Times New Roman" w:hAnsi="Times New Roman" w:eastAsia="宋体" w:cs="Times New Roman"/>
          <w:color w:val="000000" w:themeColor="text1"/>
          <w:sz w:val="24"/>
          <w:szCs w:val="24"/>
        </w:rPr>
        <w:t>物种</w:t>
      </w:r>
      <w:r>
        <w:rPr>
          <w:rFonts w:hint="default" w:ascii="Times New Roman" w:hAnsi="Times New Roman" w:eastAsia="宋体" w:cs="Times New Roman"/>
          <w:color w:val="000000" w:themeColor="text1"/>
          <w:sz w:val="24"/>
          <w:szCs w:val="24"/>
          <w:lang w:eastAsia="zh-CN"/>
        </w:rPr>
        <w:t>入侵</w:t>
      </w:r>
      <w:r>
        <w:rPr>
          <w:rFonts w:hint="default" w:ascii="Times New Roman" w:hAnsi="Times New Roman" w:eastAsia="宋体" w:cs="Times New Roman"/>
          <w:color w:val="000000" w:themeColor="text1"/>
          <w:sz w:val="24"/>
          <w:szCs w:val="24"/>
        </w:rPr>
        <w:t>，又能增加与周边植被的连通性。在厂区不同作业区域也应该选择不同的物种，</w:t>
      </w:r>
      <w:r>
        <w:rPr>
          <w:rFonts w:hint="eastAsia" w:ascii="Times New Roman" w:hAnsi="Times New Roman" w:eastAsia="宋体" w:cs="Times New Roman"/>
          <w:color w:val="000000" w:themeColor="text1"/>
          <w:sz w:val="24"/>
          <w:szCs w:val="24"/>
          <w:lang w:val="en-US" w:eastAsia="zh-CN"/>
        </w:rPr>
        <w:t>现有工程</w:t>
      </w:r>
      <w:r>
        <w:rPr>
          <w:rFonts w:hint="default" w:ascii="Times New Roman" w:hAnsi="Times New Roman" w:eastAsia="宋体" w:cs="Times New Roman"/>
          <w:color w:val="000000" w:themeColor="text1"/>
          <w:sz w:val="24"/>
          <w:szCs w:val="24"/>
        </w:rPr>
        <w:t>废石场属于边坡沟壑，恢复初期容易水土流失，植被不易存活，应选择耐旱生命力强的藤类植被；工业场地、矿山公路等较平坦的地方可选择</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灌、草</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相结合的方式进行种植。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1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eastAsia="zh-CN"/>
        </w:rPr>
        <w:t>复垦方向的选择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待复垦的土地存在多宜性，最终复垦方向的确定需要综合考虑多方面的因素。根据目前的公众意愿，最终复垦方向为有林地和旱地。本矿区也属于退耕还林区域，复垦区范围内仅存有少量的旱地，但土地贫瘠，农作物产量较低，多已荒废，多年未有人耕种。矿区周边仅存在零星分布的几户居民已实施了搬迁计划，故在本项目退役期应进一步确认复垦方向，根据实际情况，能林则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eastAsia="zh-CN"/>
        </w:rPr>
        <w:t>表土来源分析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eastAsia="zh-CN"/>
        </w:rPr>
        <w:t>本项目表土需求量较少，全部来自客土，主要来源为从周边天宝寨村村民房建设、道路修建等工地购买运输而来，运距约为</w:t>
      </w:r>
      <w:r>
        <w:rPr>
          <w:rFonts w:hint="eastAsia" w:ascii="Times New Roman" w:hAnsi="Times New Roman" w:eastAsia="宋体" w:cs="Times New Roman"/>
          <w:color w:val="FF0000"/>
          <w:sz w:val="24"/>
          <w:szCs w:val="24"/>
          <w:lang w:val="en-US" w:eastAsia="zh-CN"/>
        </w:rPr>
        <w:t>0.5-2.5km。环评要求在矿山即将闭矿前提前收集好剥离的表土，以满足复垦的要求。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3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eastAsia="zh-CN"/>
        </w:rPr>
        <w:t>土地复垦质量要求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A耕地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a地形：保障复垦面坡度不超过25°；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b土壤质量：有效土层厚度≥</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val="en-US" w:eastAsia="zh-CN"/>
        </w:rPr>
        <w:t>0cm，土壤容重≤1.45g/cm</w:t>
      </w:r>
      <w:r>
        <w:rPr>
          <w:rFonts w:hint="default" w:ascii="Times New Roman" w:hAnsi="Times New Roman" w:eastAsia="宋体" w:cs="Times New Roman"/>
          <w:color w:val="000000" w:themeColor="text1"/>
          <w:sz w:val="24"/>
          <w:szCs w:val="24"/>
          <w:vertAlign w:val="superscript"/>
          <w:lang w:val="en-US" w:eastAsia="zh-CN"/>
        </w:rPr>
        <w:t>3</w:t>
      </w:r>
      <w:r>
        <w:rPr>
          <w:rFonts w:hint="default" w:ascii="Times New Roman" w:hAnsi="Times New Roman" w:eastAsia="宋体" w:cs="Times New Roman"/>
          <w:color w:val="000000" w:themeColor="text1"/>
          <w:sz w:val="24"/>
          <w:szCs w:val="24"/>
          <w:lang w:val="en-US" w:eastAsia="zh-CN"/>
        </w:rPr>
        <w:t>，砾石含量≤10%，土壤pH为6.0~8.0，有机质含量≥0.5%；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c配套设施：道路达到当地各行业工程建设标准要求；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color w:val="000000" w:themeColor="text1"/>
          <w:sz w:val="24"/>
          <w:szCs w:val="24"/>
        </w:rPr>
      </w:pPr>
      <w:r>
        <w:rPr>
          <w:rFonts w:hint="default" w:ascii="Times New Roman" w:hAnsi="Times New Roman" w:eastAsia="宋体" w:cs="Times New Roman"/>
          <w:color w:val="000000" w:themeColor="text1"/>
          <w:sz w:val="24"/>
          <w:szCs w:val="24"/>
          <w:lang w:val="en-US" w:eastAsia="zh-CN"/>
        </w:rPr>
        <w:t>d生产力水平：3-5年后单位面积产量达到周边地区同土地利用类型中等产量水平，粮食及作物中有害成分含量符合《粮食卫生标准》（GB2715）。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B林地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a复垦后有效土层厚度≥30cm，土壤容重≤1.5g/cm</w:t>
      </w:r>
      <w:r>
        <w:rPr>
          <w:rFonts w:hint="default" w:ascii="Times New Roman" w:hAnsi="Times New Roman" w:eastAsia="宋体" w:cs="Times New Roman"/>
          <w:color w:val="000000" w:themeColor="text1"/>
          <w:sz w:val="24"/>
          <w:szCs w:val="24"/>
          <w:vertAlign w:val="superscript"/>
          <w:lang w:val="en-US" w:eastAsia="zh-CN"/>
        </w:rPr>
        <w:t>3</w:t>
      </w:r>
      <w:r>
        <w:rPr>
          <w:rFonts w:hint="default" w:ascii="Times New Roman" w:hAnsi="Times New Roman" w:eastAsia="宋体" w:cs="Times New Roman"/>
          <w:color w:val="000000" w:themeColor="text1"/>
          <w:sz w:val="24"/>
          <w:szCs w:val="24"/>
          <w:lang w:val="en-US" w:eastAsia="zh-CN"/>
        </w:rPr>
        <w:t>，土壤质地砂土至砂质粘土，砾石含量≤25%，土壤pH为6.0~8.5之间，土壤有机质含量≥0.5%；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b树种首先选择当地适种树种，乔木选择刺槐、侧柏、灌木选择紫穗槐；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c整地：造林前穴状整地，乔木规格为50cm×50cm，株行距为3m×3m；灌木规格为30cm×30cm，株行距为1m×3m；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d对于受损的苗木，要求及时扶正，对于倾斜较大的树木，实施一定的扶正措施；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e复垦后定植密度满足《造林作业设计规程》（LY/T1607）要求，郁闭度≥0.3；</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color w:val="000000" w:themeColor="text1"/>
          <w:sz w:val="24"/>
          <w:szCs w:val="24"/>
        </w:rPr>
      </w:pPr>
      <w:r>
        <w:rPr>
          <w:rFonts w:hint="default" w:ascii="Times New Roman" w:hAnsi="Times New Roman" w:eastAsia="宋体" w:cs="Times New Roman"/>
          <w:color w:val="000000" w:themeColor="text1"/>
          <w:sz w:val="24"/>
          <w:szCs w:val="24"/>
          <w:lang w:val="en-US" w:eastAsia="zh-CN"/>
        </w:rPr>
        <w:t>f在干旱的季节确保一定量的灌溉，五年后植树成活率70%以上。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4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④</w:t>
      </w:r>
      <w:r>
        <w:rPr>
          <w:rFonts w:hint="default" w:ascii="Times New Roman" w:hAnsi="Times New Roman" w:eastAsia="宋体" w:cs="Times New Roman"/>
          <w:color w:val="000000" w:themeColor="text1"/>
          <w:sz w:val="24"/>
          <w:szCs w:val="24"/>
          <w:lang w:eastAsia="zh-CN"/>
        </w:rPr>
        <w:fldChar w:fldCharType="end"/>
      </w:r>
      <w:r>
        <w:rPr>
          <w:rFonts w:hint="default" w:ascii="Times New Roman" w:hAnsi="Times New Roman" w:eastAsia="宋体" w:cs="Times New Roman"/>
          <w:color w:val="000000" w:themeColor="text1"/>
          <w:sz w:val="24"/>
          <w:szCs w:val="24"/>
          <w:lang w:eastAsia="zh-CN"/>
        </w:rPr>
        <w:t>需水量分析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评估区位于秦岭南麓，气候属温带湿润性季风气候，具有山地气候特征，年平均降水量758.2mm，降水总体较丰沛。另按照《陕西省生态功能区划》中分区方案，矿区属于秦岭山地水源涵养与生物多样性保育生态功能区之秦岭南坡控制区，区内植被以落叶阔叶、常绿阔叶混交林为主。地表覆盖层较厚，土壤中有机质含量高，覆盖层和土壤的涵水能力和涵养性好，有利于生态系统自然恢复。从矿区周边以往复垦经验看，只要选择合适的时机种植林草，基本不要需要人工浇水也可保证苗木成活率，因此矿区植被栽植、养护需水量总体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（3）地质灾害的防治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根据《陕西省旬阳县赤岩镇水磨河口构皮沟毒重石矿矿山地质环境保护与恢复治理方案》，应遵循以下四个原则对陕西省旬阳县赤岩镇水磨河口构皮沟毒重石矿对矿山地质环境保护进行分区。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1、遵循矿产资源开发与环境保护并重、恢复治理与环境保护并举原则；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2、坚持</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以人为本</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原则，主要保护评估区内的城镇、村庄居民、房屋不受损害和威胁，不受矿山生产环境影响程度；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3、坚持</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以工程建设安全为本</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，确保工程建设和运营安全，同时考虑工程建设对矿山地质环境的综合影响；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4、把分区考虑的重点放在矿山地质环境保护上，把地质环境问题放在事前防治上。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结合现状评估、预测评估，该区域</w:t>
      </w:r>
      <w:r>
        <w:rPr>
          <w:rFonts w:hint="default" w:ascii="Times New Roman" w:hAnsi="Times New Roman" w:eastAsia="宋体" w:cs="Times New Roman"/>
          <w:color w:val="000000" w:themeColor="text1"/>
          <w:spacing w:val="-2"/>
          <w:sz w:val="24"/>
          <w:szCs w:val="24"/>
        </w:rPr>
        <w:t>主要</w:t>
      </w:r>
      <w:r>
        <w:rPr>
          <w:rFonts w:hint="default" w:ascii="Times New Roman" w:hAnsi="Times New Roman" w:eastAsia="宋体" w:cs="Times New Roman"/>
          <w:color w:val="000000" w:themeColor="text1"/>
          <w:sz w:val="24"/>
          <w:szCs w:val="24"/>
        </w:rPr>
        <w:t>为现有矿业活动影响区域以及预测未来矿业活动引发地质灾害区域和工程建设用地对地形地貌、土地资源、水资源影响区域。</w:t>
      </w:r>
    </w:p>
    <w:p>
      <w:pPr>
        <w:pStyle w:val="12"/>
        <w:adjustRightInd w:val="0"/>
        <w:snapToGrid w:val="0"/>
        <w:spacing w:after="0" w:line="360" w:lineRule="auto"/>
        <w:ind w:firstLine="0" w:firstLineChars="0"/>
        <w:jc w:val="center"/>
        <w:rPr>
          <w:rFonts w:ascii="Times New Roman" w:hAnsi="Times New Roman" w:eastAsia="宋体" w:cs="Times New Roman"/>
          <w:color w:val="000000" w:themeColor="text1"/>
          <w:sz w:val="24"/>
          <w:szCs w:val="24"/>
        </w:rPr>
      </w:pPr>
    </w:p>
    <w:p>
      <w:pPr>
        <w:pStyle w:val="12"/>
        <w:adjustRightInd w:val="0"/>
        <w:snapToGrid w:val="0"/>
        <w:spacing w:after="0" w:line="360" w:lineRule="auto"/>
        <w:ind w:firstLine="0" w:firstLineChars="0"/>
        <w:jc w:val="center"/>
        <w:rPr>
          <w:rFonts w:ascii="Times New Roman" w:hAnsi="Times New Roman" w:eastAsia="宋体" w:cs="Times New Roman"/>
          <w:color w:val="000000" w:themeColor="text1"/>
          <w:sz w:val="24"/>
          <w:szCs w:val="24"/>
        </w:rPr>
      </w:pPr>
    </w:p>
    <w:p>
      <w:pPr>
        <w:pStyle w:val="3"/>
        <w:keepNext/>
        <w:keepLines/>
        <w:pageBreakBefore w:val="0"/>
        <w:widowControl w:val="0"/>
        <w:kinsoku/>
        <w:wordWrap/>
        <w:overflowPunct/>
        <w:topLinePunct w:val="0"/>
        <w:autoSpaceDE/>
        <w:autoSpaceDN/>
        <w:bidi w:val="0"/>
        <w:adjustRightInd/>
        <w:snapToGrid/>
        <w:spacing w:before="0"/>
        <w:ind w:left="431" w:hanging="431"/>
        <w:textAlignment w:val="auto"/>
        <w:outlineLvl w:val="0"/>
        <w:rPr>
          <w:rFonts w:hint="default"/>
          <w:color w:val="000000" w:themeColor="text1"/>
          <w:lang w:val="en-US" w:eastAsia="zh-CN"/>
        </w:rPr>
      </w:pPr>
      <w:bookmarkStart w:id="807" w:name="_Toc5714"/>
      <w:bookmarkStart w:id="808" w:name="_Toc7221_WPSOffice_Level3"/>
      <w:r>
        <w:rPr>
          <w:rFonts w:hint="eastAsia"/>
          <w:color w:val="000000" w:themeColor="text1"/>
          <w:lang w:val="en-US" w:eastAsia="zh-CN"/>
        </w:rPr>
        <w:t>环境保护措施及其可行性分析</w:t>
      </w:r>
      <w:bookmarkEnd w:id="807"/>
      <w:bookmarkEnd w:id="808"/>
    </w:p>
    <w:p>
      <w:pPr>
        <w:pStyle w:val="4"/>
        <w:rPr>
          <w:color w:val="000000" w:themeColor="text1"/>
        </w:rPr>
      </w:pPr>
      <w:bookmarkStart w:id="809" w:name="_Toc2719"/>
      <w:bookmarkStart w:id="810" w:name="_Toc26197"/>
      <w:bookmarkStart w:id="811" w:name="_Toc8680"/>
      <w:bookmarkStart w:id="812" w:name="_Toc8675"/>
      <w:r>
        <w:rPr>
          <w:rFonts w:hint="eastAsia"/>
          <w:color w:val="000000" w:themeColor="text1"/>
        </w:rPr>
        <w:t>施工期环保措施可行性</w:t>
      </w:r>
      <w:bookmarkEnd w:id="809"/>
    </w:p>
    <w:p>
      <w:pPr>
        <w:pStyle w:val="5"/>
        <w:rPr>
          <w:rFonts w:hint="default"/>
          <w:color w:val="000000" w:themeColor="text1"/>
        </w:rPr>
      </w:pPr>
      <w:bookmarkStart w:id="813" w:name="_Toc21642"/>
      <w:r>
        <w:rPr>
          <w:rFonts w:hint="default"/>
          <w:color w:val="000000" w:themeColor="text1"/>
        </w:rPr>
        <w:t>大气污染防治措施</w:t>
      </w:r>
      <w:bookmarkEnd w:id="81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为使施工过程中产生的扬尘对周围环境空气的影响降低到最小程度，建议采取以下防护措施：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（1）开挖、钻孔过程中，应洒水使作业面保持一定的湿度；对施工场地内松散、干涸的表土，也应经常洒水防止粉尘；回填土方时，在表层土质干燥时应适当洒水，防止粉尘飞扬；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对施工现场和工程主要建筑物分别采用围栏、设置工棚、覆盖遮蔽等措施，阻隔施工扬尘污染；遇4级以上风力应停止土方等扬尘类施工，并采取防尘措施，以达到防风起尘和减轻施工扬尘外逸对周围环境空气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（3）在工程土建中尽量使用商品混凝土，以减少现场混凝土搅拌造成的粉尘和噪声污染；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（4）运输建筑材料和设备的车辆不得超载，运输颗粒物料车辆的装载高度不得超过车槽；运输沙土、水泥、土方的车辆必须采取覆盖等防尘措施，防止物料沿途抛撒导致二次扬尘；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（5）施工场地出入口配置专门的清洗设备和人员，负责对出入</w:t>
      </w:r>
      <w:r>
        <w:rPr>
          <w:rFonts w:hint="eastAsia" w:ascii="Times New Roman" w:hAnsi="Times New Roman" w:eastAsia="宋体" w:cs="Times New Roman"/>
          <w:color w:val="000000" w:themeColor="text1"/>
          <w:sz w:val="24"/>
          <w:szCs w:val="24"/>
          <w:lang w:eastAsia="zh-CN"/>
        </w:rPr>
        <w:t>场地</w:t>
      </w:r>
      <w:r>
        <w:rPr>
          <w:rFonts w:hint="default" w:ascii="Times New Roman" w:hAnsi="Times New Roman" w:eastAsia="宋体" w:cs="Times New Roman"/>
          <w:color w:val="000000" w:themeColor="text1"/>
          <w:sz w:val="24"/>
          <w:szCs w:val="24"/>
        </w:rPr>
        <w:t>的运输车辆车体和车轮及时冲洗，不得携带泥土驶出施工工地；同时对矿区路面、主要施工点周围应采取绿化及地面临时硬化等防尘措施；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（6）施工过程应及时清理堆放在场地上的弃土、弃渣和道路上的抛撒料、渣，适时洒水灭尘；不能及时清运的必须采取覆盖等措施，防止二次扬尘</w:t>
      </w:r>
      <w:r>
        <w:rPr>
          <w:rFonts w:hint="eastAsia"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7</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制定施工管理制度，责任落实到个人，由专人负责管理施工期“三废”的治理措施；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加强施工期机械设备的维修保养，选用合格燃油；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9</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施工期餐饮油烟选用油烟净化器，净化效率为60%，净化后的废气排放浓度满足</w:t>
      </w:r>
      <w:r>
        <w:rPr>
          <w:rFonts w:hint="default" w:ascii="Times New Roman" w:hAnsi="Times New Roman" w:eastAsia="宋体" w:cs="Times New Roman"/>
          <w:color w:val="000000" w:themeColor="text1"/>
          <w:sz w:val="24"/>
          <w:szCs w:val="24"/>
        </w:rPr>
        <w:t>《饮食业油烟排放标准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》（GB18483-2001）的要求</w:t>
      </w:r>
      <w:r>
        <w:rPr>
          <w:rFonts w:hint="eastAsia"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通过采取以上措施，施工期扬尘可以做到“六个百分百”，满足相关文件的要求。施工期餐饮油烟排放可满足</w:t>
      </w:r>
      <w:r>
        <w:rPr>
          <w:rFonts w:hint="default" w:ascii="Times New Roman" w:hAnsi="Times New Roman" w:eastAsia="宋体" w:cs="Times New Roman"/>
          <w:color w:val="000000" w:themeColor="text1"/>
          <w:sz w:val="24"/>
          <w:szCs w:val="24"/>
        </w:rPr>
        <w:t>《饮食业油烟排放标准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w:t>
      </w:r>
      <w:r>
        <w:rPr>
          <w:rFonts w:hint="eastAsia" w:ascii="Times New Roman" w:hAnsi="Times New Roman" w:eastAsia="宋体" w:cs="Times New Roman"/>
          <w:color w:val="000000" w:themeColor="text1"/>
          <w:sz w:val="24"/>
          <w:szCs w:val="24"/>
          <w:lang w:eastAsia="zh-CN"/>
        </w:rPr>
        <w:t>等标准</w:t>
      </w:r>
      <w:r>
        <w:rPr>
          <w:rFonts w:hint="default" w:ascii="Times New Roman" w:hAnsi="Times New Roman" w:eastAsia="宋体" w:cs="Times New Roman"/>
          <w:color w:val="000000" w:themeColor="text1"/>
          <w:sz w:val="24"/>
          <w:szCs w:val="24"/>
        </w:rPr>
        <w:t>要求</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由此可见，施工期大气环境防治措施可行。</w:t>
      </w:r>
    </w:p>
    <w:p>
      <w:pPr>
        <w:pStyle w:val="5"/>
        <w:rPr>
          <w:rFonts w:hint="default"/>
          <w:color w:val="000000" w:themeColor="text1"/>
        </w:rPr>
      </w:pPr>
      <w:bookmarkStart w:id="814" w:name="_Toc17824"/>
      <w:r>
        <w:rPr>
          <w:rFonts w:hint="default"/>
          <w:color w:val="000000" w:themeColor="text1"/>
        </w:rPr>
        <w:t>水污染防治措施</w:t>
      </w:r>
      <w:bookmarkEnd w:id="81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施工期的施工废水和生活污水若不妥善处理将会造成一定的环境污染，建议施工期采取以下防治措施：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（1）施工期间，施工单位应严格执行《建设工程施工场地文明施工及环境管理暂行定》，对污水的排放进行组织设计，严禁乱排乱流污染环境；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（2）施工时废水应设置</w:t>
      </w:r>
      <w:r>
        <w:rPr>
          <w:rFonts w:hint="eastAsia" w:ascii="Times New Roman" w:hAnsi="Times New Roman" w:eastAsia="宋体" w:cs="Times New Roman"/>
          <w:color w:val="000000" w:themeColor="text1"/>
          <w:sz w:val="24"/>
          <w:szCs w:val="24"/>
          <w:lang w:val="en-US" w:eastAsia="zh-CN"/>
        </w:rPr>
        <w:t>沉淀池</w:t>
      </w:r>
      <w:r>
        <w:rPr>
          <w:rFonts w:hint="default" w:ascii="Times New Roman" w:hAnsi="Times New Roman" w:eastAsia="宋体" w:cs="Times New Roman"/>
          <w:color w:val="000000" w:themeColor="text1"/>
          <w:sz w:val="24"/>
          <w:szCs w:val="24"/>
        </w:rPr>
        <w:t>，含泥沙雨水、泥浆水经</w:t>
      </w:r>
      <w:r>
        <w:rPr>
          <w:rFonts w:hint="eastAsia" w:ascii="Times New Roman" w:hAnsi="Times New Roman" w:eastAsia="宋体" w:cs="Times New Roman"/>
          <w:color w:val="000000" w:themeColor="text1"/>
          <w:sz w:val="24"/>
          <w:szCs w:val="24"/>
          <w:lang w:val="en-US" w:eastAsia="zh-CN"/>
        </w:rPr>
        <w:t>沉淀池</w:t>
      </w:r>
      <w:r>
        <w:rPr>
          <w:rFonts w:hint="default" w:ascii="Times New Roman" w:hAnsi="Times New Roman" w:eastAsia="宋体" w:cs="Times New Roman"/>
          <w:color w:val="000000" w:themeColor="text1"/>
          <w:sz w:val="24"/>
          <w:szCs w:val="24"/>
        </w:rPr>
        <w:t>沉淀后回用</w:t>
      </w:r>
      <w:r>
        <w:rPr>
          <w:rFonts w:hint="eastAsia" w:ascii="Times New Roman" w:hAnsi="Times New Roman" w:eastAsia="宋体" w:cs="Times New Roman"/>
          <w:color w:val="000000" w:themeColor="text1"/>
          <w:sz w:val="24"/>
          <w:szCs w:val="24"/>
          <w:lang w:val="en-US" w:eastAsia="zh-CN"/>
        </w:rPr>
        <w:t>设备冲洗</w:t>
      </w:r>
      <w:r>
        <w:rPr>
          <w:rFonts w:hint="default" w:ascii="Times New Roman" w:hAnsi="Times New Roman" w:eastAsia="宋体" w:cs="Times New Roman"/>
          <w:color w:val="000000" w:themeColor="text1"/>
          <w:sz w:val="24"/>
          <w:szCs w:val="24"/>
        </w:rPr>
        <w:t>，不外排；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w:t>
      </w:r>
      <w:r>
        <w:rPr>
          <w:rFonts w:hint="eastAsia" w:ascii="Times New Roman" w:hAnsi="Times New Roman" w:eastAsia="宋体" w:cs="Times New Roman"/>
          <w:color w:val="000000" w:themeColor="text1"/>
          <w:sz w:val="24"/>
          <w:szCs w:val="24"/>
          <w:lang w:val="en-US" w:eastAsia="zh-CN"/>
        </w:rPr>
        <w:t>生活污水经</w:t>
      </w:r>
      <w:r>
        <w:rPr>
          <w:rFonts w:hint="default" w:ascii="Times New Roman" w:hAnsi="Times New Roman" w:eastAsia="宋体" w:cs="Times New Roman"/>
          <w:color w:val="000000" w:themeColor="text1"/>
          <w:sz w:val="24"/>
          <w:szCs w:val="24"/>
        </w:rPr>
        <w:t>防渗</w:t>
      </w:r>
      <w:r>
        <w:rPr>
          <w:rFonts w:hint="eastAsia" w:ascii="Times New Roman" w:hAnsi="Times New Roman" w:eastAsia="宋体" w:cs="Times New Roman"/>
          <w:color w:val="000000" w:themeColor="text1"/>
          <w:sz w:val="24"/>
          <w:szCs w:val="24"/>
          <w:lang w:val="en-US" w:eastAsia="zh-CN"/>
        </w:rPr>
        <w:t>化粪池处理后</w:t>
      </w:r>
      <w:r>
        <w:rPr>
          <w:rFonts w:hint="default" w:ascii="Times New Roman" w:hAnsi="Times New Roman" w:eastAsia="宋体" w:cs="Times New Roman"/>
          <w:color w:val="000000" w:themeColor="text1"/>
          <w:sz w:val="24"/>
          <w:szCs w:val="24"/>
        </w:rPr>
        <w:t>定期清掏</w:t>
      </w:r>
      <w:r>
        <w:rPr>
          <w:rFonts w:hint="eastAsia" w:ascii="Times New Roman" w:hAnsi="Times New Roman" w:eastAsia="宋体" w:cs="Times New Roman"/>
          <w:color w:val="000000" w:themeColor="text1"/>
          <w:sz w:val="24"/>
          <w:szCs w:val="24"/>
          <w:lang w:val="en-US" w:eastAsia="zh-CN"/>
        </w:rPr>
        <w:t>肥田</w:t>
      </w:r>
      <w:r>
        <w:rPr>
          <w:rFonts w:hint="default"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superscript"/>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根据最不利因素考虑，</w:t>
      </w:r>
      <w:r>
        <w:rPr>
          <w:rFonts w:hint="default" w:ascii="Times New Roman" w:hAnsi="Times New Roman" w:eastAsia="宋体" w:cs="Times New Roman"/>
          <w:color w:val="000000" w:themeColor="text1"/>
          <w:sz w:val="24"/>
          <w:szCs w:val="24"/>
        </w:rPr>
        <w:t>评价要求</w:t>
      </w:r>
      <w:r>
        <w:rPr>
          <w:rFonts w:hint="eastAsia" w:ascii="Times New Roman" w:hAnsi="Times New Roman" w:eastAsia="宋体" w:cs="Times New Roman"/>
          <w:color w:val="000000" w:themeColor="text1"/>
          <w:sz w:val="24"/>
          <w:szCs w:val="24"/>
          <w:lang w:val="en-US" w:eastAsia="zh-CN"/>
        </w:rPr>
        <w:t>K2</w:t>
      </w:r>
      <w:r>
        <w:rPr>
          <w:rFonts w:hint="default" w:ascii="Times New Roman" w:hAnsi="Times New Roman" w:eastAsia="宋体" w:cs="Times New Roman"/>
          <w:color w:val="000000" w:themeColor="text1"/>
          <w:sz w:val="24"/>
          <w:szCs w:val="24"/>
        </w:rPr>
        <w:t>主平硐沉淀池提前建设，用于处理基建施工时的</w:t>
      </w:r>
      <w:r>
        <w:rPr>
          <w:rFonts w:hint="eastAsia" w:ascii="Times New Roman" w:hAnsi="Times New Roman" w:eastAsia="宋体" w:cs="Times New Roman"/>
          <w:color w:val="000000" w:themeColor="text1"/>
          <w:sz w:val="24"/>
          <w:szCs w:val="24"/>
          <w:lang w:val="en-US" w:eastAsia="zh-CN"/>
        </w:rPr>
        <w:t>可能产生的</w:t>
      </w:r>
      <w:r>
        <w:rPr>
          <w:rFonts w:hint="default" w:ascii="Times New Roman" w:hAnsi="Times New Roman" w:eastAsia="宋体" w:cs="Times New Roman"/>
          <w:color w:val="000000" w:themeColor="text1"/>
          <w:sz w:val="24"/>
          <w:szCs w:val="24"/>
        </w:rPr>
        <w:t>矿坑涌水</w:t>
      </w:r>
      <w:r>
        <w:rPr>
          <w:rFonts w:hint="eastAsia" w:ascii="Times New Roman" w:hAnsi="Times New Roman" w:eastAsia="宋体" w:cs="Times New Roman"/>
          <w:color w:val="000000" w:themeColor="text1"/>
          <w:sz w:val="24"/>
          <w:szCs w:val="24"/>
          <w:lang w:val="en-US" w:eastAsia="zh-CN"/>
        </w:rPr>
        <w:t>和井下施工废水</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废水</w:t>
      </w:r>
      <w:r>
        <w:rPr>
          <w:rFonts w:hint="default" w:ascii="Times New Roman" w:hAnsi="Times New Roman" w:eastAsia="宋体" w:cs="Times New Roman"/>
          <w:color w:val="000000" w:themeColor="text1"/>
          <w:sz w:val="24"/>
          <w:szCs w:val="24"/>
        </w:rPr>
        <w:t>经沉淀处理后用于防尘洒水，不外排。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通过以上措施，施工期废水全部综合利用，不外排，不会对地表水环境产生明显的影响，由此可知，施工期废水防治措施可行。</w:t>
      </w:r>
    </w:p>
    <w:p>
      <w:pPr>
        <w:pStyle w:val="5"/>
        <w:rPr>
          <w:rFonts w:hint="default"/>
          <w:color w:val="000000" w:themeColor="text1"/>
        </w:rPr>
      </w:pPr>
      <w:bookmarkStart w:id="815" w:name="_Toc16395"/>
      <w:r>
        <w:rPr>
          <w:rFonts w:hint="default"/>
          <w:color w:val="000000" w:themeColor="text1"/>
        </w:rPr>
        <w:t>噪声污染防治</w:t>
      </w:r>
      <w:bookmarkEnd w:id="81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（1）降低设备声级，尽量选用低噪声机械设备或带隔声、消声的设备，同时做好施工机械的维护和保养，有效降低机械设备运转的噪声源强；</w:t>
      </w:r>
      <w:r>
        <w:rPr>
          <w:rFonts w:hint="eastAsia" w:ascii="Times New Roman" w:hAnsi="Times New Roman" w:eastAsia="宋体" w:cs="Times New Roman"/>
          <w:color w:val="000000" w:themeColor="text1"/>
          <w:sz w:val="24"/>
          <w:szCs w:val="24"/>
          <w:lang w:eastAsia="zh-CN"/>
        </w:rPr>
        <w:t>道路施工时，在距离居民较近一侧设置隔声屏障，可有效减少施工对居民点的影响，施工前提前通知附近居民。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（2）合理安排强噪声施工机械的工作频次，合理调配车辆来往行车密度；施工物料及设备需运入、运出，</w:t>
      </w:r>
      <w:r>
        <w:rPr>
          <w:rFonts w:hint="eastAsia" w:ascii="Times New Roman" w:hAnsi="Times New Roman" w:eastAsia="宋体" w:cs="Times New Roman"/>
          <w:color w:val="000000" w:themeColor="text1"/>
          <w:sz w:val="24"/>
          <w:szCs w:val="24"/>
          <w:lang w:val="en-US" w:eastAsia="zh-CN"/>
        </w:rPr>
        <w:t>夜间和午间休息时间禁止施工作业</w:t>
      </w:r>
      <w:r>
        <w:rPr>
          <w:rFonts w:hint="default" w:ascii="Times New Roman" w:hAnsi="Times New Roman" w:eastAsia="宋体" w:cs="Times New Roman"/>
          <w:color w:val="000000" w:themeColor="text1"/>
          <w:sz w:val="24"/>
          <w:szCs w:val="24"/>
        </w:rPr>
        <w:t>，避免沿途出现扰民现象；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w:t>
      </w:r>
      <w:r>
        <w:rPr>
          <w:rFonts w:hint="eastAsia" w:ascii="Times New Roman" w:hAnsi="Times New Roman" w:eastAsia="宋体" w:cs="Times New Roman"/>
          <w:color w:val="000000" w:themeColor="text1"/>
          <w:sz w:val="24"/>
          <w:szCs w:val="24"/>
          <w:lang w:val="en-US" w:eastAsia="zh-CN"/>
        </w:rPr>
        <w:t>运输车辆经过居民区时减速慢行，禁止鸣笛。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做好劳动保护工作，噪声源周围的施工机械操作人员配备耳塞或耳罩等必要的劳动防护用品。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通过采取以上措施，可有效降低施工噪声。施工期运输的物料相对较少，运输频次相对较低，施工期相对较短，不会对沿线居民产生明显的噪声影响。由此可见，施工期噪声防治措施可行。</w:t>
      </w:r>
    </w:p>
    <w:p>
      <w:pPr>
        <w:pStyle w:val="5"/>
        <w:rPr>
          <w:rFonts w:hint="default"/>
          <w:color w:val="000000" w:themeColor="text1"/>
        </w:rPr>
      </w:pPr>
      <w:bookmarkStart w:id="816" w:name="_Toc25463"/>
      <w:r>
        <w:rPr>
          <w:rFonts w:hint="default"/>
          <w:color w:val="000000" w:themeColor="text1"/>
        </w:rPr>
        <w:t>固体废物处置及工程措施</w:t>
      </w:r>
      <w:bookmarkEnd w:id="8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（1）矿井施工过程中产生的固废主要是掘进废石，</w:t>
      </w:r>
      <w:r>
        <w:rPr>
          <w:rFonts w:hint="eastAsia" w:ascii="Times New Roman" w:hAnsi="Times New Roman" w:eastAsia="宋体" w:cs="Times New Roman"/>
          <w:color w:val="000000" w:themeColor="text1"/>
          <w:sz w:val="24"/>
          <w:szCs w:val="24"/>
          <w:lang w:val="en-US" w:eastAsia="zh-CN"/>
        </w:rPr>
        <w:t>一部分用于修筑道路和场区基建，其余全部用于井下回填，废石不外排</w:t>
      </w:r>
      <w:r>
        <w:rPr>
          <w:rFonts w:hint="default" w:ascii="Times New Roman" w:hAnsi="Times New Roman" w:eastAsia="宋体" w:cs="Times New Roman"/>
          <w:color w:val="000000" w:themeColor="text1"/>
          <w:sz w:val="24"/>
          <w:szCs w:val="24"/>
        </w:rPr>
        <w:t>。</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建筑垃圾主要包括施工过程地基处理和建材损耗、装修阶段产生的少量砂土石块、水泥、碎木料屑等；建筑垃圾产生总量约为0.08万m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vertAlign w:val="baseline"/>
          <w:lang w:val="en-US" w:eastAsia="zh-CN"/>
        </w:rPr>
        <w:t>建筑垃圾产生量较少，全部作为填料修筑道路，不外排。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eastAsia="zh-CN"/>
        </w:rPr>
        <w:t>在施工场地设生活垃圾桶</w:t>
      </w:r>
      <w:r>
        <w:rPr>
          <w:rFonts w:hint="default" w:ascii="Times New Roman" w:hAnsi="Times New Roman" w:eastAsia="宋体" w:cs="Times New Roman"/>
          <w:color w:val="000000" w:themeColor="text1"/>
          <w:sz w:val="24"/>
          <w:szCs w:val="24"/>
        </w:rPr>
        <w:t>，经分类收集后按当地环卫部门要求定期运往指定地点合理处置，对周围环境影响不大。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由此可知，施工期固废产生量较少，种类相对较少，施工期固体废物均可得到妥善处理，均不外排，由此可知，施工期固体废物防治措施可行。</w:t>
      </w:r>
    </w:p>
    <w:p>
      <w:pPr>
        <w:pStyle w:val="5"/>
        <w:keepNext w:val="0"/>
        <w:keepLines w:val="0"/>
        <w:pageBreakBefore w:val="0"/>
        <w:widowControl w:val="0"/>
        <w:kinsoku/>
        <w:wordWrap/>
        <w:overflowPunct/>
        <w:topLinePunct w:val="0"/>
        <w:autoSpaceDE/>
        <w:autoSpaceDN/>
        <w:bidi w:val="0"/>
        <w:textAlignment w:val="auto"/>
        <w:outlineLvl w:val="2"/>
        <w:rPr>
          <w:rFonts w:hint="default"/>
          <w:color w:val="000000" w:themeColor="text1"/>
          <w:lang w:val="en-US" w:eastAsia="zh-CN"/>
        </w:rPr>
      </w:pPr>
      <w:bookmarkStart w:id="817" w:name="_Toc3608"/>
      <w:r>
        <w:rPr>
          <w:rFonts w:hint="default"/>
          <w:color w:val="000000" w:themeColor="text1"/>
          <w:lang w:val="en-US" w:eastAsia="zh-CN"/>
        </w:rPr>
        <w:t>土壤污染防治</w:t>
      </w:r>
      <w:bookmarkEnd w:id="817"/>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b w:val="0"/>
          <w:bCs w:val="0"/>
          <w:color w:val="000000" w:themeColor="text1"/>
          <w:sz w:val="24"/>
          <w:szCs w:val="24"/>
          <w:lang w:val="en-US" w:eastAsia="zh-CN"/>
        </w:rPr>
      </w:pPr>
      <w:bookmarkStart w:id="818" w:name="_Toc10424"/>
      <w:r>
        <w:rPr>
          <w:rFonts w:hint="eastAsia" w:ascii="Times New Roman" w:hAnsi="Times New Roman" w:eastAsia="宋体" w:cs="Times New Roman"/>
          <w:b w:val="0"/>
          <w:bCs w:val="0"/>
          <w:color w:val="000000" w:themeColor="text1"/>
          <w:sz w:val="24"/>
          <w:szCs w:val="24"/>
          <w:lang w:val="en-US" w:eastAsia="zh-CN"/>
        </w:rPr>
        <w:t>（1）设计阶段合理规划、优化施工方案，尽量减少工程占地。</w:t>
      </w:r>
      <w:bookmarkEnd w:id="818"/>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b w:val="0"/>
          <w:bCs w:val="0"/>
          <w:color w:val="000000" w:themeColor="text1"/>
          <w:sz w:val="24"/>
          <w:szCs w:val="24"/>
          <w:lang w:val="en-US" w:eastAsia="zh-CN"/>
        </w:rPr>
      </w:pPr>
      <w:bookmarkStart w:id="819" w:name="_Toc15808"/>
      <w:r>
        <w:rPr>
          <w:rFonts w:hint="eastAsia" w:ascii="Times New Roman" w:hAnsi="Times New Roman" w:eastAsia="宋体" w:cs="Times New Roman"/>
          <w:b w:val="0"/>
          <w:bCs w:val="0"/>
          <w:color w:val="000000" w:themeColor="text1"/>
          <w:sz w:val="24"/>
          <w:szCs w:val="24"/>
          <w:lang w:val="en-US" w:eastAsia="zh-CN"/>
        </w:rPr>
        <w:t>（2）对施工场地的物料进行苫盖，施工过程采取洒水抑尘，减少扬尘产生量，防止扬尘污染周边表层土壤。</w:t>
      </w:r>
      <w:bookmarkEnd w:id="819"/>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b w:val="0"/>
          <w:bCs w:val="0"/>
          <w:color w:val="000000" w:themeColor="text1"/>
          <w:sz w:val="24"/>
          <w:szCs w:val="24"/>
          <w:lang w:val="en-US" w:eastAsia="zh-CN"/>
        </w:rPr>
      </w:pPr>
      <w:bookmarkStart w:id="820" w:name="_Toc29342"/>
      <w:r>
        <w:rPr>
          <w:rFonts w:hint="eastAsia" w:ascii="Times New Roman" w:hAnsi="Times New Roman" w:eastAsia="宋体" w:cs="Times New Roman"/>
          <w:b w:val="0"/>
          <w:bCs w:val="0"/>
          <w:color w:val="000000" w:themeColor="text1"/>
          <w:sz w:val="24"/>
          <w:szCs w:val="24"/>
          <w:lang w:val="en-US" w:eastAsia="zh-CN"/>
        </w:rPr>
        <w:t>（3）施工过程产生的施工废水全部进行收集沉淀回用，防止废水地面漫流。生活废水经化粪池处理后定期清掏，用于周边农田肥田。</w:t>
      </w:r>
      <w:bookmarkEnd w:id="820"/>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color w:val="000000" w:themeColor="text1"/>
          <w:sz w:val="24"/>
          <w:szCs w:val="24"/>
        </w:rPr>
      </w:pPr>
      <w:bookmarkStart w:id="821" w:name="_Toc20500"/>
      <w:r>
        <w:rPr>
          <w:rFonts w:hint="eastAsia" w:ascii="Times New Roman" w:hAnsi="Times New Roman" w:eastAsia="宋体" w:cs="Times New Roman"/>
          <w:b w:val="0"/>
          <w:bCs w:val="0"/>
          <w:color w:val="000000" w:themeColor="text1"/>
          <w:sz w:val="24"/>
          <w:szCs w:val="24"/>
          <w:lang w:val="en-US" w:eastAsia="zh-CN"/>
        </w:rPr>
        <w:t>（4）固体废物分类收集，不得在场区随便堆放，并且减少堆放时间，防止雨水冲洗将有害物质带入土壤环境。</w:t>
      </w:r>
      <w:bookmarkEnd w:id="821"/>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bookmarkStart w:id="822" w:name="_Toc31667"/>
      <w:r>
        <w:rPr>
          <w:rFonts w:hint="eastAsia" w:ascii="Times New Roman" w:hAnsi="Times New Roman" w:eastAsia="宋体" w:cs="Times New Roman"/>
          <w:b w:val="0"/>
          <w:bCs w:val="0"/>
          <w:color w:val="000000" w:themeColor="text1"/>
          <w:sz w:val="24"/>
          <w:szCs w:val="24"/>
          <w:lang w:val="en-US" w:eastAsia="zh-CN"/>
        </w:rPr>
        <w:t>（5）场地平整工作过程中，首先将表土保存，表土堆放过程中应进行苫盖，设置截排水沟，防止雨水冲刷使表层土壤板结，用于恢复临时占地和矿区绿化。</w:t>
      </w:r>
      <w:bookmarkEnd w:id="822"/>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bookmarkStart w:id="823" w:name="_Toc17480"/>
      <w:r>
        <w:rPr>
          <w:rFonts w:hint="eastAsia" w:ascii="Times New Roman" w:hAnsi="Times New Roman" w:eastAsia="宋体" w:cs="Times New Roman"/>
          <w:b w:val="0"/>
          <w:bCs w:val="0"/>
          <w:color w:val="000000" w:themeColor="text1"/>
          <w:sz w:val="24"/>
          <w:szCs w:val="24"/>
          <w:lang w:val="en-US" w:eastAsia="zh-CN"/>
        </w:rPr>
        <w:t>采取以上措施，施工期土壤环境影响较小，土壤环境保护措施可行。</w:t>
      </w:r>
      <w:bookmarkEnd w:id="823"/>
    </w:p>
    <w:p>
      <w:pPr>
        <w:pStyle w:val="5"/>
        <w:keepNext w:val="0"/>
        <w:keepLines w:val="0"/>
        <w:pageBreakBefore w:val="0"/>
        <w:widowControl w:val="0"/>
        <w:kinsoku/>
        <w:wordWrap/>
        <w:overflowPunct/>
        <w:topLinePunct w:val="0"/>
        <w:autoSpaceDE/>
        <w:autoSpaceDN/>
        <w:bidi w:val="0"/>
        <w:textAlignment w:val="auto"/>
        <w:rPr>
          <w:rFonts w:hint="default"/>
          <w:color w:val="000000" w:themeColor="text1"/>
        </w:rPr>
      </w:pPr>
      <w:bookmarkStart w:id="824" w:name="_Toc479"/>
      <w:r>
        <w:rPr>
          <w:rFonts w:hint="default"/>
          <w:color w:val="000000" w:themeColor="text1"/>
        </w:rPr>
        <w:t>生态污染防治</w:t>
      </w:r>
      <w:bookmarkEnd w:id="82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lang w:val="en-US" w:eastAsia="zh-CN"/>
        </w:rPr>
        <w:t>施工</w:t>
      </w:r>
      <w:r>
        <w:rPr>
          <w:rFonts w:hint="default" w:ascii="Times New Roman" w:hAnsi="Times New Roman" w:eastAsia="宋体" w:cs="Times New Roman"/>
          <w:bCs/>
          <w:color w:val="000000" w:themeColor="text1"/>
          <w:sz w:val="24"/>
          <w:szCs w:val="24"/>
        </w:rPr>
        <w:t>期对生态的破坏主要集中在对土地资源的占用、对动植物的影响以及可能造成局部地区的水土流失等问题。</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施工期应本着少占、不占土地的原则，尽量减少资源的占用</w:t>
      </w:r>
      <w:r>
        <w:rPr>
          <w:rFonts w:hint="eastAsia" w:ascii="Times New Roman" w:hAnsi="Times New Roman" w:eastAsia="宋体" w:cs="Times New Roman"/>
          <w:bCs/>
          <w:color w:val="000000" w:themeColor="text1"/>
          <w:sz w:val="24"/>
          <w:szCs w:val="24"/>
          <w:lang w:eastAsia="zh-CN"/>
        </w:rPr>
        <w:t>；</w:t>
      </w:r>
      <w:r>
        <w:rPr>
          <w:rFonts w:hint="eastAsia" w:ascii="Times New Roman" w:hAnsi="Times New Roman" w:eastAsia="宋体" w:cs="Times New Roman"/>
          <w:bCs/>
          <w:color w:val="000000" w:themeColor="text1"/>
          <w:sz w:val="24"/>
          <w:szCs w:val="24"/>
          <w:lang w:val="en-US" w:eastAsia="zh-CN"/>
        </w:rPr>
        <w:t>K2矿区进场道路尽可能依托村道，减少新修道路占用土地面积，尽可能依托K1矿区的现有工程减少新建工程占地。</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在场地清理时应将表土进行保存，以备后期进行生态恢复</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临时占地生态恢复选用当地物种</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表土的保存应防止水土流失，由于保存时间较长，建议对表土进行绿化。</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区域的高大树木、经济树种等进行移栽：在修建工业场地、进场道路等工程时，在场地平整前，尽可能对高大树木、经济树种等进行异地移栽，减少本工程建设对植被的损毁量。移栽时，尽可能选择与原来植物生境接近的区域，保证其成活率，移栽过程中应避免二次生态影响。</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施工期减少高噪声设备、控制噪声传播，减少噪声对周边野生动物的影响：选择低噪声设备，对施工人员加强培训，对施工机械进行定期维护保养，减少频发偶发高噪声等。</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施工人员和施工机械应该严格控制作业范围，禁止在施工区域外活动</w:t>
      </w:r>
      <w:r>
        <w:rPr>
          <w:rFonts w:hint="eastAsia" w:ascii="Times New Roman" w:hAnsi="Times New Roman" w:eastAsia="宋体" w:cs="Times New Roman"/>
          <w:color w:val="000000" w:themeColor="text1"/>
          <w:sz w:val="24"/>
          <w:szCs w:val="24"/>
          <w:lang w:eastAsia="zh-CN"/>
        </w:rPr>
        <w:t>：制定施工方案，禁止施工人员在施工范围外的场地进行踩踏，毁林毁草，禁止将施工机械停放在施工范围外的场地。</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施工过程中对临时堆放的物料、土石方等进行苫盖、设截排水沟等，防止雨水冲刷，对施工场地、路面等进行硬化，施工结束后</w:t>
      </w:r>
      <w:r>
        <w:rPr>
          <w:rFonts w:hint="default" w:ascii="Times New Roman" w:hAnsi="Times New Roman" w:eastAsia="宋体" w:cs="Times New Roman"/>
          <w:color w:val="000000" w:themeColor="text1"/>
          <w:sz w:val="24"/>
          <w:szCs w:val="24"/>
        </w:rPr>
        <w:t>对工程引起的有可能引起水土流失的区域及时进行修复。</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施工结束后，对道路两侧、工业场地的临时占地进行生态恢复，生态恢复的表土尽可能选用施工初期保存的表土，植被恢复选用当地的物种。其余部分全部按照要求进行绿化。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通过采取以上措施，可减少施工期生态环境，施工期生态环境防止措施可行。</w:t>
      </w:r>
    </w:p>
    <w:p>
      <w:pPr>
        <w:pStyle w:val="4"/>
        <w:rPr>
          <w:rFonts w:hint="default"/>
          <w:color w:val="000000" w:themeColor="text1"/>
        </w:rPr>
      </w:pPr>
      <w:bookmarkStart w:id="825" w:name="_Toc22018"/>
      <w:r>
        <w:rPr>
          <w:rFonts w:hint="default"/>
          <w:color w:val="000000" w:themeColor="text1"/>
        </w:rPr>
        <w:t>运营期环保措施可行性</w:t>
      </w:r>
      <w:bookmarkEnd w:id="825"/>
    </w:p>
    <w:p>
      <w:pPr>
        <w:pStyle w:val="5"/>
        <w:rPr>
          <w:rFonts w:hint="default"/>
          <w:color w:val="000000" w:themeColor="text1"/>
          <w:lang w:val="en-US" w:eastAsia="zh-CN"/>
        </w:rPr>
      </w:pPr>
      <w:bookmarkStart w:id="826" w:name="_Toc31250"/>
      <w:r>
        <w:rPr>
          <w:rFonts w:hint="eastAsia"/>
          <w:color w:val="000000" w:themeColor="text1"/>
          <w:lang w:val="en-US" w:eastAsia="zh-CN"/>
        </w:rPr>
        <w:t>大气污染防止措施</w:t>
      </w:r>
      <w:bookmarkEnd w:id="826"/>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（1）环境空气污染防治措施</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A.</w:t>
      </w:r>
      <w:r>
        <w:rPr>
          <w:rFonts w:hint="default" w:ascii="Times New Roman" w:hAnsi="Times New Roman" w:eastAsia="宋体" w:cs="Times New Roman"/>
          <w:color w:val="000000" w:themeColor="text1"/>
          <w:sz w:val="24"/>
          <w:szCs w:val="24"/>
        </w:rPr>
        <w:t>采矿通风井污风</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1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rPr>
        <w:t>采矿工作面采用湿式凿岩、喷雾洒水除尘的湿式作业</w:t>
      </w:r>
      <w:r>
        <w:rPr>
          <w:rFonts w:hint="eastAsia" w:ascii="Times New Roman" w:hAnsi="Times New Roman" w:eastAsia="宋体" w:cs="Times New Roman"/>
          <w:color w:val="000000" w:themeColor="text1"/>
          <w:sz w:val="24"/>
          <w:szCs w:val="24"/>
          <w:lang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rPr>
        <w:t>定期对进风巷道和主运输巷道岩壁进行清洗</w:t>
      </w:r>
      <w:r>
        <w:rPr>
          <w:rFonts w:hint="eastAsia" w:ascii="Times New Roman" w:hAnsi="Times New Roman" w:eastAsia="宋体" w:cs="Times New Roman"/>
          <w:color w:val="000000" w:themeColor="text1"/>
          <w:sz w:val="24"/>
          <w:szCs w:val="24"/>
          <w:lang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3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sz w:val="24"/>
          <w:szCs w:val="24"/>
          <w:lang w:eastAsia="zh-CN"/>
        </w:rPr>
        <w:fldChar w:fldCharType="end"/>
      </w:r>
      <w:r>
        <w:rPr>
          <w:rFonts w:hint="default" w:ascii="Times New Roman" w:hAnsi="Times New Roman" w:eastAsia="宋体" w:cs="Times New Roman"/>
          <w:color w:val="000000" w:themeColor="text1"/>
          <w:sz w:val="24"/>
          <w:szCs w:val="24"/>
        </w:rPr>
        <w:t>采用机械与自然通风输送新鲜风的进一步稀释方式。</w:t>
      </w:r>
    </w:p>
    <w:p>
      <w:pPr>
        <w:pStyle w:val="6"/>
        <w:pageBreakBefore w:val="0"/>
        <w:widowControl w:val="0"/>
        <w:numPr>
          <w:ilvl w:val="3"/>
          <w:numId w:val="0"/>
        </w:numPr>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b w:val="0"/>
          <w:bCs w:val="0"/>
          <w:color w:val="000000" w:themeColor="text1"/>
          <w:sz w:val="24"/>
          <w:szCs w:val="24"/>
          <w:lang w:val="en-US" w:eastAsia="zh-CN"/>
        </w:rPr>
        <w:t>B.</w:t>
      </w:r>
      <w:r>
        <w:rPr>
          <w:rFonts w:hint="default" w:ascii="Times New Roman" w:hAnsi="Times New Roman" w:eastAsia="宋体" w:cs="Times New Roman"/>
          <w:b w:val="0"/>
          <w:bCs w:val="0"/>
          <w:color w:val="000000" w:themeColor="text1"/>
          <w:sz w:val="24"/>
          <w:szCs w:val="24"/>
        </w:rPr>
        <w:t>矿石</w:t>
      </w:r>
      <w:r>
        <w:rPr>
          <w:rFonts w:hint="eastAsia" w:ascii="Times New Roman" w:hAnsi="Times New Roman" w:eastAsia="宋体" w:cs="Times New Roman"/>
          <w:b w:val="0"/>
          <w:bCs w:val="0"/>
          <w:color w:val="000000" w:themeColor="text1"/>
          <w:sz w:val="24"/>
          <w:szCs w:val="24"/>
          <w:lang w:val="en-US" w:eastAsia="zh-CN"/>
        </w:rPr>
        <w:t>堆场</w:t>
      </w:r>
      <w:r>
        <w:rPr>
          <w:rFonts w:hint="default" w:ascii="Times New Roman" w:hAnsi="Times New Roman" w:eastAsia="宋体" w:cs="Times New Roman"/>
          <w:b w:val="0"/>
          <w:bCs w:val="0"/>
          <w:color w:val="000000" w:themeColor="text1"/>
          <w:sz w:val="24"/>
          <w:szCs w:val="24"/>
        </w:rPr>
        <w:t>扬尘</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1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val="en-US" w:eastAsia="zh-CN"/>
        </w:rPr>
        <w:t>在矿石堆场建设矿石堆棚，用于矿石的临时转运和废石的临时堆放，可有效减少粉尘排放量</w:t>
      </w:r>
      <w:r>
        <w:rPr>
          <w:rFonts w:hint="default" w:ascii="Times New Roman" w:hAnsi="Times New Roman" w:eastAsia="宋体" w:cs="Times New Roman"/>
          <w:color w:val="000000" w:themeColor="text1"/>
          <w:sz w:val="24"/>
          <w:szCs w:val="24"/>
        </w:rPr>
        <w:t>。</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rPr>
        <w:fldChar w:fldCharType="end"/>
      </w:r>
      <w:r>
        <w:rPr>
          <w:rFonts w:hint="eastAsia" w:ascii="Times New Roman" w:hAnsi="Times New Roman" w:eastAsia="宋体" w:cs="Times New Roman"/>
          <w:color w:val="000000" w:themeColor="text1"/>
          <w:sz w:val="24"/>
          <w:szCs w:val="24"/>
          <w:lang w:val="en-US" w:eastAsia="zh-CN"/>
        </w:rPr>
        <w:t>在装卸过程中进行喷淋降尘</w:t>
      </w:r>
      <w:r>
        <w:rPr>
          <w:rFonts w:hint="default" w:ascii="Times New Roman" w:hAnsi="Times New Roman" w:eastAsia="宋体" w:cs="Times New Roman"/>
          <w:color w:val="000000" w:themeColor="text1"/>
          <w:sz w:val="24"/>
          <w:szCs w:val="24"/>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3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sz w:val="24"/>
          <w:szCs w:val="24"/>
          <w:lang w:eastAsia="zh-CN"/>
        </w:rPr>
        <w:fldChar w:fldCharType="end"/>
      </w:r>
      <w:r>
        <w:rPr>
          <w:rFonts w:hint="eastAsia" w:ascii="Times New Roman" w:hAnsi="Times New Roman" w:eastAsia="宋体" w:cs="Times New Roman"/>
          <w:color w:val="000000" w:themeColor="text1"/>
          <w:sz w:val="24"/>
          <w:szCs w:val="24"/>
          <w:lang w:eastAsia="zh-CN"/>
        </w:rPr>
        <w:t>减少矿石落地高度。</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C.矿石运输道路</w:t>
      </w:r>
      <w:r>
        <w:rPr>
          <w:rFonts w:hint="default" w:ascii="Times New Roman" w:hAnsi="Times New Roman" w:eastAsia="宋体" w:cs="Times New Roman"/>
          <w:color w:val="000000" w:themeColor="text1"/>
          <w:sz w:val="24"/>
          <w:szCs w:val="24"/>
        </w:rPr>
        <w:t>扬尘</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1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①</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b w:val="0"/>
          <w:bCs w:val="0"/>
          <w:color w:val="000000" w:themeColor="text1"/>
          <w:sz w:val="24"/>
          <w:szCs w:val="24"/>
          <w:lang w:val="en-US" w:eastAsia="zh-CN"/>
        </w:rPr>
        <w:t>本项目矿区内道路全部硬化。</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2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b w:val="0"/>
          <w:bCs w:val="0"/>
          <w:color w:val="000000" w:themeColor="text1"/>
          <w:sz w:val="24"/>
          <w:szCs w:val="24"/>
          <w:lang w:val="en-US" w:eastAsia="zh-CN"/>
        </w:rPr>
        <w:t>加强道路清扫增加道路清洁程度，定期洒水降尘。</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3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sz w:val="24"/>
          <w:szCs w:val="24"/>
          <w:lang w:eastAsia="zh-CN"/>
        </w:rPr>
        <w:fldChar w:fldCharType="end"/>
      </w:r>
      <w:r>
        <w:rPr>
          <w:rFonts w:hint="default" w:ascii="Times New Roman" w:hAnsi="Times New Roman" w:eastAsia="宋体" w:cs="Times New Roman"/>
          <w:b w:val="0"/>
          <w:bCs w:val="0"/>
          <w:color w:val="000000" w:themeColor="text1"/>
          <w:sz w:val="24"/>
          <w:szCs w:val="24"/>
          <w:lang w:val="en-US" w:eastAsia="zh-CN"/>
        </w:rPr>
        <w:t>要求运输车辆减速慢行，车辆全覆盖，防止矿石散落。</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D.</w:t>
      </w:r>
      <w:r>
        <w:rPr>
          <w:rFonts w:hint="eastAsia" w:ascii="Times New Roman" w:hAnsi="Times New Roman" w:eastAsia="宋体" w:cs="Times New Roman"/>
          <w:b w:val="0"/>
          <w:bCs w:val="0"/>
          <w:color w:val="000000" w:themeColor="text1"/>
          <w:sz w:val="24"/>
          <w:szCs w:val="24"/>
          <w:lang w:val="en-US" w:eastAsia="zh-CN"/>
        </w:rPr>
        <w:t>非道路移动机械和运输车辆尾气</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fldChar w:fldCharType="begin"/>
      </w:r>
      <w:r>
        <w:rPr>
          <w:rFonts w:hint="default" w:ascii="Times New Roman" w:hAnsi="Times New Roman" w:eastAsia="宋体" w:cs="Times New Roman"/>
          <w:b w:val="0"/>
          <w:bCs w:val="0"/>
          <w:color w:val="000000" w:themeColor="text1"/>
          <w:sz w:val="24"/>
          <w:szCs w:val="24"/>
          <w:lang w:val="en-US" w:eastAsia="zh-CN"/>
        </w:rPr>
        <w:instrText xml:space="preserve"> = 1 \* GB3 \* MERGEFORMAT </w:instrText>
      </w:r>
      <w:r>
        <w:rPr>
          <w:rFonts w:hint="default" w:ascii="Times New Roman" w:hAnsi="Times New Roman" w:eastAsia="宋体" w:cs="Times New Roman"/>
          <w:b w:val="0"/>
          <w:bCs w:val="0"/>
          <w:color w:val="000000" w:themeColor="text1"/>
          <w:sz w:val="24"/>
          <w:szCs w:val="24"/>
          <w:lang w:val="en-US" w:eastAsia="zh-CN"/>
        </w:rPr>
        <w:fldChar w:fldCharType="separate"/>
      </w:r>
      <w:r>
        <w:rPr>
          <w:rFonts w:hint="default" w:ascii="Times New Roman" w:hAnsi="Times New Roman" w:eastAsia="宋体" w:cs="Times New Roman"/>
          <w:b w:val="0"/>
          <w:bCs w:val="0"/>
          <w:color w:val="000000" w:themeColor="text1"/>
          <w:sz w:val="24"/>
          <w:szCs w:val="24"/>
        </w:rPr>
        <w:t>①</w:t>
      </w:r>
      <w:r>
        <w:rPr>
          <w:rFonts w:hint="default" w:ascii="Times New Roman" w:hAnsi="Times New Roman" w:eastAsia="宋体" w:cs="Times New Roman"/>
          <w:b w:val="0"/>
          <w:bCs w:val="0"/>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sz w:val="24"/>
          <w:szCs w:val="24"/>
          <w:lang w:val="en-US" w:eastAsia="zh-CN"/>
        </w:rPr>
        <w:t>按照国家政策，尽量选用新能源机械设备，禁止私自改装车辆，淘汰尾气排放不达标的车辆。</w:t>
      </w:r>
    </w:p>
    <w:p>
      <w:pPr>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fldChar w:fldCharType="begin"/>
      </w:r>
      <w:r>
        <w:rPr>
          <w:rFonts w:hint="default" w:ascii="Times New Roman" w:hAnsi="Times New Roman" w:eastAsia="宋体" w:cs="Times New Roman"/>
          <w:b w:val="0"/>
          <w:bCs w:val="0"/>
          <w:color w:val="000000" w:themeColor="text1"/>
          <w:sz w:val="24"/>
          <w:szCs w:val="24"/>
          <w:lang w:val="en-US" w:eastAsia="zh-CN"/>
        </w:rPr>
        <w:instrText xml:space="preserve"> = 2 \* GB3 \* MERGEFORMAT </w:instrText>
      </w:r>
      <w:r>
        <w:rPr>
          <w:rFonts w:hint="default" w:ascii="Times New Roman" w:hAnsi="Times New Roman" w:eastAsia="宋体" w:cs="Times New Roman"/>
          <w:b w:val="0"/>
          <w:bCs w:val="0"/>
          <w:color w:val="000000" w:themeColor="text1"/>
          <w:sz w:val="24"/>
          <w:szCs w:val="24"/>
          <w:lang w:val="en-US" w:eastAsia="zh-CN"/>
        </w:rPr>
        <w:fldChar w:fldCharType="separate"/>
      </w:r>
      <w:r>
        <w:rPr>
          <w:rFonts w:hint="default" w:ascii="Times New Roman" w:hAnsi="Times New Roman" w:eastAsia="宋体" w:cs="Times New Roman"/>
          <w:b w:val="0"/>
          <w:bCs w:val="0"/>
          <w:color w:val="000000" w:themeColor="text1"/>
          <w:sz w:val="24"/>
          <w:szCs w:val="24"/>
        </w:rPr>
        <w:t>②</w:t>
      </w:r>
      <w:r>
        <w:rPr>
          <w:rFonts w:hint="default" w:ascii="Times New Roman" w:hAnsi="Times New Roman" w:eastAsia="宋体" w:cs="Times New Roman"/>
          <w:b w:val="0"/>
          <w:bCs w:val="0"/>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sz w:val="24"/>
          <w:szCs w:val="24"/>
          <w:lang w:val="en-US" w:eastAsia="zh-CN"/>
        </w:rPr>
        <w:t>定期对非道路移动机械和运输车辆进行检修，保障车辆正常运行。</w:t>
      </w:r>
    </w:p>
    <w:p>
      <w:pPr>
        <w:pageBreakBefore w:val="0"/>
        <w:widowControl w:val="0"/>
        <w:kinsoku/>
        <w:wordWrap/>
        <w:overflowPunct/>
        <w:topLinePunct w:val="0"/>
        <w:bidi w:val="0"/>
        <w:adjustRightInd w:val="0"/>
        <w:snapToGrid w:val="0"/>
        <w:spacing w:line="360" w:lineRule="auto"/>
        <w:ind w:left="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fldChar w:fldCharType="begin"/>
      </w:r>
      <w:r>
        <w:rPr>
          <w:rFonts w:hint="default" w:ascii="Times New Roman" w:hAnsi="Times New Roman" w:eastAsia="宋体" w:cs="Times New Roman"/>
          <w:b w:val="0"/>
          <w:bCs w:val="0"/>
          <w:color w:val="000000" w:themeColor="text1"/>
          <w:sz w:val="24"/>
          <w:szCs w:val="24"/>
          <w:lang w:val="en-US" w:eastAsia="zh-CN"/>
        </w:rPr>
        <w:instrText xml:space="preserve"> = 3 \* GB3 \* MERGEFORMAT </w:instrText>
      </w:r>
      <w:r>
        <w:rPr>
          <w:rFonts w:hint="default" w:ascii="Times New Roman" w:hAnsi="Times New Roman" w:eastAsia="宋体" w:cs="Times New Roman"/>
          <w:b w:val="0"/>
          <w:bCs w:val="0"/>
          <w:color w:val="000000" w:themeColor="text1"/>
          <w:sz w:val="24"/>
          <w:szCs w:val="24"/>
          <w:lang w:val="en-US" w:eastAsia="zh-CN"/>
        </w:rPr>
        <w:fldChar w:fldCharType="separate"/>
      </w:r>
      <w:r>
        <w:rPr>
          <w:rFonts w:hint="default" w:ascii="Times New Roman" w:hAnsi="Times New Roman" w:eastAsia="宋体" w:cs="Times New Roman"/>
          <w:b w:val="0"/>
          <w:bCs w:val="0"/>
          <w:color w:val="000000" w:themeColor="text1"/>
          <w:sz w:val="24"/>
          <w:szCs w:val="24"/>
        </w:rPr>
        <w:t>③</w:t>
      </w:r>
      <w:r>
        <w:rPr>
          <w:rFonts w:hint="default" w:ascii="Times New Roman" w:hAnsi="Times New Roman" w:eastAsia="宋体" w:cs="Times New Roman"/>
          <w:b w:val="0"/>
          <w:bCs w:val="0"/>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sz w:val="24"/>
          <w:szCs w:val="24"/>
          <w:lang w:val="en-US" w:eastAsia="zh-CN"/>
        </w:rPr>
        <w:t>选用合格的燃油，保障油品充分燃烧</w:t>
      </w:r>
      <w:r>
        <w:rPr>
          <w:rFonts w:hint="eastAsia" w:ascii="Times New Roman" w:hAnsi="Times New Roman" w:eastAsia="宋体" w:cs="Times New Roman"/>
          <w:b w:val="0"/>
          <w:bCs w:val="0"/>
          <w:color w:val="000000" w:themeColor="text1"/>
          <w:sz w:val="24"/>
          <w:szCs w:val="24"/>
          <w:lang w:val="en-US"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E.餐饮</w:t>
      </w:r>
      <w:r>
        <w:rPr>
          <w:rFonts w:hint="default" w:ascii="Times New Roman" w:hAnsi="Times New Roman" w:eastAsia="宋体" w:cs="Times New Roman"/>
          <w:color w:val="000000" w:themeColor="text1"/>
          <w:sz w:val="24"/>
          <w:szCs w:val="24"/>
        </w:rPr>
        <w:t>油烟</w:t>
      </w:r>
    </w:p>
    <w:p>
      <w:pPr>
        <w:pStyle w:val="12"/>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餐饮</w:t>
      </w:r>
      <w:r>
        <w:rPr>
          <w:rFonts w:hint="default" w:ascii="Times New Roman" w:hAnsi="Times New Roman" w:eastAsia="宋体" w:cs="Times New Roman"/>
          <w:color w:val="000000" w:themeColor="text1"/>
          <w:sz w:val="24"/>
          <w:szCs w:val="24"/>
        </w:rPr>
        <w:t>油烟经过油烟净化器处理后可达标排放，</w:t>
      </w:r>
      <w:r>
        <w:rPr>
          <w:rFonts w:hint="eastAsia" w:ascii="Times New Roman" w:hAnsi="Times New Roman" w:eastAsia="宋体" w:cs="Times New Roman"/>
          <w:color w:val="000000" w:themeColor="text1"/>
          <w:sz w:val="24"/>
          <w:szCs w:val="24"/>
          <w:lang w:eastAsia="zh-CN"/>
        </w:rPr>
        <w:t>保证其正常稳定运行，</w:t>
      </w:r>
      <w:r>
        <w:rPr>
          <w:rFonts w:hint="default" w:ascii="Times New Roman" w:hAnsi="Times New Roman" w:eastAsia="宋体" w:cs="Times New Roman"/>
          <w:color w:val="000000" w:themeColor="text1"/>
          <w:sz w:val="24"/>
          <w:szCs w:val="24"/>
        </w:rPr>
        <w:t>对环境影响较小。</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（2）污染防治措施可行性</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采矿工作面采用湿式凿岩、喷雾洒水除尘的湿式作业，定期对进风巷道和主运输巷道岩壁进行清洗，可有效降低坑内粉尘和预防二次扬尘，同时采用机械与自然通风输送新鲜风的进一步稀释方式，可使矿井污风中粉尘排放浓度＜1mg/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，满足《大气污染物综合排放标准》</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GB16297-1996</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②</w:t>
      </w:r>
      <w:r>
        <w:rPr>
          <w:rFonts w:hint="eastAsia" w:ascii="Times New Roman" w:hAnsi="Times New Roman" w:eastAsia="宋体" w:cs="Times New Roman"/>
          <w:color w:val="000000" w:themeColor="text1"/>
          <w:sz w:val="24"/>
          <w:szCs w:val="24"/>
          <w:lang w:val="en-US" w:eastAsia="zh-CN"/>
        </w:rPr>
        <w:t>矿石堆场扬尘通过设置堆棚，装卸过程中洒水降尘，有效减少扬尘排放，满足</w:t>
      </w:r>
      <w:r>
        <w:rPr>
          <w:rFonts w:hint="default" w:ascii="Times New Roman" w:hAnsi="Times New Roman" w:eastAsia="宋体" w:cs="Times New Roman"/>
          <w:color w:val="000000" w:themeColor="text1"/>
          <w:sz w:val="24"/>
          <w:szCs w:val="24"/>
        </w:rPr>
        <w:t>《陕西省矿产资源开发</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保生态治污染</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行动方案（2016-2020年）》</w:t>
      </w:r>
      <w:r>
        <w:rPr>
          <w:rFonts w:hint="eastAsia" w:ascii="Times New Roman" w:hAnsi="Times New Roman" w:eastAsia="宋体" w:cs="Times New Roman"/>
          <w:color w:val="000000" w:themeColor="text1"/>
          <w:sz w:val="24"/>
          <w:szCs w:val="24"/>
          <w:lang w:val="en-US" w:eastAsia="zh-CN"/>
        </w:rPr>
        <w:t>要求。堆棚工艺简单，粉尘抑制效率高，项目所在区域水源相对充足，可满足本项目喷淋降尘</w:t>
      </w:r>
      <w:r>
        <w:rPr>
          <w:rFonts w:hint="default" w:ascii="Times New Roman" w:hAnsi="Times New Roman" w:eastAsia="宋体" w:cs="Times New Roman"/>
          <w:color w:val="000000" w:themeColor="text1"/>
          <w:sz w:val="24"/>
          <w:szCs w:val="24"/>
          <w:lang w:val="en-US" w:eastAsia="zh-CN"/>
        </w:rPr>
        <w:t>需求，技术可行。</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fldChar w:fldCharType="begin"/>
      </w:r>
      <w:r>
        <w:rPr>
          <w:rFonts w:hint="default" w:ascii="Times New Roman" w:hAnsi="Times New Roman" w:eastAsia="宋体" w:cs="Times New Roman"/>
          <w:b w:val="0"/>
          <w:bCs w:val="0"/>
          <w:color w:val="000000" w:themeColor="text1"/>
          <w:sz w:val="24"/>
          <w:szCs w:val="24"/>
          <w:lang w:val="en-US" w:eastAsia="zh-CN"/>
        </w:rPr>
        <w:instrText xml:space="preserve"> = 3 \* GB3 \* MERGEFORMAT </w:instrText>
      </w:r>
      <w:r>
        <w:rPr>
          <w:rFonts w:hint="default" w:ascii="Times New Roman" w:hAnsi="Times New Roman" w:eastAsia="宋体" w:cs="Times New Roman"/>
          <w:b w:val="0"/>
          <w:bCs w:val="0"/>
          <w:color w:val="000000" w:themeColor="text1"/>
          <w:sz w:val="24"/>
          <w:szCs w:val="24"/>
          <w:lang w:val="en-US" w:eastAsia="zh-CN"/>
        </w:rPr>
        <w:fldChar w:fldCharType="separate"/>
      </w:r>
      <w:r>
        <w:rPr>
          <w:rFonts w:hint="default" w:ascii="Times New Roman" w:hAnsi="Times New Roman" w:eastAsia="宋体" w:cs="Times New Roman"/>
          <w:b w:val="0"/>
          <w:bCs w:val="0"/>
          <w:color w:val="000000" w:themeColor="text1"/>
          <w:sz w:val="24"/>
          <w:szCs w:val="24"/>
        </w:rPr>
        <w:t>③</w:t>
      </w:r>
      <w:r>
        <w:rPr>
          <w:rFonts w:hint="default" w:ascii="Times New Roman" w:hAnsi="Times New Roman" w:eastAsia="宋体" w:cs="Times New Roman"/>
          <w:b w:val="0"/>
          <w:bCs w:val="0"/>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sz w:val="24"/>
          <w:szCs w:val="24"/>
          <w:lang w:val="en-US" w:eastAsia="zh-CN"/>
        </w:rPr>
        <w:t>厂区道路全部硬化，定期清扫，车辆全覆盖，减速慢行。禁止对车辆进行改装，施工合格燃油。本项目道路硬化原料可采用本项目废矿石，其他原料来源于旬阳市或者铜钱关镇，资源充足。建设单位设置环保小组，安排人员定期对矿区路面和场地进行清理，对车辆的使用情况进行管理，严格按照环评要求进行实施。管理措施可行。</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fldChar w:fldCharType="begin"/>
      </w:r>
      <w:r>
        <w:rPr>
          <w:rFonts w:hint="default" w:ascii="Times New Roman" w:hAnsi="Times New Roman" w:eastAsia="宋体" w:cs="Times New Roman"/>
          <w:b w:val="0"/>
          <w:bCs w:val="0"/>
          <w:color w:val="000000" w:themeColor="text1"/>
          <w:sz w:val="24"/>
          <w:szCs w:val="24"/>
          <w:lang w:val="en-US" w:eastAsia="zh-CN"/>
        </w:rPr>
        <w:instrText xml:space="preserve"> = 4 \* GB3 \* MERGEFORMAT </w:instrText>
      </w:r>
      <w:r>
        <w:rPr>
          <w:rFonts w:hint="default" w:ascii="Times New Roman" w:hAnsi="Times New Roman" w:eastAsia="宋体" w:cs="Times New Roman"/>
          <w:b w:val="0"/>
          <w:bCs w:val="0"/>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rPr>
        <w:t>④</w:t>
      </w:r>
      <w:r>
        <w:rPr>
          <w:rFonts w:hint="default" w:ascii="Times New Roman" w:hAnsi="Times New Roman" w:eastAsia="宋体" w:cs="Times New Roman"/>
          <w:b w:val="0"/>
          <w:bCs w:val="0"/>
          <w:color w:val="000000" w:themeColor="text1"/>
          <w:sz w:val="24"/>
          <w:szCs w:val="24"/>
          <w:lang w:val="en-US" w:eastAsia="zh-CN"/>
        </w:rPr>
        <w:fldChar w:fldCharType="end"/>
      </w:r>
      <w:r>
        <w:rPr>
          <w:rFonts w:hint="default" w:ascii="Times New Roman" w:hAnsi="Times New Roman" w:eastAsia="宋体" w:cs="Times New Roman"/>
          <w:b w:val="0"/>
          <w:bCs w:val="0"/>
          <w:color w:val="000000" w:themeColor="text1"/>
          <w:sz w:val="24"/>
          <w:szCs w:val="24"/>
          <w:lang w:val="en-US" w:eastAsia="zh-CN"/>
        </w:rPr>
        <w:t>餐饮油烟经过油烟净化器处理，排放满足</w:t>
      </w:r>
      <w:r>
        <w:rPr>
          <w:rFonts w:hint="default" w:ascii="Times New Roman" w:hAnsi="Times New Roman" w:eastAsia="宋体" w:cs="Times New Roman"/>
          <w:color w:val="000000" w:themeColor="text1"/>
          <w:sz w:val="24"/>
          <w:szCs w:val="24"/>
        </w:rPr>
        <w:t>《饮食业油烟排放标准</w:t>
      </w:r>
      <w:r>
        <w:rPr>
          <w:rFonts w:hint="eastAsia" w:ascii="Times New Roman" w:hAnsi="Times New Roman" w:eastAsia="宋体" w:cs="Times New Roman"/>
          <w:color w:val="000000" w:themeColor="text1"/>
          <w:sz w:val="24"/>
          <w:szCs w:val="24"/>
          <w:lang w:eastAsia="zh-CN"/>
        </w:rPr>
        <w:t>（试行）</w:t>
      </w:r>
      <w:r>
        <w:rPr>
          <w:rFonts w:hint="default" w:ascii="Times New Roman" w:hAnsi="Times New Roman" w:eastAsia="宋体" w:cs="Times New Roman"/>
          <w:color w:val="000000" w:themeColor="text1"/>
          <w:sz w:val="24"/>
          <w:szCs w:val="24"/>
        </w:rPr>
        <w:t>》（GB18483-2001）</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油烟净化器使用广泛，技术成熟，措施可行。</w:t>
      </w:r>
    </w:p>
    <w:p>
      <w:pPr>
        <w:pStyle w:val="5"/>
        <w:rPr>
          <w:rFonts w:hint="default"/>
          <w:color w:val="000000" w:themeColor="text1"/>
          <w:lang w:val="en-US" w:eastAsia="zh-CN"/>
        </w:rPr>
      </w:pPr>
      <w:bookmarkStart w:id="827" w:name="_Toc5866"/>
      <w:r>
        <w:rPr>
          <w:rFonts w:hint="default"/>
          <w:color w:val="000000" w:themeColor="text1"/>
          <w:lang w:val="en-US" w:eastAsia="zh-CN"/>
        </w:rPr>
        <w:t>噪声控制措施可行性分析</w:t>
      </w:r>
      <w:bookmarkEnd w:id="82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（1）噪声污染防治措施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采矿区主要噪声源是凿岩机、爆破、通风机、空压机等，根据不同声源的特点，工程开发利用方案提出的噪声控制措施如下：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①选用低噪声设备、提高设备安装质量，降低机械设备产生的噪声。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②合理设计爆破工艺，降低爆破噪声</w:t>
      </w:r>
      <w:r>
        <w:rPr>
          <w:rFonts w:hint="default" w:ascii="Times New Roman" w:hAnsi="Times New Roman" w:eastAsia="宋体" w:cs="Times New Roman"/>
          <w:color w:val="000000" w:themeColor="text1"/>
          <w:sz w:val="24"/>
          <w:szCs w:val="24"/>
          <w:lang w:eastAsia="zh-CN"/>
        </w:rPr>
        <w:t>和振动</w:t>
      </w:r>
      <w:r>
        <w:rPr>
          <w:rFonts w:hint="default" w:ascii="Times New Roman" w:hAnsi="Times New Roman" w:eastAsia="宋体" w:cs="Times New Roman"/>
          <w:color w:val="000000" w:themeColor="text1"/>
          <w:sz w:val="24"/>
          <w:szCs w:val="24"/>
        </w:rPr>
        <w:t>产生。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③通风机采用消声、减振措施，降低声源危害。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④采矿区空压机安装在室内，安装基础上加装弹簧减振器，并安装消声器。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fldChar w:fldCharType="begin"/>
      </w:r>
      <w:r>
        <w:rPr>
          <w:rFonts w:hint="default" w:ascii="Times New Roman" w:hAnsi="Times New Roman" w:eastAsia="宋体" w:cs="Times New Roman"/>
          <w:color w:val="000000" w:themeColor="text1"/>
          <w:sz w:val="24"/>
          <w:szCs w:val="24"/>
        </w:rPr>
        <w:instrText xml:space="preserve"> = 5 \* GB3 \* MERGEFORMAT </w:instrText>
      </w:r>
      <w:r>
        <w:rPr>
          <w:rFonts w:hint="default" w:ascii="Times New Roman" w:hAnsi="Times New Roman" w:eastAsia="宋体" w:cs="Times New Roman"/>
          <w:color w:val="000000" w:themeColor="text1"/>
          <w:sz w:val="24"/>
          <w:szCs w:val="24"/>
        </w:rPr>
        <w:fldChar w:fldCharType="separate"/>
      </w:r>
      <w:r>
        <w:rPr>
          <w:rFonts w:hint="default" w:ascii="Times New Roman" w:hAnsi="Times New Roman" w:eastAsia="宋体" w:cs="Times New Roman"/>
          <w:color w:val="000000" w:themeColor="text1"/>
        </w:rPr>
        <w:t>⑤</w:t>
      </w:r>
      <w:r>
        <w:rPr>
          <w:rFonts w:hint="default" w:ascii="Times New Roman" w:hAnsi="Times New Roman" w:eastAsia="宋体" w:cs="Times New Roman"/>
          <w:color w:val="000000" w:themeColor="text1"/>
          <w:sz w:val="24"/>
          <w:szCs w:val="24"/>
        </w:rPr>
        <w:fldChar w:fldCharType="end"/>
      </w:r>
      <w:r>
        <w:rPr>
          <w:rFonts w:hint="default" w:ascii="Times New Roman" w:hAnsi="Times New Roman" w:eastAsia="宋体" w:cs="Times New Roman"/>
          <w:color w:val="000000" w:themeColor="text1"/>
          <w:sz w:val="24"/>
          <w:szCs w:val="24"/>
          <w:lang w:val="en-US" w:eastAsia="zh-CN"/>
        </w:rPr>
        <w:t>运输车辆减速慢行，禁止鸣笛，定期车辆维修保养。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（2）污染防治措施可行性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①工程采用地下开采，井下设备噪声、爆破噪声等，噪声级约85～115dB(A)。该噪声难以传出地面，对外部声环境影响小。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②空压机房间内布置，并进行基础减振，可降噪15dB(A)左右。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③通风机安装消声器和采取减振治理，可有效降噪</w:t>
      </w:r>
      <w:r>
        <w:rPr>
          <w:rFonts w:hint="eastAsia"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5dB(A)左右。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工业场地周边</w:t>
      </w:r>
      <w:r>
        <w:rPr>
          <w:rFonts w:hint="eastAsia" w:ascii="Times New Roman" w:hAnsi="Times New Roman" w:eastAsia="宋体" w:cs="Times New Roman"/>
          <w:color w:val="000000" w:themeColor="text1"/>
          <w:sz w:val="24"/>
          <w:szCs w:val="24"/>
          <w:lang w:val="en-US" w:eastAsia="zh-CN"/>
        </w:rPr>
        <w:t>200 m范围内</w:t>
      </w:r>
      <w:r>
        <w:rPr>
          <w:rFonts w:hint="default" w:ascii="Times New Roman" w:hAnsi="Times New Roman" w:eastAsia="宋体" w:cs="Times New Roman"/>
          <w:color w:val="000000" w:themeColor="text1"/>
          <w:sz w:val="24"/>
          <w:szCs w:val="24"/>
        </w:rPr>
        <w:t>无居民点，加上山体的阻隔和植被的对噪声的衰减作用，工程各噪声源对周围声环境影响不大。</w:t>
      </w:r>
      <w:r>
        <w:rPr>
          <w:rFonts w:hint="eastAsia" w:ascii="Times New Roman" w:hAnsi="Times New Roman" w:eastAsia="宋体" w:cs="Times New Roman"/>
          <w:color w:val="000000" w:themeColor="text1"/>
          <w:sz w:val="24"/>
          <w:szCs w:val="24"/>
          <w:lang w:eastAsia="zh-CN"/>
        </w:rPr>
        <w:t>矿石外运的道路两侧分布有居民，环评要求运输车辆减速慢行，禁止鸣笛，再加上本项目运输量较小，对周边居民的影响不大。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综上所述，工程采取的噪声防治措施总体上是可行的。</w:t>
      </w:r>
    </w:p>
    <w:p>
      <w:pPr>
        <w:pStyle w:val="5"/>
        <w:rPr>
          <w:rFonts w:hint="default"/>
          <w:color w:val="000000" w:themeColor="text1"/>
          <w:lang w:val="en-US" w:eastAsia="zh-CN"/>
        </w:rPr>
      </w:pPr>
      <w:bookmarkStart w:id="828" w:name="_Toc9719"/>
      <w:r>
        <w:rPr>
          <w:rFonts w:hint="default"/>
          <w:color w:val="000000" w:themeColor="text1"/>
          <w:lang w:val="en-US" w:eastAsia="zh-CN"/>
        </w:rPr>
        <w:t>废水处理措施可行性分析</w:t>
      </w:r>
      <w:bookmarkEnd w:id="82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1</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废水防治措施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A.</w:t>
      </w:r>
      <w:r>
        <w:rPr>
          <w:rFonts w:hint="default" w:ascii="Times New Roman" w:hAnsi="Times New Roman" w:eastAsia="宋体" w:cs="Times New Roman"/>
          <w:color w:val="000000" w:themeColor="text1"/>
          <w:sz w:val="24"/>
          <w:szCs w:val="24"/>
        </w:rPr>
        <w:t>生产废水污染防治措施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FF0000"/>
          <w:sz w:val="24"/>
          <w:szCs w:val="24"/>
        </w:rPr>
        <w:t>井下废水主要来自湿式凿岩排水及少量井下工作面除尘排水，主要污染物为SS，产生浓度</w:t>
      </w:r>
      <w:r>
        <w:rPr>
          <w:rFonts w:hint="eastAsia" w:ascii="Times New Roman" w:hAnsi="Times New Roman" w:eastAsia="宋体" w:cs="Times New Roman"/>
          <w:color w:val="FF0000"/>
          <w:sz w:val="24"/>
          <w:szCs w:val="24"/>
          <w:lang w:eastAsia="zh-CN"/>
        </w:rPr>
        <w:t>约</w:t>
      </w:r>
      <w:r>
        <w:rPr>
          <w:rFonts w:hint="default" w:ascii="Times New Roman" w:hAnsi="Times New Roman" w:eastAsia="宋体" w:cs="Times New Roman"/>
          <w:color w:val="FF0000"/>
          <w:sz w:val="24"/>
          <w:szCs w:val="24"/>
        </w:rPr>
        <w:t>为1000mg/L</w:t>
      </w:r>
      <w:r>
        <w:rPr>
          <w:rFonts w:hint="eastAsia" w:ascii="Times New Roman" w:hAnsi="Times New Roman" w:eastAsia="宋体" w:cs="Times New Roman"/>
          <w:color w:val="FF0000"/>
          <w:sz w:val="24"/>
          <w:szCs w:val="24"/>
          <w:lang w:eastAsia="zh-CN"/>
        </w:rPr>
        <w:t>左右</w:t>
      </w:r>
      <w:r>
        <w:rPr>
          <w:rFonts w:hint="default" w:ascii="Times New Roman" w:hAnsi="Times New Roman" w:eastAsia="宋体" w:cs="Times New Roman"/>
          <w:color w:val="FF0000"/>
          <w:sz w:val="24"/>
          <w:szCs w:val="24"/>
        </w:rPr>
        <w:t>。一般生产废水中悬浮物的沉降时间应＞10h，沉降效率能达到90%以上</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沉淀后的废水回用于井下开采，不外排。</w:t>
      </w:r>
      <w:r>
        <w:rPr>
          <w:rFonts w:hint="default" w:ascii="Times New Roman" w:hAnsi="Times New Roman" w:eastAsia="宋体" w:cs="Times New Roman"/>
          <w:color w:val="FF0000"/>
          <w:sz w:val="24"/>
          <w:szCs w:val="24"/>
        </w:rPr>
        <w:t>根据开发利用方案以及本项目前期采矿过程可知，本项目涌水量极少。井下涌水量最多时为</w:t>
      </w:r>
      <w:r>
        <w:rPr>
          <w:rFonts w:hint="eastAsia"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/d（只有在雨季产生</w:t>
      </w:r>
      <w:r>
        <w:rPr>
          <w:rFonts w:hint="eastAsia" w:ascii="Times New Roman" w:hAnsi="Times New Roman" w:eastAsia="宋体" w:cs="Times New Roman"/>
          <w:color w:val="FF0000"/>
          <w:sz w:val="24"/>
          <w:szCs w:val="24"/>
          <w:lang w:val="en-US" w:eastAsia="zh-CN"/>
        </w:rPr>
        <w:t>偶尔产生</w:t>
      </w:r>
      <w:r>
        <w:rPr>
          <w:rFonts w:hint="default" w:ascii="Times New Roman" w:hAnsi="Times New Roman" w:eastAsia="宋体" w:cs="Times New Roman"/>
          <w:color w:val="FF0000"/>
          <w:sz w:val="24"/>
          <w:szCs w:val="24"/>
        </w:rPr>
        <w:t>，其他季节不产生），</w:t>
      </w:r>
      <w:r>
        <w:rPr>
          <w:rFonts w:hint="eastAsia" w:ascii="Times New Roman" w:hAnsi="Times New Roman" w:eastAsia="宋体" w:cs="Times New Roman"/>
          <w:color w:val="FF0000"/>
          <w:sz w:val="24"/>
          <w:szCs w:val="24"/>
          <w:lang w:val="en-US" w:eastAsia="zh-CN"/>
        </w:rPr>
        <w:t>井下除尘</w:t>
      </w:r>
      <w:r>
        <w:rPr>
          <w:rFonts w:hint="default" w:ascii="Times New Roman" w:hAnsi="Times New Roman" w:eastAsia="宋体" w:cs="Times New Roman"/>
          <w:color w:val="FF0000"/>
          <w:sz w:val="24"/>
          <w:szCs w:val="24"/>
        </w:rPr>
        <w:t>废水产生量为</w:t>
      </w:r>
      <w:r>
        <w:rPr>
          <w:rFonts w:hint="eastAsia"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lang w:val="en-US" w:eastAsia="zh-CN"/>
        </w:rPr>
        <w:t>矿石堆场除尘</w:t>
      </w:r>
      <w:r>
        <w:rPr>
          <w:rFonts w:hint="default" w:ascii="Times New Roman" w:hAnsi="Times New Roman" w:eastAsia="宋体" w:cs="Times New Roman"/>
          <w:color w:val="FF0000"/>
          <w:sz w:val="24"/>
          <w:szCs w:val="24"/>
        </w:rPr>
        <w:t>废水产生量为</w:t>
      </w:r>
      <w:r>
        <w:rPr>
          <w:rFonts w:hint="eastAsia"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/d，废水最大产生量为</w:t>
      </w:r>
      <w:r>
        <w:rPr>
          <w:rFonts w:hint="eastAsia" w:ascii="Times New Roman" w:hAnsi="Times New Roman" w:eastAsia="宋体" w:cs="Times New Roman"/>
          <w:color w:val="FF0000"/>
          <w:sz w:val="24"/>
          <w:szCs w:val="24"/>
          <w:lang w:val="en-US" w:eastAsia="zh-CN"/>
        </w:rPr>
        <w:t>5</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lang w:eastAsia="zh-CN"/>
        </w:rPr>
        <w:t>考虑</w:t>
      </w:r>
      <w:r>
        <w:rPr>
          <w:rFonts w:hint="eastAsia" w:ascii="Times New Roman" w:hAnsi="Times New Roman" w:eastAsia="宋体" w:cs="Times New Roman"/>
          <w:color w:val="FF0000"/>
          <w:sz w:val="24"/>
          <w:szCs w:val="24"/>
          <w:lang w:val="en-US" w:eastAsia="zh-CN"/>
        </w:rPr>
        <w:t>20%的余量，</w:t>
      </w:r>
      <w:r>
        <w:rPr>
          <w:rFonts w:hint="default" w:ascii="Times New Roman" w:hAnsi="Times New Roman" w:eastAsia="宋体" w:cs="Times New Roman"/>
          <w:color w:val="FF0000"/>
          <w:sz w:val="24"/>
          <w:szCs w:val="24"/>
        </w:rPr>
        <w:t>环评要求对出矿坑口设置</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沉淀池，沉淀后通过回用管线输送，全部回用作为井下除尘用水和</w:t>
      </w:r>
      <w:r>
        <w:rPr>
          <w:rFonts w:hint="eastAsia" w:ascii="Times New Roman" w:hAnsi="Times New Roman" w:eastAsia="宋体" w:cs="Times New Roman"/>
          <w:color w:val="FF0000"/>
          <w:sz w:val="24"/>
          <w:szCs w:val="24"/>
          <w:lang w:val="en-US" w:eastAsia="zh-CN"/>
        </w:rPr>
        <w:t>堆场</w:t>
      </w:r>
      <w:r>
        <w:rPr>
          <w:rFonts w:hint="default" w:ascii="Times New Roman" w:hAnsi="Times New Roman" w:eastAsia="宋体" w:cs="Times New Roman"/>
          <w:color w:val="FF0000"/>
          <w:sz w:val="24"/>
          <w:szCs w:val="24"/>
        </w:rPr>
        <w:t>洒水等，不外排。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为防止矿井涌水酸化引起地表水及土壤污染，环评提出在生产期对矿井涌水进行定期水质监测，一旦产生酸性废水立即集中收集后用石灰石进行中和沉淀处理，处理后回用，不外排。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B.</w:t>
      </w:r>
      <w:r>
        <w:rPr>
          <w:rFonts w:hint="default" w:ascii="Times New Roman" w:hAnsi="Times New Roman" w:eastAsia="宋体" w:cs="Times New Roman"/>
          <w:color w:val="000000" w:themeColor="text1"/>
          <w:sz w:val="24"/>
          <w:szCs w:val="24"/>
        </w:rPr>
        <w:t>生活废水污染防治措施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K1矿体已在生活区建成一座约10m</w:t>
      </w:r>
      <w:r>
        <w:rPr>
          <w:rFonts w:hint="eastAsia" w:ascii="Times New Roman" w:hAnsi="Times New Roman" w:eastAsia="宋体" w:cs="Times New Roman"/>
          <w:color w:val="000000" w:themeColor="text1"/>
          <w:sz w:val="24"/>
          <w:szCs w:val="24"/>
          <w:vertAlign w:val="superscript"/>
          <w:lang w:val="en-US" w:eastAsia="zh-CN"/>
        </w:rPr>
        <w:t>3</w:t>
      </w:r>
      <w:r>
        <w:rPr>
          <w:rFonts w:hint="eastAsia" w:ascii="Times New Roman" w:hAnsi="Times New Roman" w:eastAsia="宋体" w:cs="Times New Roman"/>
          <w:color w:val="000000" w:themeColor="text1"/>
          <w:sz w:val="24"/>
          <w:szCs w:val="24"/>
          <w:vertAlign w:val="baseline"/>
          <w:lang w:val="en-US" w:eastAsia="zh-CN"/>
        </w:rPr>
        <w:t>的化粪池，生活废水产生量约为</w:t>
      </w:r>
      <w:r>
        <w:rPr>
          <w:rFonts w:hint="eastAsia" w:ascii="Times New Roman" w:hAnsi="Times New Roman" w:eastAsia="宋体" w:cs="Times New Roman"/>
          <w:b w:val="0"/>
          <w:bCs w:val="0"/>
          <w:color w:val="000000" w:themeColor="text1"/>
          <w:kern w:val="0"/>
          <w:sz w:val="24"/>
          <w:szCs w:val="24"/>
          <w:lang w:val="en-US" w:eastAsia="zh-CN"/>
        </w:rPr>
        <w:t>0.504</w:t>
      </w:r>
      <w:r>
        <w:rPr>
          <w:rFonts w:hint="default" w:ascii="Times New Roman" w:hAnsi="Times New Roman" w:eastAsia="宋体" w:cs="Times New Roman"/>
          <w:b w:val="0"/>
          <w:bCs w:val="0"/>
          <w:color w:val="000000" w:themeColor="text1"/>
          <w:kern w:val="0"/>
          <w:sz w:val="24"/>
          <w:szCs w:val="24"/>
        </w:rPr>
        <w:t>m</w:t>
      </w:r>
      <w:r>
        <w:rPr>
          <w:rFonts w:hint="default" w:ascii="Times New Roman" w:hAnsi="Times New Roman" w:eastAsia="宋体" w:cs="Times New Roman"/>
          <w:b w:val="0"/>
          <w:bCs w:val="0"/>
          <w:color w:val="000000" w:themeColor="text1"/>
          <w:kern w:val="0"/>
          <w:sz w:val="24"/>
          <w:szCs w:val="24"/>
          <w:vertAlign w:val="superscript"/>
        </w:rPr>
        <w:t>3</w:t>
      </w:r>
      <w:r>
        <w:rPr>
          <w:rFonts w:hint="default" w:ascii="Times New Roman" w:hAnsi="Times New Roman" w:eastAsia="宋体" w:cs="Times New Roman"/>
          <w:b w:val="0"/>
          <w:bCs w:val="0"/>
          <w:color w:val="000000" w:themeColor="text1"/>
          <w:kern w:val="0"/>
          <w:sz w:val="24"/>
          <w:szCs w:val="24"/>
        </w:rPr>
        <w:t>/d</w:t>
      </w:r>
      <w:r>
        <w:rPr>
          <w:rFonts w:hint="eastAsia" w:ascii="Times New Roman" w:hAnsi="Times New Roman" w:eastAsia="宋体" w:cs="Times New Roman"/>
          <w:b w:val="0"/>
          <w:bCs w:val="0"/>
          <w:color w:val="000000" w:themeColor="text1"/>
          <w:kern w:val="0"/>
          <w:sz w:val="24"/>
          <w:szCs w:val="24"/>
          <w:lang w:eastAsia="zh-CN"/>
        </w:rPr>
        <w:t>，</w:t>
      </w:r>
      <w:r>
        <w:rPr>
          <w:rFonts w:hint="eastAsia" w:ascii="Times New Roman" w:hAnsi="Times New Roman" w:eastAsia="宋体" w:cs="Times New Roman"/>
          <w:b w:val="0"/>
          <w:bCs w:val="0"/>
          <w:color w:val="000000" w:themeColor="text1"/>
          <w:kern w:val="0"/>
          <w:sz w:val="24"/>
          <w:szCs w:val="24"/>
          <w:lang w:val="en-US" w:eastAsia="zh-CN"/>
        </w:rPr>
        <w:t>本项目周边分布有大量林地，委托居民定期清掏后用于肥田。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）污染防治措施</w:t>
      </w:r>
      <w:r>
        <w:rPr>
          <w:rFonts w:hint="eastAsia" w:ascii="Times New Roman" w:hAnsi="Times New Roman" w:eastAsia="宋体" w:cs="Times New Roman"/>
          <w:color w:val="000000" w:themeColor="text1"/>
          <w:sz w:val="24"/>
          <w:szCs w:val="24"/>
          <w:lang w:val="en-US" w:eastAsia="zh-CN"/>
        </w:rPr>
        <w:t>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评价要求在各平硐坑口设沉淀池，生产废水汇集于坑口的沉淀池，沉淀处理后全部作为井下湿式凿岩、工作面除尘等用水。从水质上看，井下湿式凿岩除尘、工作面除尘等用水对水质要求不高，类比同类采矿场，矿坑水经沉淀之后水质满足矿山生产井下湿式凿岩除尘、采场洒水等生产用水对水质要求，因此矿坑水在平硐口经过沉淀后用于井下湿式凿岩除尘、采场洒水等用水是可行的。从水量上看，根据工程开发利用方案，矿坑涌水量较小，每日损耗的除尘水量约为</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通过本项目</w:t>
      </w:r>
      <w:r>
        <w:rPr>
          <w:rFonts w:hint="eastAsia" w:ascii="Times New Roman" w:hAnsi="Times New Roman" w:eastAsia="宋体" w:cs="Times New Roman"/>
          <w:color w:val="000000" w:themeColor="text1"/>
          <w:sz w:val="24"/>
          <w:szCs w:val="24"/>
          <w:lang w:val="en-US" w:eastAsia="zh-CN"/>
        </w:rPr>
        <w:t>集</w:t>
      </w:r>
      <w:r>
        <w:rPr>
          <w:rFonts w:hint="default" w:ascii="Times New Roman" w:hAnsi="Times New Roman" w:eastAsia="宋体" w:cs="Times New Roman"/>
          <w:color w:val="000000" w:themeColor="text1"/>
          <w:sz w:val="24"/>
          <w:szCs w:val="24"/>
        </w:rPr>
        <w:t>水池进行补给。通过分析可知，项目产生的采矿废水全部回用，实现零排放；生活</w:t>
      </w:r>
      <w:r>
        <w:rPr>
          <w:rFonts w:hint="eastAsia" w:ascii="Times New Roman" w:hAnsi="Times New Roman" w:eastAsia="宋体" w:cs="Times New Roman"/>
          <w:color w:val="000000" w:themeColor="text1"/>
          <w:sz w:val="24"/>
          <w:szCs w:val="24"/>
          <w:lang w:val="en-US" w:eastAsia="zh-CN"/>
        </w:rPr>
        <w:t>污</w:t>
      </w:r>
      <w:r>
        <w:rPr>
          <w:rFonts w:hint="default" w:ascii="Times New Roman" w:hAnsi="Times New Roman" w:eastAsia="宋体" w:cs="Times New Roman"/>
          <w:color w:val="000000" w:themeColor="text1"/>
          <w:sz w:val="24"/>
          <w:szCs w:val="24"/>
        </w:rPr>
        <w:t>水经</w:t>
      </w:r>
      <w:r>
        <w:rPr>
          <w:rFonts w:hint="eastAsia" w:ascii="Times New Roman" w:hAnsi="Times New Roman" w:eastAsia="宋体" w:cs="Times New Roman"/>
          <w:color w:val="000000" w:themeColor="text1"/>
          <w:sz w:val="24"/>
          <w:szCs w:val="24"/>
          <w:lang w:val="en-US" w:eastAsia="zh-CN"/>
        </w:rPr>
        <w:t>化粪池处理后用于肥田</w:t>
      </w:r>
      <w:r>
        <w:rPr>
          <w:rFonts w:hint="default" w:ascii="Times New Roman" w:hAnsi="Times New Roman" w:eastAsia="宋体" w:cs="Times New Roman"/>
          <w:color w:val="000000" w:themeColor="text1"/>
          <w:sz w:val="24"/>
          <w:szCs w:val="24"/>
        </w:rPr>
        <w:t>，实现零排放。</w:t>
      </w:r>
    </w:p>
    <w:p>
      <w:pPr>
        <w:pStyle w:val="5"/>
        <w:rPr>
          <w:rFonts w:hint="default"/>
          <w:color w:val="000000" w:themeColor="text1"/>
          <w:lang w:val="en-US" w:eastAsia="zh-CN"/>
        </w:rPr>
      </w:pPr>
      <w:bookmarkStart w:id="829" w:name="_Toc1533"/>
      <w:r>
        <w:rPr>
          <w:rFonts w:hint="default"/>
          <w:color w:val="000000" w:themeColor="text1"/>
          <w:lang w:val="en-US" w:eastAsia="zh-CN"/>
        </w:rPr>
        <w:t>地下水环境保护措施可行性分析</w:t>
      </w:r>
      <w:bookmarkEnd w:id="829"/>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zh-CN"/>
        </w:rPr>
      </w:pPr>
      <w:r>
        <w:rPr>
          <w:rFonts w:hint="default" w:ascii="Times New Roman" w:hAnsi="Times New Roman" w:eastAsia="宋体" w:cs="Times New Roman"/>
          <w:color w:val="000000" w:themeColor="text1"/>
          <w:sz w:val="24"/>
          <w:szCs w:val="24"/>
          <w:lang w:val="zh-CN"/>
        </w:rPr>
        <w:t>本项目地下水污染防治措施应按照</w:t>
      </w:r>
      <w:r>
        <w:rPr>
          <w:rFonts w:hint="eastAsia" w:ascii="Times New Roman" w:hAnsi="Times New Roman" w:eastAsia="宋体" w:cs="Times New Roman"/>
          <w:color w:val="000000" w:themeColor="text1"/>
          <w:sz w:val="24"/>
          <w:szCs w:val="24"/>
          <w:lang w:val="zh-CN"/>
        </w:rPr>
        <w:t>“</w:t>
      </w:r>
      <w:r>
        <w:rPr>
          <w:rFonts w:hint="default" w:ascii="Times New Roman" w:hAnsi="Times New Roman" w:eastAsia="宋体" w:cs="Times New Roman"/>
          <w:color w:val="000000" w:themeColor="text1"/>
          <w:sz w:val="24"/>
          <w:szCs w:val="24"/>
        </w:rPr>
        <w:t>源头控制、分区防控、污染监控、应急响应</w:t>
      </w:r>
      <w:r>
        <w:rPr>
          <w:rFonts w:hint="eastAsia" w:ascii="Times New Roman" w:hAnsi="Times New Roman" w:eastAsia="宋体" w:cs="Times New Roman"/>
          <w:color w:val="000000" w:themeColor="text1"/>
          <w:sz w:val="24"/>
          <w:szCs w:val="24"/>
          <w:lang w:val="zh-CN"/>
        </w:rPr>
        <w:t>”</w:t>
      </w:r>
      <w:r>
        <w:rPr>
          <w:rFonts w:hint="default" w:ascii="Times New Roman" w:hAnsi="Times New Roman" w:eastAsia="宋体" w:cs="Times New Roman"/>
          <w:color w:val="000000" w:themeColor="text1"/>
          <w:sz w:val="24"/>
          <w:szCs w:val="24"/>
          <w:lang w:val="zh-CN"/>
        </w:rPr>
        <w:t>相结合的原则，从污染物的产生、入渗、扩散、应急响应进行控制。</w:t>
      </w:r>
    </w:p>
    <w:p>
      <w:pPr>
        <w:keepNext w:val="0"/>
        <w:keepLines w:val="0"/>
        <w:pageBreakBefore w:val="0"/>
        <w:kinsoku/>
        <w:wordWrap/>
        <w:overflowPunct/>
        <w:topLinePunct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6.2.4.1源头控制</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t>为了防止本工程对地下水造成污染，结合建设项目的特点，建设时</w:t>
      </w:r>
      <w:r>
        <w:rPr>
          <w:rFonts w:hint="default" w:ascii="Times New Roman" w:hAnsi="Times New Roman" w:eastAsia="宋体" w:cs="Times New Roman"/>
          <w:color w:val="000000" w:themeColor="text1"/>
          <w:sz w:val="24"/>
          <w:szCs w:val="24"/>
        </w:rPr>
        <w:t>选择了先进、成熟、可靠的工艺技术和较清洁的原辅材料，并对产生的废、污水进行了合理的治理和回用，从源头上减少污染物排放；严格按照国家相关规范要求，对工艺、设备、污水</w:t>
      </w:r>
      <w:r>
        <w:rPr>
          <w:rFonts w:hint="eastAsia" w:ascii="Times New Roman" w:hAnsi="Times New Roman" w:eastAsia="宋体" w:cs="Times New Roman"/>
          <w:color w:val="000000" w:themeColor="text1"/>
          <w:sz w:val="24"/>
          <w:szCs w:val="24"/>
          <w:lang w:val="en-US" w:eastAsia="zh-CN"/>
        </w:rPr>
        <w:t>贮存</w:t>
      </w:r>
      <w:r>
        <w:rPr>
          <w:rFonts w:hint="default" w:ascii="Times New Roman" w:hAnsi="Times New Roman" w:eastAsia="宋体" w:cs="Times New Roman"/>
          <w:color w:val="000000" w:themeColor="text1"/>
          <w:sz w:val="24"/>
          <w:szCs w:val="24"/>
        </w:rPr>
        <w:t>及处理构筑物采取相应的措施，防止和降低污染物的跑、冒、滴、漏，将污染物泄漏的环境风险事故降低到最低程度。</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snapToGrid w:val="0"/>
          <w:color w:val="000000" w:themeColor="text1"/>
          <w:sz w:val="24"/>
          <w:szCs w:val="24"/>
          <w:lang w:val="en-US" w:eastAsia="zh-CN"/>
        </w:rPr>
      </w:pPr>
      <w:r>
        <w:rPr>
          <w:rFonts w:hint="default" w:ascii="Times New Roman" w:hAnsi="Times New Roman" w:eastAsia="宋体" w:cs="Times New Roman"/>
          <w:snapToGrid w:val="0"/>
          <w:color w:val="000000" w:themeColor="text1"/>
          <w:sz w:val="24"/>
          <w:szCs w:val="24"/>
        </w:rPr>
        <w:t>针对本建设项目地下水污染防治的重点是对污染物存贮建筑物采取相应的防渗措施，并建立完善的风险应急预案、设置合理有效的监测井，加强地下水环境监测，把地下水污染控制在源头或起始阶段，防止有害物质渗入地下水中。</w:t>
      </w:r>
      <w:r>
        <w:rPr>
          <w:rFonts w:hint="eastAsia" w:ascii="Times New Roman" w:hAnsi="Times New Roman" w:eastAsia="宋体" w:cs="Times New Roman"/>
          <w:snapToGrid w:val="0"/>
          <w:color w:val="000000" w:themeColor="text1"/>
          <w:sz w:val="24"/>
          <w:szCs w:val="24"/>
          <w:lang w:val="en-US" w:eastAsia="zh-CN"/>
        </w:rPr>
        <w:t>具体措施有：</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rPr>
        <w:fldChar w:fldCharType="begin"/>
      </w:r>
      <w:r>
        <w:rPr>
          <w:rFonts w:hint="default" w:ascii="Times New Roman" w:hAnsi="Times New Roman" w:eastAsia="宋体" w:cs="Times New Roman"/>
          <w:b w:val="0"/>
          <w:bCs w:val="0"/>
          <w:color w:val="000000" w:themeColor="text1"/>
          <w:sz w:val="24"/>
          <w:szCs w:val="24"/>
        </w:rPr>
        <w:instrText xml:space="preserve"> = 1 \* GB3 \* MERGEFORMAT </w:instrText>
      </w:r>
      <w:r>
        <w:rPr>
          <w:rFonts w:hint="default" w:ascii="Times New Roman" w:hAnsi="Times New Roman" w:eastAsia="宋体" w:cs="Times New Roman"/>
          <w:b w:val="0"/>
          <w:bCs w:val="0"/>
          <w:color w:val="000000" w:themeColor="text1"/>
          <w:sz w:val="24"/>
          <w:szCs w:val="24"/>
        </w:rPr>
        <w:fldChar w:fldCharType="separate"/>
      </w:r>
      <w:r>
        <w:rPr>
          <w:rFonts w:hint="default" w:ascii="Times New Roman" w:hAnsi="Times New Roman" w:eastAsia="宋体" w:cs="Times New Roman"/>
          <w:b w:val="0"/>
          <w:bCs w:val="0"/>
          <w:color w:val="000000" w:themeColor="text1"/>
          <w:sz w:val="24"/>
          <w:szCs w:val="24"/>
        </w:rPr>
        <w:t>①</w:t>
      </w:r>
      <w:r>
        <w:rPr>
          <w:rFonts w:hint="default" w:ascii="Times New Roman" w:hAnsi="Times New Roman" w:eastAsia="宋体" w:cs="Times New Roman"/>
          <w:b w:val="0"/>
          <w:bCs w:val="0"/>
          <w:color w:val="000000" w:themeColor="text1"/>
          <w:sz w:val="24"/>
          <w:szCs w:val="24"/>
        </w:rPr>
        <w:fldChar w:fldCharType="end"/>
      </w:r>
      <w:r>
        <w:rPr>
          <w:rFonts w:hint="default" w:ascii="Times New Roman" w:hAnsi="Times New Roman" w:eastAsia="宋体" w:cs="Times New Roman"/>
          <w:b w:val="0"/>
          <w:bCs w:val="0"/>
          <w:color w:val="000000" w:themeColor="text1"/>
          <w:sz w:val="24"/>
          <w:szCs w:val="24"/>
          <w:lang w:val="en-US" w:eastAsia="zh-CN"/>
        </w:rPr>
        <w:t>本次扩建项目废矿石全部</w:t>
      </w:r>
      <w:r>
        <w:rPr>
          <w:rFonts w:hint="eastAsia" w:ascii="Times New Roman" w:hAnsi="Times New Roman" w:eastAsia="宋体" w:cs="Times New Roman"/>
          <w:b w:val="0"/>
          <w:bCs w:val="0"/>
          <w:color w:val="000000" w:themeColor="text1"/>
          <w:sz w:val="24"/>
          <w:szCs w:val="24"/>
          <w:lang w:val="en-US" w:eastAsia="zh-CN"/>
        </w:rPr>
        <w:t>井下充填</w:t>
      </w:r>
      <w:r>
        <w:rPr>
          <w:rFonts w:hint="default" w:ascii="Times New Roman" w:hAnsi="Times New Roman" w:eastAsia="宋体" w:cs="Times New Roman"/>
          <w:b w:val="0"/>
          <w:bCs w:val="0"/>
          <w:color w:val="000000" w:themeColor="text1"/>
          <w:sz w:val="24"/>
          <w:szCs w:val="24"/>
          <w:lang w:val="en-US" w:eastAsia="zh-CN"/>
        </w:rPr>
        <w:t>，不外排，不再新设置废石场。</w:t>
      </w:r>
    </w:p>
    <w:p>
      <w:pPr>
        <w:keepNext w:val="0"/>
        <w:keepLines w:val="0"/>
        <w:pageBreakBefore w:val="0"/>
        <w:kinsoku/>
        <w:wordWrap/>
        <w:overflowPunct/>
        <w:topLinePunct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000000" w:themeColor="text1"/>
          <w:sz w:val="24"/>
          <w:szCs w:val="24"/>
          <w:lang w:val="en-US" w:eastAsia="zh-CN"/>
        </w:rPr>
      </w:pPr>
      <w:r>
        <w:rPr>
          <w:rFonts w:hint="default" w:ascii="Times New Roman" w:hAnsi="Times New Roman" w:eastAsia="宋体" w:cs="Times New Roman"/>
          <w:b/>
          <w:color w:val="000000" w:themeColor="text1"/>
          <w:sz w:val="24"/>
          <w:szCs w:val="24"/>
        </w:rPr>
        <w:fldChar w:fldCharType="begin"/>
      </w:r>
      <w:r>
        <w:rPr>
          <w:rFonts w:hint="default" w:ascii="Times New Roman" w:hAnsi="Times New Roman" w:eastAsia="宋体" w:cs="Times New Roman"/>
          <w:b/>
          <w:color w:val="000000" w:themeColor="text1"/>
          <w:sz w:val="24"/>
          <w:szCs w:val="24"/>
        </w:rPr>
        <w:instrText xml:space="preserve"> = 2 \* GB3 \* MERGEFORMAT </w:instrText>
      </w:r>
      <w:r>
        <w:rPr>
          <w:rFonts w:hint="default" w:ascii="Times New Roman" w:hAnsi="Times New Roman" w:eastAsia="宋体" w:cs="Times New Roman"/>
          <w:b/>
          <w:color w:val="000000" w:themeColor="text1"/>
          <w:sz w:val="24"/>
          <w:szCs w:val="24"/>
        </w:rPr>
        <w:fldChar w:fldCharType="separate"/>
      </w:r>
      <w:r>
        <w:rPr>
          <w:rFonts w:hint="default" w:ascii="Times New Roman" w:hAnsi="Times New Roman" w:eastAsia="宋体" w:cs="Times New Roman"/>
          <w:color w:val="000000" w:themeColor="text1"/>
          <w:sz w:val="24"/>
          <w:szCs w:val="24"/>
        </w:rPr>
        <w:t>②</w:t>
      </w:r>
      <w:r>
        <w:rPr>
          <w:rFonts w:hint="default" w:ascii="Times New Roman" w:hAnsi="Times New Roman" w:eastAsia="宋体" w:cs="Times New Roman"/>
          <w:b/>
          <w:color w:val="000000" w:themeColor="text1"/>
          <w:sz w:val="24"/>
          <w:szCs w:val="24"/>
        </w:rPr>
        <w:fldChar w:fldCharType="end"/>
      </w:r>
      <w:r>
        <w:rPr>
          <w:rFonts w:hint="default" w:ascii="Times New Roman" w:hAnsi="Times New Roman" w:eastAsia="宋体" w:cs="Times New Roman"/>
          <w:b w:val="0"/>
          <w:bCs w:val="0"/>
          <w:color w:val="000000" w:themeColor="text1"/>
          <w:sz w:val="24"/>
          <w:szCs w:val="24"/>
          <w:lang w:val="en-US" w:eastAsia="zh-CN"/>
        </w:rPr>
        <w:t>危险废物严格管控、生活垃圾分类收集，杜绝固体废物在矿区乱堆乱放。</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fldChar w:fldCharType="begin"/>
      </w:r>
      <w:r>
        <w:rPr>
          <w:rFonts w:hint="default" w:ascii="Times New Roman" w:hAnsi="Times New Roman" w:eastAsia="宋体" w:cs="Times New Roman"/>
          <w:b w:val="0"/>
          <w:bCs w:val="0"/>
          <w:color w:val="000000" w:themeColor="text1"/>
          <w:sz w:val="24"/>
          <w:szCs w:val="24"/>
          <w:lang w:val="en-US" w:eastAsia="zh-CN"/>
        </w:rPr>
        <w:instrText xml:space="preserve"> = 3 \* GB3 \* MERGEFORMAT </w:instrText>
      </w:r>
      <w:r>
        <w:rPr>
          <w:rFonts w:hint="default" w:ascii="Times New Roman" w:hAnsi="Times New Roman" w:eastAsia="宋体" w:cs="Times New Roman"/>
          <w:b w:val="0"/>
          <w:bCs w:val="0"/>
          <w:color w:val="000000" w:themeColor="text1"/>
          <w:sz w:val="24"/>
          <w:szCs w:val="24"/>
          <w:lang w:val="en-US" w:eastAsia="zh-CN"/>
        </w:rPr>
        <w:fldChar w:fldCharType="separate"/>
      </w:r>
      <w:r>
        <w:rPr>
          <w:rFonts w:hint="default" w:ascii="Times New Roman" w:hAnsi="Times New Roman" w:eastAsia="宋体" w:cs="Times New Roman"/>
          <w:b w:val="0"/>
          <w:bCs w:val="0"/>
          <w:color w:val="000000" w:themeColor="text1"/>
          <w:sz w:val="24"/>
          <w:szCs w:val="24"/>
          <w:lang w:val="en-US" w:eastAsia="zh-CN"/>
        </w:rPr>
        <w:t>③</w:t>
      </w:r>
      <w:r>
        <w:rPr>
          <w:rFonts w:hint="default" w:ascii="Times New Roman" w:hAnsi="Times New Roman" w:eastAsia="宋体" w:cs="Times New Roman"/>
          <w:b w:val="0"/>
          <w:bCs w:val="0"/>
          <w:color w:val="000000" w:themeColor="text1"/>
          <w:sz w:val="24"/>
          <w:szCs w:val="24"/>
          <w:lang w:val="en-US" w:eastAsia="zh-CN"/>
        </w:rPr>
        <w:fldChar w:fldCharType="end"/>
      </w:r>
      <w:r>
        <w:rPr>
          <w:rFonts w:hint="eastAsia" w:ascii="Times New Roman" w:hAnsi="Times New Roman" w:eastAsia="宋体" w:cs="Times New Roman"/>
          <w:b w:val="0"/>
          <w:bCs w:val="0"/>
          <w:color w:val="000000" w:themeColor="text1"/>
          <w:sz w:val="24"/>
          <w:szCs w:val="24"/>
          <w:lang w:val="en-US" w:eastAsia="zh-CN"/>
        </w:rPr>
        <w:t>生活废水、生产废水全部收集利用，禁止废水在矿区漫流。生产废水设沉淀池，为防止沉淀池渗漏，应定期检修。</w:t>
      </w:r>
    </w:p>
    <w:p>
      <w:pPr>
        <w:keepNext w:val="0"/>
        <w:keepLines w:val="0"/>
        <w:pageBreakBefore w:val="0"/>
        <w:kinsoku/>
        <w:wordWrap/>
        <w:overflowPunct/>
        <w:topLinePunct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6.2.4.2分区防渗措施</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本次评价依据《环境影响评价技术导则地下水环境》（HJ610-2016）中分区防控措施中防渗技术要求进行分区防渗。根据建设项目场地天然包气带防污性能、污染控制难易程度和污染物特性确定防渗级别，提出防渗技术要求。</w:t>
      </w:r>
    </w:p>
    <w:p>
      <w:pPr>
        <w:keepNext w:val="0"/>
        <w:keepLines w:val="0"/>
        <w:pageBreakBefore w:val="0"/>
        <w:kinsoku/>
        <w:wordWrap/>
        <w:overflowPunct/>
        <w:topLinePunct w:val="0"/>
        <w:bidi w:val="0"/>
        <w:adjustRightInd w:val="0"/>
        <w:snapToGrid w:val="0"/>
        <w:spacing w:line="360" w:lineRule="auto"/>
        <w:jc w:val="center"/>
        <w:textAlignment w:val="auto"/>
        <w:outlineLvl w:val="9"/>
        <w:rPr>
          <w:rFonts w:hint="default" w:ascii="Times New Roman" w:hAnsi="Times New Roman" w:eastAsia="宋体" w:cs="Times New Roman"/>
          <w:b/>
          <w:bCs w:val="0"/>
          <w:color w:val="000000" w:themeColor="text1"/>
          <w:sz w:val="21"/>
          <w:szCs w:val="21"/>
          <w:lang w:val="en-US" w:eastAsia="zh-CN"/>
        </w:rPr>
      </w:pPr>
      <w:r>
        <w:rPr>
          <w:rFonts w:hint="default" w:ascii="Times New Roman" w:hAnsi="Times New Roman" w:eastAsia="宋体" w:cs="Times New Roman"/>
          <w:b/>
          <w:bCs w:val="0"/>
          <w:color w:val="000000" w:themeColor="text1"/>
          <w:sz w:val="21"/>
          <w:szCs w:val="21"/>
          <w:lang w:val="en-US" w:eastAsia="zh-CN"/>
        </w:rPr>
        <w:t>表6.2-1  污染控制难以程度分级参照表</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69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污染控制难易程度</w:t>
            </w:r>
          </w:p>
        </w:tc>
        <w:tc>
          <w:tcPr>
            <w:tcW w:w="6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主要特征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难</w:t>
            </w:r>
          </w:p>
        </w:tc>
        <w:tc>
          <w:tcPr>
            <w:tcW w:w="6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对地下水环境有污染的物料或污染物泄露后，不能及时发现和处理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6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对地下水环境有污染的物料或污染物泄露后，可及时发现和处理</w:t>
            </w:r>
          </w:p>
        </w:tc>
      </w:tr>
    </w:tbl>
    <w:p>
      <w:pPr>
        <w:keepNext w:val="0"/>
        <w:keepLines w:val="0"/>
        <w:pageBreakBefore w:val="0"/>
        <w:kinsoku/>
        <w:wordWrap/>
        <w:overflowPunct/>
        <w:topLinePunct w:val="0"/>
        <w:bidi w:val="0"/>
        <w:adjustRightInd w:val="0"/>
        <w:snapToGrid w:val="0"/>
        <w:spacing w:line="360" w:lineRule="auto"/>
        <w:jc w:val="center"/>
        <w:textAlignment w:val="auto"/>
        <w:outlineLvl w:val="9"/>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
          <w:bCs w:val="0"/>
          <w:color w:val="000000" w:themeColor="text1"/>
          <w:sz w:val="21"/>
          <w:szCs w:val="21"/>
          <w:lang w:val="en-US" w:eastAsia="zh-CN"/>
        </w:rPr>
        <w:t>表6.2-2  天然包气带防污性能分级参照表</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2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分级</w:t>
            </w:r>
          </w:p>
        </w:tc>
        <w:tc>
          <w:tcPr>
            <w:tcW w:w="772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12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强</w:t>
            </w:r>
          </w:p>
        </w:tc>
        <w:tc>
          <w:tcPr>
            <w:tcW w:w="772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i/>
                <w:color w:val="000000" w:themeColor="text1"/>
                <w:sz w:val="21"/>
                <w:szCs w:val="21"/>
                <w:vertAlign w:val="baseline"/>
                <w:lang w:val="en-US" w:eastAsia="zh-CN"/>
              </w:rPr>
              <w:t>Mb</w:t>
            </w:r>
            <w:r>
              <w:rPr>
                <w:rFonts w:hint="default" w:ascii="Times New Roman" w:hAnsi="Times New Roman" w:eastAsia="宋体" w:cs="Times New Roman"/>
                <w:bCs/>
                <w:color w:val="000000" w:themeColor="text1"/>
                <w:sz w:val="21"/>
                <w:szCs w:val="21"/>
                <w:vertAlign w:val="baseline"/>
              </w:rPr>
              <w:t>≥1.0m</w:t>
            </w:r>
            <w:r>
              <w:rPr>
                <w:rFonts w:hint="eastAsia" w:ascii="Times New Roman" w:hAnsi="Times New Roman" w:eastAsia="宋体" w:cs="Times New Roman"/>
                <w:bCs/>
                <w:color w:val="000000" w:themeColor="text1"/>
                <w:sz w:val="21"/>
                <w:szCs w:val="21"/>
                <w:vertAlign w:val="baseline"/>
                <w:lang w:val="en-US" w:eastAsia="zh-CN"/>
              </w:rPr>
              <w:t>，</w:t>
            </w:r>
            <w:r>
              <w:rPr>
                <w:rFonts w:hint="default" w:ascii="Times New Roman" w:hAnsi="Times New Roman" w:eastAsia="宋体" w:cs="Times New Roman"/>
                <w:bCs/>
                <w:i/>
                <w:color w:val="000000" w:themeColor="text1"/>
                <w:sz w:val="21"/>
                <w:szCs w:val="21"/>
                <w:vertAlign w:val="baseline"/>
              </w:rPr>
              <w:t>K</w:t>
            </w:r>
            <w:r>
              <w:rPr>
                <w:rFonts w:hint="default" w:ascii="Times New Roman" w:hAnsi="Times New Roman" w:eastAsia="宋体" w:cs="Times New Roman"/>
                <w:bCs/>
                <w:color w:val="000000" w:themeColor="text1"/>
                <w:sz w:val="21"/>
                <w:szCs w:val="21"/>
                <w:vertAlign w:val="baseline"/>
              </w:rPr>
              <w:t>≤1.0</w:t>
            </w:r>
            <w:r>
              <w:rPr>
                <w:rFonts w:hint="default" w:ascii="Arial" w:hAnsi="Arial" w:eastAsia="宋体" w:cs="Arial"/>
                <w:bCs/>
                <w:color w:val="000000" w:themeColor="text1"/>
                <w:sz w:val="21"/>
                <w:szCs w:val="21"/>
                <w:vertAlign w:val="baseline"/>
              </w:rPr>
              <w:t>×</w:t>
            </w:r>
            <w:r>
              <w:rPr>
                <w:rFonts w:hint="default" w:ascii="Times New Roman" w:hAnsi="Times New Roman" w:eastAsia="宋体" w:cs="Times New Roman"/>
                <w:bCs/>
                <w:color w:val="000000" w:themeColor="text1"/>
                <w:sz w:val="21"/>
                <w:szCs w:val="21"/>
                <w:vertAlign w:val="baseline"/>
              </w:rPr>
              <w:t>10</w:t>
            </w:r>
            <w:r>
              <w:rPr>
                <w:rFonts w:hint="eastAsia" w:ascii="Times New Roman" w:hAnsi="Times New Roman" w:eastAsia="宋体" w:cs="Times New Roman"/>
                <w:bCs/>
                <w:color w:val="000000" w:themeColor="text1"/>
                <w:sz w:val="21"/>
                <w:szCs w:val="21"/>
                <w:vertAlign w:val="superscript"/>
                <w:lang w:val="en-US" w:eastAsia="zh-CN"/>
              </w:rPr>
              <w:t>-6</w:t>
            </w:r>
            <w:r>
              <w:rPr>
                <w:rFonts w:hint="default" w:ascii="Times New Roman" w:hAnsi="Times New Roman" w:eastAsia="宋体" w:cs="Times New Roman"/>
                <w:bCs/>
                <w:color w:val="000000" w:themeColor="text1"/>
                <w:sz w:val="21"/>
                <w:szCs w:val="21"/>
                <w:vertAlign w:val="baseline"/>
              </w:rPr>
              <w:t>cm</w:t>
            </w:r>
            <w:r>
              <w:rPr>
                <w:rFonts w:hint="eastAsia" w:ascii="Times New Roman" w:hAnsi="Times New Roman" w:eastAsia="宋体" w:cs="Times New Roman"/>
                <w:bCs/>
                <w:color w:val="000000" w:themeColor="text1"/>
                <w:sz w:val="21"/>
                <w:szCs w:val="21"/>
                <w:vertAlign w:val="baseline"/>
                <w:lang w:val="en-US" w:eastAsia="zh-CN"/>
              </w:rPr>
              <w:t>/</w:t>
            </w:r>
            <w:r>
              <w:rPr>
                <w:rFonts w:hint="default" w:ascii="Times New Roman" w:hAnsi="Times New Roman" w:eastAsia="宋体" w:cs="Times New Roman"/>
                <w:bCs/>
                <w:color w:val="000000" w:themeColor="text1"/>
                <w:sz w:val="21"/>
                <w:szCs w:val="21"/>
                <w:vertAlign w:val="baseline"/>
              </w:rPr>
              <w:t>s</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中</w:t>
            </w:r>
          </w:p>
        </w:tc>
        <w:tc>
          <w:tcPr>
            <w:tcW w:w="7721"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0.5m≤Mb&lt;1.0m</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K≤1.0</w:t>
            </w:r>
            <w:r>
              <w:rPr>
                <w:rFonts w:hint="default" w:ascii="Arial" w:hAnsi="Arial" w:eastAsia="宋体" w:cs="Arial"/>
                <w:bCs/>
                <w:color w:val="000000" w:themeColor="text1"/>
                <w:sz w:val="21"/>
                <w:szCs w:val="21"/>
                <w:vertAlign w:val="baseline"/>
              </w:rPr>
              <w:t>×</w:t>
            </w:r>
            <w:r>
              <w:rPr>
                <w:rFonts w:hint="default" w:ascii="Times New Roman" w:hAnsi="Times New Roman" w:eastAsia="宋体" w:cs="Times New Roman"/>
                <w:bCs/>
                <w:color w:val="000000" w:themeColor="text1"/>
                <w:sz w:val="21"/>
                <w:szCs w:val="21"/>
                <w:vertAlign w:val="baseline"/>
              </w:rPr>
              <w:t>10</w:t>
            </w:r>
            <w:r>
              <w:rPr>
                <w:rFonts w:hint="eastAsia" w:ascii="Times New Roman" w:hAnsi="Times New Roman" w:eastAsia="宋体" w:cs="Times New Roman"/>
                <w:bCs/>
                <w:color w:val="000000" w:themeColor="text1"/>
                <w:sz w:val="21"/>
                <w:szCs w:val="21"/>
                <w:vertAlign w:val="superscript"/>
                <w:lang w:val="en-US" w:eastAsia="zh-CN"/>
              </w:rPr>
              <w:t>-6</w:t>
            </w:r>
            <w:r>
              <w:rPr>
                <w:rFonts w:hint="default" w:ascii="Times New Roman" w:hAnsi="Times New Roman" w:eastAsia="宋体" w:cs="Times New Roman"/>
                <w:bCs/>
                <w:color w:val="000000" w:themeColor="text1"/>
                <w:sz w:val="21"/>
                <w:szCs w:val="21"/>
                <w:vertAlign w:val="baseline"/>
              </w:rPr>
              <w:t>cm</w:t>
            </w:r>
            <w:r>
              <w:rPr>
                <w:rFonts w:hint="eastAsia" w:ascii="Times New Roman" w:hAnsi="Times New Roman" w:eastAsia="宋体" w:cs="Times New Roman"/>
                <w:bCs/>
                <w:color w:val="000000" w:themeColor="text1"/>
                <w:sz w:val="21"/>
                <w:szCs w:val="21"/>
                <w:vertAlign w:val="baseline"/>
                <w:lang w:val="en-US" w:eastAsia="zh-CN"/>
              </w:rPr>
              <w:t>/</w:t>
            </w:r>
            <w:r>
              <w:rPr>
                <w:rFonts w:hint="default" w:ascii="Times New Roman" w:hAnsi="Times New Roman" w:eastAsia="宋体" w:cs="Times New Roman"/>
                <w:bCs/>
                <w:color w:val="000000" w:themeColor="text1"/>
                <w:sz w:val="21"/>
                <w:szCs w:val="21"/>
                <w:vertAlign w:val="baseline"/>
              </w:rPr>
              <w:t>s</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且分布连续、稳定</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Mb≥1.</w:t>
            </w:r>
            <w:r>
              <w:rPr>
                <w:rFonts w:hint="eastAsia" w:ascii="Times New Roman" w:hAnsi="Times New Roman" w:eastAsia="宋体" w:cs="Times New Roman"/>
                <w:bCs/>
                <w:color w:val="000000" w:themeColor="text1"/>
                <w:sz w:val="21"/>
                <w:szCs w:val="21"/>
                <w:vertAlign w:val="baseline"/>
                <w:lang w:val="en-US" w:eastAsia="zh-CN"/>
              </w:rPr>
              <w:t>0</w:t>
            </w:r>
            <w:r>
              <w:rPr>
                <w:rFonts w:hint="default" w:ascii="Times New Roman" w:hAnsi="Times New Roman" w:eastAsia="宋体" w:cs="Times New Roman"/>
                <w:bCs/>
                <w:color w:val="000000" w:themeColor="text1"/>
                <w:sz w:val="21"/>
                <w:szCs w:val="21"/>
                <w:vertAlign w:val="baseline"/>
              </w:rPr>
              <w:t>m</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1.0</w:t>
            </w:r>
            <w:r>
              <w:rPr>
                <w:rFonts w:hint="default" w:ascii="Arial" w:hAnsi="Arial" w:eastAsia="宋体" w:cs="Arial"/>
                <w:bCs/>
                <w:color w:val="000000" w:themeColor="text1"/>
                <w:sz w:val="21"/>
                <w:szCs w:val="21"/>
                <w:vertAlign w:val="baseline"/>
              </w:rPr>
              <w:t>×</w:t>
            </w:r>
            <w:r>
              <w:rPr>
                <w:rFonts w:hint="default" w:ascii="Times New Roman" w:hAnsi="Times New Roman" w:eastAsia="宋体" w:cs="Times New Roman"/>
                <w:bCs/>
                <w:color w:val="000000" w:themeColor="text1"/>
                <w:sz w:val="21"/>
                <w:szCs w:val="21"/>
                <w:vertAlign w:val="baseline"/>
              </w:rPr>
              <w:t>10</w:t>
            </w:r>
            <w:r>
              <w:rPr>
                <w:rFonts w:hint="eastAsia" w:ascii="Times New Roman" w:hAnsi="Times New Roman" w:eastAsia="宋体" w:cs="Times New Roman"/>
                <w:bCs/>
                <w:color w:val="000000" w:themeColor="text1"/>
                <w:sz w:val="21"/>
                <w:szCs w:val="21"/>
                <w:vertAlign w:val="superscript"/>
                <w:lang w:val="en-US" w:eastAsia="zh-CN"/>
              </w:rPr>
              <w:t>-6</w:t>
            </w:r>
            <w:r>
              <w:rPr>
                <w:rFonts w:hint="default" w:ascii="Times New Roman" w:hAnsi="Times New Roman" w:eastAsia="宋体" w:cs="Times New Roman"/>
                <w:bCs/>
                <w:color w:val="000000" w:themeColor="text1"/>
                <w:sz w:val="21"/>
                <w:szCs w:val="21"/>
                <w:vertAlign w:val="baseline"/>
              </w:rPr>
              <w:t>cm</w:t>
            </w:r>
            <w:r>
              <w:rPr>
                <w:rFonts w:hint="eastAsia" w:ascii="Times New Roman" w:hAnsi="Times New Roman" w:eastAsia="宋体" w:cs="Times New Roman"/>
                <w:bCs/>
                <w:color w:val="000000" w:themeColor="text1"/>
                <w:sz w:val="21"/>
                <w:szCs w:val="21"/>
                <w:vertAlign w:val="baseline"/>
                <w:lang w:val="en-US" w:eastAsia="zh-CN"/>
              </w:rPr>
              <w:t>/</w:t>
            </w:r>
            <w:r>
              <w:rPr>
                <w:rFonts w:hint="default" w:ascii="Times New Roman" w:hAnsi="Times New Roman" w:eastAsia="宋体" w:cs="Times New Roman"/>
                <w:bCs/>
                <w:color w:val="000000" w:themeColor="text1"/>
                <w:sz w:val="21"/>
                <w:szCs w:val="21"/>
                <w:vertAlign w:val="baseline"/>
              </w:rPr>
              <w:t>s&lt;K≤</w:t>
            </w:r>
            <w:r>
              <w:rPr>
                <w:rFonts w:hint="eastAsia" w:ascii="Times New Roman" w:hAnsi="Times New Roman" w:eastAsia="宋体" w:cs="Times New Roman"/>
                <w:bCs/>
                <w:color w:val="000000" w:themeColor="text1"/>
                <w:sz w:val="21"/>
                <w:szCs w:val="21"/>
                <w:vertAlign w:val="baseline"/>
                <w:lang w:val="en-US" w:eastAsia="zh-CN"/>
              </w:rPr>
              <w:t>1.0</w:t>
            </w:r>
            <w:r>
              <w:rPr>
                <w:rFonts w:hint="default" w:ascii="Arial" w:hAnsi="Arial" w:eastAsia="宋体" w:cs="Arial"/>
                <w:bCs/>
                <w:color w:val="000000" w:themeColor="text1"/>
                <w:sz w:val="21"/>
                <w:szCs w:val="21"/>
                <w:vertAlign w:val="baseline"/>
              </w:rPr>
              <w:t>×</w:t>
            </w:r>
            <w:r>
              <w:rPr>
                <w:rFonts w:hint="default" w:ascii="Times New Roman" w:hAnsi="Times New Roman" w:eastAsia="宋体" w:cs="Times New Roman"/>
                <w:bCs/>
                <w:color w:val="000000" w:themeColor="text1"/>
                <w:sz w:val="21"/>
                <w:szCs w:val="21"/>
                <w:vertAlign w:val="baseline"/>
              </w:rPr>
              <w:t>10</w:t>
            </w:r>
            <w:r>
              <w:rPr>
                <w:rFonts w:hint="eastAsia" w:ascii="Times New Roman" w:hAnsi="Times New Roman" w:eastAsia="宋体" w:cs="Times New Roman"/>
                <w:bCs/>
                <w:color w:val="000000" w:themeColor="text1"/>
                <w:sz w:val="21"/>
                <w:szCs w:val="21"/>
                <w:vertAlign w:val="superscript"/>
                <w:lang w:val="en-US" w:eastAsia="zh-CN"/>
              </w:rPr>
              <w:t>-4</w:t>
            </w:r>
            <w:r>
              <w:rPr>
                <w:rFonts w:hint="default" w:ascii="Times New Roman" w:hAnsi="Times New Roman" w:eastAsia="宋体" w:cs="Times New Roman"/>
                <w:bCs/>
                <w:color w:val="000000" w:themeColor="text1"/>
                <w:sz w:val="21"/>
                <w:szCs w:val="21"/>
                <w:vertAlign w:val="baseline"/>
              </w:rPr>
              <w:t>cm</w:t>
            </w:r>
            <w:r>
              <w:rPr>
                <w:rFonts w:hint="eastAsia" w:ascii="Times New Roman" w:hAnsi="Times New Roman" w:eastAsia="宋体" w:cs="Times New Roman"/>
                <w:bCs/>
                <w:color w:val="000000" w:themeColor="text1"/>
                <w:sz w:val="21"/>
                <w:szCs w:val="21"/>
                <w:vertAlign w:val="baseline"/>
                <w:lang w:val="en-US" w:eastAsia="zh-CN"/>
              </w:rPr>
              <w:t>/</w:t>
            </w:r>
            <w:r>
              <w:rPr>
                <w:rFonts w:hint="default" w:ascii="Times New Roman" w:hAnsi="Times New Roman" w:eastAsia="宋体" w:cs="Times New Roman"/>
                <w:bCs/>
                <w:color w:val="000000" w:themeColor="text1"/>
                <w:sz w:val="21"/>
                <w:szCs w:val="21"/>
                <w:vertAlign w:val="baseline"/>
              </w:rPr>
              <w:t>s</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121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772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岩（土）层不满足上述</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强</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和</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中</w:t>
            </w:r>
            <w:r>
              <w:rPr>
                <w:rFonts w:hint="eastAsia" w:ascii="Times New Roman" w:hAnsi="Times New Roman" w:eastAsia="宋体" w:cs="Times New Roman"/>
                <w:bCs/>
                <w:color w:val="000000" w:themeColor="text1"/>
                <w:sz w:val="21"/>
                <w:szCs w:val="21"/>
                <w:vertAlign w:val="baseline"/>
                <w:lang w:eastAsia="zh-CN"/>
              </w:rPr>
              <w:t>”</w:t>
            </w:r>
            <w:r>
              <w:rPr>
                <w:rFonts w:hint="default" w:ascii="Times New Roman" w:hAnsi="Times New Roman" w:eastAsia="宋体" w:cs="Times New Roman"/>
                <w:bCs/>
                <w:color w:val="000000" w:themeColor="text1"/>
                <w:sz w:val="21"/>
                <w:szCs w:val="21"/>
                <w:vertAlign w:val="baseline"/>
              </w:rPr>
              <w:t>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8935" w:type="dxa"/>
            <w:gridSpan w:val="2"/>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注: Mb：岩土层单层厚度。K：渗透系数。</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val="0"/>
          <w:color w:val="000000" w:themeColor="text1"/>
          <w:sz w:val="21"/>
          <w:szCs w:val="21"/>
          <w:lang w:val="en-US" w:eastAsia="zh-CN"/>
        </w:rPr>
      </w:pPr>
      <w:r>
        <w:rPr>
          <w:rFonts w:hint="eastAsia" w:ascii="Times New Roman" w:hAnsi="Times New Roman" w:eastAsia="宋体" w:cs="Times New Roman"/>
          <w:b/>
          <w:bCs w:val="0"/>
          <w:color w:val="000000" w:themeColor="text1"/>
          <w:sz w:val="21"/>
          <w:szCs w:val="21"/>
          <w:lang w:val="en-US" w:eastAsia="zh-CN"/>
        </w:rPr>
        <w:t>表6.2-3  地下水污染防渗分区参照表</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1787"/>
        <w:gridCol w:w="1786"/>
        <w:gridCol w:w="1787"/>
        <w:gridCol w:w="1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防渗分区</w:t>
            </w: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天然包气带防污性能</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污染控制难易程度</w:t>
            </w: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污染物类型</w:t>
            </w:r>
          </w:p>
        </w:tc>
        <w:tc>
          <w:tcPr>
            <w:tcW w:w="1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7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重点防渗区</w:t>
            </w: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难</w:t>
            </w:r>
          </w:p>
        </w:tc>
        <w:tc>
          <w:tcPr>
            <w:tcW w:w="17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重金属、持久性有机物</w:t>
            </w:r>
          </w:p>
        </w:tc>
        <w:tc>
          <w:tcPr>
            <w:tcW w:w="17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等效粘土防渗层 Mb≥6.0m，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K≤1×10 -7 cm/s；或参照 GB1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8598 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中-弱</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难</w:t>
            </w:r>
          </w:p>
        </w:tc>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一般防渗区</w:t>
            </w: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易-难</w:t>
            </w:r>
          </w:p>
        </w:tc>
        <w:tc>
          <w:tcPr>
            <w:tcW w:w="17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其他类型</w:t>
            </w:r>
          </w:p>
        </w:tc>
        <w:tc>
          <w:tcPr>
            <w:tcW w:w="17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等效粘土防渗层 Mb≥1.5m，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K≤1×10 -7 cm/s；或参照 GB1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6889 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中-强</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难</w:t>
            </w:r>
          </w:p>
        </w:tc>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中</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17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重金属、持久性有机物</w:t>
            </w:r>
          </w:p>
        </w:tc>
        <w:tc>
          <w:tcPr>
            <w:tcW w:w="17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强</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17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17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简单防渗区</w:t>
            </w: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中-强</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1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其他类型</w:t>
            </w:r>
          </w:p>
        </w:tc>
        <w:tc>
          <w:tcPr>
            <w:tcW w:w="1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一般地面硬化</w:t>
            </w:r>
          </w:p>
        </w:tc>
      </w:tr>
    </w:tbl>
    <w:p>
      <w:pPr>
        <w:keepNext w:val="0"/>
        <w:keepLines w:val="0"/>
        <w:pageBreakBefore w:val="0"/>
        <w:kinsoku/>
        <w:wordWrap/>
        <w:overflowPunct/>
        <w:topLinePunct w:val="0"/>
        <w:bidi w:val="0"/>
        <w:adjustRightInd w:val="0"/>
        <w:snapToGrid w:val="0"/>
        <w:spacing w:line="360" w:lineRule="auto"/>
        <w:ind w:firstLine="422" w:firstLineChars="200"/>
        <w:jc w:val="center"/>
        <w:textAlignment w:val="auto"/>
        <w:outlineLvl w:val="9"/>
        <w:rPr>
          <w:rFonts w:hint="default" w:ascii="Times New Roman" w:hAnsi="Times New Roman" w:eastAsia="宋体" w:cs="Times New Roman"/>
          <w:b/>
          <w:bCs w:val="0"/>
          <w:color w:val="000000" w:themeColor="text1"/>
          <w:sz w:val="21"/>
          <w:szCs w:val="21"/>
          <w:lang w:val="en-US" w:eastAsia="zh-CN"/>
        </w:rPr>
      </w:pPr>
      <w:r>
        <w:rPr>
          <w:rFonts w:hint="eastAsia" w:ascii="Times New Roman" w:hAnsi="Times New Roman" w:eastAsia="宋体" w:cs="Times New Roman"/>
          <w:b/>
          <w:bCs w:val="0"/>
          <w:color w:val="000000" w:themeColor="text1"/>
          <w:sz w:val="21"/>
          <w:szCs w:val="21"/>
          <w:lang w:val="en-US" w:eastAsia="zh-CN"/>
        </w:rPr>
        <w:t>表6.2-4  本项目K1分区防渗等级一览表</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50"/>
        <w:gridCol w:w="750"/>
        <w:gridCol w:w="696"/>
        <w:gridCol w:w="750"/>
        <w:gridCol w:w="2354"/>
        <w:gridCol w:w="2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7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污染源名称</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天然包气带防污性能</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污染控制难易程度</w:t>
            </w:r>
          </w:p>
        </w:tc>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污染物类型</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防渗分区</w:t>
            </w:r>
          </w:p>
        </w:tc>
        <w:tc>
          <w:tcPr>
            <w:tcW w:w="2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防渗要求</w:t>
            </w:r>
          </w:p>
        </w:tc>
        <w:tc>
          <w:tcPr>
            <w:tcW w:w="2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8" w:hRule="atLeast"/>
          <w:jc w:val="center"/>
        </w:trPr>
        <w:tc>
          <w:tcPr>
            <w:tcW w:w="7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废石场</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重金属</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重点防渗区</w:t>
            </w:r>
          </w:p>
        </w:tc>
        <w:tc>
          <w:tcPr>
            <w:tcW w:w="2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等效粘土防渗层 Mb≥6.0m，K</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eastAsia="zh-CN"/>
              </w:rPr>
            </w:pPr>
            <w:r>
              <w:rPr>
                <w:rFonts w:hint="default" w:ascii="Times New Roman" w:hAnsi="Times New Roman" w:eastAsia="宋体" w:cs="Times New Roman"/>
                <w:bCs/>
                <w:color w:val="000000" w:themeColor="text1"/>
                <w:sz w:val="21"/>
                <w:szCs w:val="21"/>
                <w:vertAlign w:val="baseline"/>
              </w:rPr>
              <w:t xml:space="preserve">≤1×10 </w:t>
            </w:r>
            <w:r>
              <w:rPr>
                <w:rFonts w:hint="default" w:ascii="Times New Roman" w:hAnsi="Times New Roman" w:eastAsia="宋体" w:cs="Times New Roman"/>
                <w:bCs/>
                <w:color w:val="000000" w:themeColor="text1"/>
                <w:sz w:val="21"/>
                <w:szCs w:val="21"/>
                <w:vertAlign w:val="superscript"/>
              </w:rPr>
              <w:t>-7</w:t>
            </w:r>
            <w:r>
              <w:rPr>
                <w:rFonts w:hint="default" w:ascii="Times New Roman" w:hAnsi="Times New Roman" w:eastAsia="宋体" w:cs="Times New Roman"/>
                <w:bCs/>
                <w:color w:val="000000" w:themeColor="text1"/>
                <w:sz w:val="21"/>
                <w:szCs w:val="21"/>
                <w:vertAlign w:val="baseline"/>
              </w:rPr>
              <w:t xml:space="preserve"> cm/s；或参照 GB18598执行</w:t>
            </w:r>
          </w:p>
        </w:tc>
        <w:tc>
          <w:tcPr>
            <w:tcW w:w="2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eastAsia="zh-CN"/>
              </w:rPr>
            </w:pPr>
            <w:r>
              <w:rPr>
                <w:rFonts w:hint="eastAsia" w:ascii="Times New Roman" w:hAnsi="Times New Roman" w:eastAsia="宋体" w:cs="Times New Roman"/>
                <w:bCs/>
                <w:color w:val="000000" w:themeColor="text1"/>
                <w:sz w:val="21"/>
                <w:szCs w:val="21"/>
                <w:vertAlign w:val="baseline"/>
                <w:lang w:eastAsia="zh-CN"/>
              </w:rPr>
              <w:t>废石场现有项目已建成，扩建项目不再向现有废石场排放废石。</w:t>
            </w:r>
            <w:r>
              <w:rPr>
                <w:rFonts w:hint="default" w:ascii="Times New Roman" w:hAnsi="Times New Roman" w:eastAsia="宋体" w:cs="Times New Roman"/>
                <w:color w:val="000000" w:themeColor="text1"/>
                <w:sz w:val="21"/>
                <w:szCs w:val="21"/>
              </w:rPr>
              <w:t>废石浸出液检测指标均低于《污水综合排放标准》（GB8978-1996）一级标准最高允许排放浓度属I类一般工业固体废物。</w:t>
            </w:r>
            <w:r>
              <w:rPr>
                <w:rFonts w:hint="eastAsia" w:ascii="Times New Roman" w:hAnsi="Times New Roman" w:eastAsia="宋体" w:cs="Times New Roman"/>
                <w:color w:val="000000" w:themeColor="text1"/>
                <w:sz w:val="21"/>
                <w:szCs w:val="21"/>
                <w:lang w:eastAsia="zh-CN"/>
              </w:rPr>
              <w:t>故废石对地下水环境的影响较小。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危废间、机修房</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持久性有机污染物</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重点防渗区</w:t>
            </w:r>
          </w:p>
        </w:tc>
        <w:tc>
          <w:tcPr>
            <w:tcW w:w="2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 xml:space="preserve">等效粘土防渗层 Mb≥6.0m，K≤1×10 </w:t>
            </w:r>
            <w:r>
              <w:rPr>
                <w:rFonts w:hint="default" w:ascii="Times New Roman" w:hAnsi="Times New Roman" w:eastAsia="宋体" w:cs="Times New Roman"/>
                <w:bCs/>
                <w:color w:val="000000" w:themeColor="text1"/>
                <w:sz w:val="21"/>
                <w:szCs w:val="21"/>
                <w:vertAlign w:val="superscript"/>
              </w:rPr>
              <w:t>-7</w:t>
            </w:r>
            <w:r>
              <w:rPr>
                <w:rFonts w:hint="default" w:ascii="Times New Roman" w:hAnsi="Times New Roman" w:eastAsia="宋体" w:cs="Times New Roman"/>
                <w:bCs/>
                <w:color w:val="000000" w:themeColor="text1"/>
                <w:sz w:val="21"/>
                <w:szCs w:val="21"/>
                <w:vertAlign w:val="baseline"/>
              </w:rPr>
              <w:t xml:space="preserve"> cm/s；或参照 GB18598执行</w:t>
            </w:r>
          </w:p>
        </w:tc>
        <w:tc>
          <w:tcPr>
            <w:tcW w:w="2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FF0000"/>
                <w:sz w:val="21"/>
                <w:szCs w:val="21"/>
                <w:vertAlign w:val="baseline"/>
                <w:lang w:val="en-US" w:eastAsia="zh-CN"/>
              </w:rPr>
              <w:t>现有工程已建成，但是防渗不满足重点防渗区的要求，本次扩建项目要求对其进行整改。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生产废水沉淀池</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难</w:t>
            </w:r>
          </w:p>
        </w:tc>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000000" w:themeColor="text1"/>
                <w:sz w:val="21"/>
                <w:szCs w:val="21"/>
                <w:vertAlign w:val="baseline"/>
                <w:lang w:val="en-US" w:eastAsia="zh-CN"/>
              </w:rPr>
              <w:t>持久性有机污染物</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000000" w:themeColor="text1"/>
                <w:sz w:val="21"/>
                <w:szCs w:val="21"/>
                <w:vertAlign w:val="baseline"/>
                <w:lang w:val="en-US" w:eastAsia="zh-CN"/>
              </w:rPr>
              <w:t>重点防渗区</w:t>
            </w:r>
          </w:p>
        </w:tc>
        <w:tc>
          <w:tcPr>
            <w:tcW w:w="2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p>
        </w:tc>
        <w:tc>
          <w:tcPr>
            <w:tcW w:w="2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FF0000"/>
                <w:sz w:val="21"/>
                <w:szCs w:val="21"/>
                <w:vertAlign w:val="baseline"/>
                <w:lang w:val="en-US" w:eastAsia="zh-CN"/>
              </w:rPr>
              <w:t>现有工程已建成，但是防渗不满足重点防渗区的要求，本次扩建项目要求对其进行整改。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化粪池</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易</w:t>
            </w:r>
          </w:p>
        </w:tc>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其他类型</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一般防渗区</w:t>
            </w:r>
          </w:p>
        </w:tc>
        <w:tc>
          <w:tcPr>
            <w:tcW w:w="2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等效粘土防渗层 Mb≥1.5m，K≤1×10</w:t>
            </w:r>
            <w:r>
              <w:rPr>
                <w:rFonts w:hint="default" w:ascii="Times New Roman" w:hAnsi="Times New Roman" w:eastAsia="宋体" w:cs="Times New Roman"/>
                <w:bCs/>
                <w:color w:val="000000" w:themeColor="text1"/>
                <w:sz w:val="21"/>
                <w:szCs w:val="21"/>
                <w:vertAlign w:val="superscript"/>
              </w:rPr>
              <w:t xml:space="preserve"> -7</w:t>
            </w:r>
            <w:r>
              <w:rPr>
                <w:rFonts w:hint="default" w:ascii="Times New Roman" w:hAnsi="Times New Roman" w:eastAsia="宋体" w:cs="Times New Roman"/>
                <w:bCs/>
                <w:color w:val="000000" w:themeColor="text1"/>
                <w:sz w:val="21"/>
                <w:szCs w:val="21"/>
                <w:vertAlign w:val="baseline"/>
              </w:rPr>
              <w:t xml:space="preserve"> cm/s；或参照 GB16889执行</w:t>
            </w:r>
          </w:p>
        </w:tc>
        <w:tc>
          <w:tcPr>
            <w:tcW w:w="2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化粪池已按照一般防渗区进行了防渗。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高位水池、工业场地等其他场地</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w:t>
            </w:r>
          </w:p>
        </w:tc>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简单防渗区</w:t>
            </w:r>
          </w:p>
        </w:tc>
        <w:tc>
          <w:tcPr>
            <w:tcW w:w="2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一般地面硬化</w:t>
            </w:r>
          </w:p>
        </w:tc>
        <w:tc>
          <w:tcPr>
            <w:tcW w:w="2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color w:val="000000" w:themeColor="text1"/>
                <w:sz w:val="21"/>
                <w:szCs w:val="21"/>
                <w:lang w:val="en-US" w:eastAsia="zh-CN"/>
              </w:rPr>
              <w:t>高位水池、工业场地等其他场地已按照要求进行建设。</w:t>
            </w:r>
          </w:p>
        </w:tc>
      </w:tr>
    </w:tbl>
    <w:p>
      <w:pPr>
        <w:keepNext w:val="0"/>
        <w:keepLines w:val="0"/>
        <w:pageBreakBefore w:val="0"/>
        <w:kinsoku/>
        <w:wordWrap/>
        <w:overflowPunct/>
        <w:topLinePunct w:val="0"/>
        <w:bidi w:val="0"/>
        <w:adjustRightInd w:val="0"/>
        <w:snapToGrid w:val="0"/>
        <w:spacing w:line="360" w:lineRule="auto"/>
        <w:ind w:firstLine="422" w:firstLineChars="200"/>
        <w:jc w:val="center"/>
        <w:textAlignment w:val="auto"/>
        <w:outlineLvl w:val="9"/>
        <w:rPr>
          <w:rFonts w:hint="default" w:ascii="Times New Roman" w:hAnsi="Times New Roman" w:eastAsia="宋体" w:cs="Times New Roman"/>
          <w:b/>
          <w:bCs w:val="0"/>
          <w:color w:val="000000" w:themeColor="text1"/>
          <w:sz w:val="21"/>
          <w:szCs w:val="21"/>
          <w:lang w:val="en-US" w:eastAsia="zh-CN"/>
        </w:rPr>
      </w:pPr>
      <w:r>
        <w:rPr>
          <w:rFonts w:hint="eastAsia" w:ascii="Times New Roman" w:hAnsi="Times New Roman" w:eastAsia="宋体" w:cs="Times New Roman"/>
          <w:b/>
          <w:bCs w:val="0"/>
          <w:color w:val="000000" w:themeColor="text1"/>
          <w:sz w:val="21"/>
          <w:szCs w:val="21"/>
          <w:lang w:val="en-US" w:eastAsia="zh-CN"/>
        </w:rPr>
        <w:t>表6.2-5  本项目K2分区防渗等级一览表</w:t>
      </w:r>
    </w:p>
    <w:tbl>
      <w:tblPr>
        <w:tblStyle w:val="40"/>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312"/>
        <w:gridCol w:w="1238"/>
        <w:gridCol w:w="1225"/>
        <w:gridCol w:w="1237"/>
        <w:gridCol w:w="1713"/>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污染源名称</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天然包气带防污性能</w:t>
            </w:r>
          </w:p>
        </w:tc>
        <w:tc>
          <w:tcPr>
            <w:tcW w:w="1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污染控制难易程度</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污染物类型</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防渗分区</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防渗要求</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30"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生产废水沉淀池</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弱</w:t>
            </w:r>
          </w:p>
        </w:tc>
        <w:tc>
          <w:tcPr>
            <w:tcW w:w="1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难</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000000" w:themeColor="text1"/>
                <w:sz w:val="21"/>
                <w:szCs w:val="21"/>
                <w:vertAlign w:val="baseline"/>
                <w:lang w:val="en-US" w:eastAsia="zh-CN"/>
              </w:rPr>
              <w:t>持久性有机污染物</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000000" w:themeColor="text1"/>
                <w:sz w:val="21"/>
                <w:szCs w:val="21"/>
                <w:vertAlign w:val="baseline"/>
                <w:lang w:val="en-US" w:eastAsia="zh-CN"/>
              </w:rPr>
              <w:t>重点防渗区</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 xml:space="preserve">等效粘土防渗层 Mb≥6.0m，K≤1×10 </w:t>
            </w:r>
            <w:r>
              <w:rPr>
                <w:rFonts w:hint="default" w:ascii="Times New Roman" w:hAnsi="Times New Roman" w:eastAsia="宋体" w:cs="Times New Roman"/>
                <w:bCs/>
                <w:color w:val="000000" w:themeColor="text1"/>
                <w:sz w:val="21"/>
                <w:szCs w:val="21"/>
                <w:vertAlign w:val="superscript"/>
              </w:rPr>
              <w:t>-7</w:t>
            </w:r>
            <w:r>
              <w:rPr>
                <w:rFonts w:hint="default" w:ascii="Times New Roman" w:hAnsi="Times New Roman" w:eastAsia="宋体" w:cs="Times New Roman"/>
                <w:bCs/>
                <w:color w:val="000000" w:themeColor="text1"/>
                <w:sz w:val="21"/>
                <w:szCs w:val="21"/>
                <w:vertAlign w:val="baseline"/>
              </w:rPr>
              <w:t xml:space="preserve"> cm/s；或参照 GB18598执行</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bCs/>
                <w:color w:val="000000" w:themeColor="text1"/>
                <w:sz w:val="21"/>
                <w:szCs w:val="21"/>
                <w:vertAlign w:val="baseli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高位水池、工业场地等其他场地</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w:t>
            </w:r>
          </w:p>
        </w:tc>
        <w:tc>
          <w:tcPr>
            <w:tcW w:w="1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val="en-US" w:eastAsia="zh-CN"/>
              </w:rPr>
              <w:t>简单防渗区</w:t>
            </w:r>
          </w:p>
        </w:tc>
        <w:tc>
          <w:tcPr>
            <w:tcW w:w="1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default" w:ascii="Times New Roman" w:hAnsi="Times New Roman" w:eastAsia="宋体" w:cs="Times New Roman"/>
                <w:bCs/>
                <w:color w:val="000000" w:themeColor="text1"/>
                <w:sz w:val="21"/>
                <w:szCs w:val="21"/>
                <w:vertAlign w:val="baseline"/>
              </w:rPr>
              <w:t>一般地面硬化</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rPr>
            </w:pPr>
            <w:r>
              <w:rPr>
                <w:rFonts w:hint="eastAsia" w:ascii="Times New Roman" w:hAnsi="Times New Roman" w:eastAsia="宋体" w:cs="Times New Roman"/>
                <w:color w:val="000000" w:themeColor="text1"/>
                <w:sz w:val="21"/>
                <w:szCs w:val="21"/>
                <w:lang w:val="en-US" w:eastAsia="zh-CN"/>
              </w:rPr>
              <w:t>新建</w:t>
            </w:r>
          </w:p>
        </w:tc>
      </w:tr>
    </w:tbl>
    <w:p>
      <w:pPr>
        <w:keepNext w:val="0"/>
        <w:keepLines w:val="0"/>
        <w:pageBreakBefore w:val="0"/>
        <w:kinsoku/>
        <w:wordWrap/>
        <w:overflowPunct/>
        <w:topLinePunct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6.2.4.3 地下水污染监控</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（1）地下水监测计划</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为了及时准确掌握场址及下游地区地下水环境质量状况和地下水体中污染物的动态变化，本项目拟建立覆盖全区的地下水长期监控系统，包括科学、合理地设置地下水污染监控井，建立完善的监测制度，配备先进的检测仪器和设备，以便及时发现并及时控制。</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本项目地下水环境监测主要参考《地下水环境监测技术规范》（HJ/T164-2004），并结合研究区含水层系统和地下水径流系统特征，考虑潜在污染源、环境保护目标等因素，并结合预测的结果来布置地下水监测点。</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（2）监测井布置</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根据前述对拟建项目位置水文地质条件的分析以及对现状污染物来源与迁移特征的认识，结合地下水预测结果的分析，根据HJ610-2016《环境影响评价技术导则-地下水环境》及HJ/T164-2004《地下水环境监测技术规范》等规定，在项目场地范围区内及其周边设置</w:t>
      </w:r>
      <w:r>
        <w:rPr>
          <w:rFonts w:hint="eastAsia" w:ascii="Times New Roman" w:hAnsi="Times New Roman" w:eastAsia="宋体" w:cs="Times New Roman"/>
          <w:bCs/>
          <w:color w:val="000000" w:themeColor="text1"/>
          <w:sz w:val="24"/>
          <w:szCs w:val="24"/>
          <w:lang w:val="en-US" w:eastAsia="zh-CN"/>
        </w:rPr>
        <w:t>9</w:t>
      </w:r>
      <w:r>
        <w:rPr>
          <w:rFonts w:hint="default" w:ascii="Times New Roman" w:hAnsi="Times New Roman" w:eastAsia="宋体" w:cs="Times New Roman"/>
          <w:bCs/>
          <w:color w:val="000000" w:themeColor="text1"/>
          <w:sz w:val="24"/>
          <w:szCs w:val="24"/>
        </w:rPr>
        <w:t>眼监测井，布设方式因地制宜。</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结合前述评价范围内地下水的流场及污染物迁移速度，确定本项目地下水跟踪监测井设置及要求如下表。</w:t>
      </w:r>
    </w:p>
    <w:p>
      <w:pPr>
        <w:keepNext w:val="0"/>
        <w:keepLines w:val="0"/>
        <w:pageBreakBefore w:val="0"/>
        <w:kinsoku/>
        <w:wordWrap/>
        <w:overflowPunct/>
        <w:topLinePunct w:val="0"/>
        <w:autoSpaceDE w:val="0"/>
        <w:autoSpaceDN w:val="0"/>
        <w:bidi w:val="0"/>
        <w:adjustRightInd w:val="0"/>
        <w:snapToGrid w:val="0"/>
        <w:spacing w:line="360" w:lineRule="auto"/>
        <w:ind w:firstLine="422" w:firstLineChars="200"/>
        <w:jc w:val="center"/>
        <w:textAlignment w:val="auto"/>
        <w:outlineLvl w:val="9"/>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表6.2-</w:t>
      </w:r>
      <w:r>
        <w:rPr>
          <w:rFonts w:hint="eastAsia" w:ascii="Times New Roman" w:hAnsi="Times New Roman" w:eastAsia="宋体" w:cs="Times New Roman"/>
          <w:b/>
          <w:color w:val="FF0000"/>
          <w:sz w:val="21"/>
          <w:szCs w:val="21"/>
          <w:lang w:val="en-US" w:eastAsia="zh-CN"/>
        </w:rPr>
        <w:t>6</w:t>
      </w:r>
      <w:r>
        <w:rPr>
          <w:rFonts w:hint="default" w:ascii="Times New Roman" w:hAnsi="Times New Roman" w:eastAsia="宋体" w:cs="Times New Roman"/>
          <w:b/>
          <w:color w:val="FF0000"/>
          <w:sz w:val="21"/>
          <w:szCs w:val="21"/>
        </w:rPr>
        <w:t xml:space="preserve">  环境监测点设置情况一览表</w:t>
      </w:r>
    </w:p>
    <w:tbl>
      <w:tblPr>
        <w:tblStyle w:val="39"/>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655"/>
        <w:gridCol w:w="1055"/>
        <w:gridCol w:w="1125"/>
        <w:gridCol w:w="1035"/>
        <w:gridCol w:w="982"/>
        <w:gridCol w:w="788"/>
        <w:gridCol w:w="810"/>
        <w:gridCol w:w="885"/>
        <w:gridCol w:w="8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726"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序号</w:t>
            </w:r>
          </w:p>
        </w:tc>
        <w:tc>
          <w:tcPr>
            <w:tcW w:w="4852"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eastAsia" w:ascii="Times New Roman" w:hAnsi="Times New Roman" w:eastAsia="宋体" w:cs="Times New Roman"/>
                <w:bCs/>
                <w:color w:val="FF0000"/>
                <w:sz w:val="21"/>
                <w:szCs w:val="21"/>
                <w:lang w:val="en-US" w:eastAsia="zh-CN"/>
              </w:rPr>
              <w:t>K1矿体</w:t>
            </w:r>
          </w:p>
        </w:tc>
        <w:tc>
          <w:tcPr>
            <w:tcW w:w="3357"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eastAsia" w:ascii="Times New Roman" w:hAnsi="Times New Roman" w:eastAsia="宋体" w:cs="Times New Roman"/>
                <w:bCs/>
                <w:color w:val="FF0000"/>
                <w:sz w:val="21"/>
                <w:szCs w:val="21"/>
                <w:lang w:val="en-US" w:eastAsia="zh-CN"/>
              </w:rPr>
              <w:t>K2矿体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6"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p>
        </w:tc>
        <w:tc>
          <w:tcPr>
            <w:tcW w:w="6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JC01</w:t>
            </w:r>
          </w:p>
        </w:tc>
        <w:tc>
          <w:tcPr>
            <w:tcW w:w="10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JC02</w:t>
            </w:r>
          </w:p>
        </w:tc>
        <w:tc>
          <w:tcPr>
            <w:tcW w:w="112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JC03</w:t>
            </w:r>
          </w:p>
        </w:tc>
        <w:tc>
          <w:tcPr>
            <w:tcW w:w="103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eastAsia="zh-CN"/>
              </w:rPr>
            </w:pPr>
            <w:r>
              <w:rPr>
                <w:rFonts w:hint="default" w:ascii="Times New Roman" w:hAnsi="Times New Roman" w:eastAsia="宋体" w:cs="Times New Roman"/>
                <w:bCs/>
                <w:color w:val="FF0000"/>
                <w:sz w:val="21"/>
                <w:szCs w:val="21"/>
              </w:rPr>
              <w:t>JC0</w:t>
            </w:r>
            <w:r>
              <w:rPr>
                <w:rFonts w:hint="eastAsia" w:ascii="Times New Roman" w:hAnsi="Times New Roman" w:eastAsia="宋体" w:cs="Times New Roman"/>
                <w:bCs/>
                <w:color w:val="FF0000"/>
                <w:sz w:val="21"/>
                <w:szCs w:val="21"/>
                <w:lang w:val="en-US" w:eastAsia="zh-CN"/>
              </w:rPr>
              <w:t>4</w:t>
            </w:r>
          </w:p>
        </w:tc>
        <w:tc>
          <w:tcPr>
            <w:tcW w:w="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eastAsia="zh-CN"/>
              </w:rPr>
            </w:pPr>
            <w:r>
              <w:rPr>
                <w:rFonts w:hint="default" w:ascii="Times New Roman" w:hAnsi="Times New Roman" w:eastAsia="宋体" w:cs="Times New Roman"/>
                <w:bCs/>
                <w:color w:val="FF0000"/>
                <w:sz w:val="21"/>
                <w:szCs w:val="21"/>
              </w:rPr>
              <w:t>JC0</w:t>
            </w:r>
            <w:r>
              <w:rPr>
                <w:rFonts w:hint="eastAsia" w:ascii="Times New Roman" w:hAnsi="Times New Roman" w:eastAsia="宋体" w:cs="Times New Roman"/>
                <w:bCs/>
                <w:color w:val="FF0000"/>
                <w:sz w:val="21"/>
                <w:szCs w:val="21"/>
                <w:lang w:val="en-US" w:eastAsia="zh-CN"/>
              </w:rPr>
              <w:t>5</w:t>
            </w:r>
          </w:p>
        </w:tc>
        <w:tc>
          <w:tcPr>
            <w:tcW w:w="78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eastAsia="zh-CN"/>
              </w:rPr>
            </w:pPr>
            <w:r>
              <w:rPr>
                <w:rFonts w:hint="default" w:ascii="Times New Roman" w:hAnsi="Times New Roman" w:eastAsia="宋体" w:cs="Times New Roman"/>
                <w:bCs/>
                <w:color w:val="FF0000"/>
                <w:sz w:val="21"/>
                <w:szCs w:val="21"/>
              </w:rPr>
              <w:t>JC0</w:t>
            </w:r>
            <w:r>
              <w:rPr>
                <w:rFonts w:hint="eastAsia" w:ascii="Times New Roman" w:hAnsi="Times New Roman" w:eastAsia="宋体" w:cs="Times New Roman"/>
                <w:bCs/>
                <w:color w:val="FF0000"/>
                <w:sz w:val="21"/>
                <w:szCs w:val="21"/>
                <w:lang w:val="en-US" w:eastAsia="zh-CN"/>
              </w:rPr>
              <w:t>6</w:t>
            </w:r>
          </w:p>
        </w:tc>
        <w:tc>
          <w:tcPr>
            <w:tcW w:w="8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eastAsia="zh-CN"/>
              </w:rPr>
            </w:pPr>
            <w:r>
              <w:rPr>
                <w:rFonts w:hint="default" w:ascii="Times New Roman" w:hAnsi="Times New Roman" w:eastAsia="宋体" w:cs="Times New Roman"/>
                <w:bCs/>
                <w:color w:val="FF0000"/>
                <w:sz w:val="21"/>
                <w:szCs w:val="21"/>
              </w:rPr>
              <w:t>JC0</w:t>
            </w:r>
            <w:r>
              <w:rPr>
                <w:rFonts w:hint="eastAsia" w:ascii="Times New Roman" w:hAnsi="Times New Roman" w:eastAsia="宋体" w:cs="Times New Roman"/>
                <w:bCs/>
                <w:color w:val="FF0000"/>
                <w:sz w:val="21"/>
                <w:szCs w:val="21"/>
                <w:lang w:val="en-US" w:eastAsia="zh-CN"/>
              </w:rPr>
              <w:t>7</w:t>
            </w:r>
          </w:p>
        </w:tc>
        <w:tc>
          <w:tcPr>
            <w:tcW w:w="8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eastAsia="zh-CN"/>
              </w:rPr>
            </w:pPr>
            <w:r>
              <w:rPr>
                <w:rFonts w:hint="default" w:ascii="Times New Roman" w:hAnsi="Times New Roman" w:eastAsia="宋体" w:cs="Times New Roman"/>
                <w:bCs/>
                <w:color w:val="FF0000"/>
                <w:sz w:val="21"/>
                <w:szCs w:val="21"/>
              </w:rPr>
              <w:t>JC0</w:t>
            </w:r>
            <w:r>
              <w:rPr>
                <w:rFonts w:hint="eastAsia" w:ascii="Times New Roman" w:hAnsi="Times New Roman" w:eastAsia="宋体" w:cs="Times New Roman"/>
                <w:bCs/>
                <w:color w:val="FF0000"/>
                <w:sz w:val="21"/>
                <w:szCs w:val="21"/>
                <w:lang w:val="en-US" w:eastAsia="zh-CN"/>
              </w:rPr>
              <w:t>8</w:t>
            </w:r>
          </w:p>
        </w:tc>
        <w:tc>
          <w:tcPr>
            <w:tcW w:w="87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JC0</w:t>
            </w:r>
            <w:r>
              <w:rPr>
                <w:rFonts w:hint="eastAsia" w:ascii="Times New Roman" w:hAnsi="Times New Roman" w:eastAsia="宋体" w:cs="Times New Roman"/>
                <w:bCs/>
                <w:color w:val="FF0000"/>
                <w:sz w:val="21"/>
                <w:szCs w:val="21"/>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与本项目关系</w:t>
            </w:r>
          </w:p>
        </w:tc>
        <w:tc>
          <w:tcPr>
            <w:tcW w:w="6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工业场地上游</w:t>
            </w:r>
          </w:p>
        </w:tc>
        <w:tc>
          <w:tcPr>
            <w:tcW w:w="10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eastAsia" w:ascii="Times New Roman" w:hAnsi="Times New Roman" w:eastAsia="宋体" w:cs="Times New Roman"/>
                <w:bCs/>
                <w:color w:val="FF0000"/>
                <w:sz w:val="21"/>
                <w:szCs w:val="21"/>
                <w:lang w:val="en-US" w:eastAsia="zh-CN"/>
              </w:rPr>
              <w:t>K1PD810</w:t>
            </w:r>
            <w:r>
              <w:rPr>
                <w:rFonts w:hint="default" w:ascii="Times New Roman" w:hAnsi="Times New Roman" w:eastAsia="宋体" w:cs="Times New Roman"/>
                <w:bCs/>
                <w:color w:val="FF0000"/>
                <w:sz w:val="21"/>
                <w:szCs w:val="21"/>
              </w:rPr>
              <w:t>废石场下游</w:t>
            </w:r>
          </w:p>
        </w:tc>
        <w:tc>
          <w:tcPr>
            <w:tcW w:w="112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eastAsia" w:ascii="Times New Roman" w:hAnsi="Times New Roman" w:eastAsia="宋体" w:cs="Times New Roman"/>
                <w:bCs/>
                <w:color w:val="FF0000"/>
                <w:sz w:val="21"/>
                <w:szCs w:val="21"/>
                <w:lang w:val="en-US" w:eastAsia="zh-CN"/>
              </w:rPr>
              <w:t>K1PD760</w:t>
            </w:r>
            <w:r>
              <w:rPr>
                <w:rFonts w:hint="default" w:ascii="Times New Roman" w:hAnsi="Times New Roman" w:eastAsia="宋体" w:cs="Times New Roman"/>
                <w:bCs/>
                <w:color w:val="FF0000"/>
                <w:sz w:val="21"/>
                <w:szCs w:val="21"/>
              </w:rPr>
              <w:t>废石场下游</w:t>
            </w:r>
          </w:p>
        </w:tc>
        <w:tc>
          <w:tcPr>
            <w:tcW w:w="103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eastAsia" w:ascii="Times New Roman" w:hAnsi="Times New Roman" w:eastAsia="宋体" w:cs="Times New Roman"/>
                <w:bCs/>
                <w:color w:val="FF0000"/>
                <w:sz w:val="21"/>
                <w:szCs w:val="21"/>
                <w:lang w:val="en-US" w:eastAsia="zh-CN"/>
              </w:rPr>
              <w:t>K1PD660</w:t>
            </w:r>
            <w:r>
              <w:rPr>
                <w:rFonts w:hint="default" w:ascii="Times New Roman" w:hAnsi="Times New Roman" w:eastAsia="宋体" w:cs="Times New Roman"/>
                <w:bCs/>
                <w:color w:val="FF0000"/>
                <w:sz w:val="21"/>
                <w:szCs w:val="21"/>
              </w:rPr>
              <w:t>废石场下游</w:t>
            </w:r>
          </w:p>
        </w:tc>
        <w:tc>
          <w:tcPr>
            <w:tcW w:w="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PD760沉淀池下游</w:t>
            </w:r>
          </w:p>
        </w:tc>
        <w:tc>
          <w:tcPr>
            <w:tcW w:w="78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rPr>
              <w:t>工业场地上游</w:t>
            </w:r>
          </w:p>
        </w:tc>
        <w:tc>
          <w:tcPr>
            <w:tcW w:w="8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PD790沉淀池下游</w:t>
            </w:r>
          </w:p>
        </w:tc>
        <w:tc>
          <w:tcPr>
            <w:tcW w:w="8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PD750沉淀池下游</w:t>
            </w:r>
          </w:p>
        </w:tc>
        <w:tc>
          <w:tcPr>
            <w:tcW w:w="87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PD710沉淀池下游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72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功能</w:t>
            </w:r>
          </w:p>
        </w:tc>
        <w:tc>
          <w:tcPr>
            <w:tcW w:w="6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本底井</w:t>
            </w:r>
          </w:p>
        </w:tc>
        <w:tc>
          <w:tcPr>
            <w:tcW w:w="10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c>
          <w:tcPr>
            <w:tcW w:w="112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c>
          <w:tcPr>
            <w:tcW w:w="103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c>
          <w:tcPr>
            <w:tcW w:w="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c>
          <w:tcPr>
            <w:tcW w:w="78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本底井</w:t>
            </w:r>
          </w:p>
        </w:tc>
        <w:tc>
          <w:tcPr>
            <w:tcW w:w="8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c>
          <w:tcPr>
            <w:tcW w:w="8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c>
          <w:tcPr>
            <w:tcW w:w="87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FF0000"/>
                <w:sz w:val="21"/>
                <w:szCs w:val="21"/>
              </w:rPr>
              <w:t>污染扩散井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监测频率</w:t>
            </w:r>
          </w:p>
        </w:tc>
        <w:tc>
          <w:tcPr>
            <w:tcW w:w="8209" w:type="dxa"/>
            <w:gridSpan w:val="9"/>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原则上每年两次，如果发现渗漏或者水质异常时，加密监测频次。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监测层位</w:t>
            </w:r>
          </w:p>
        </w:tc>
        <w:tc>
          <w:tcPr>
            <w:tcW w:w="8209" w:type="dxa"/>
            <w:gridSpan w:val="9"/>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潜水含水层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监测因子</w:t>
            </w:r>
          </w:p>
        </w:tc>
        <w:tc>
          <w:tcPr>
            <w:tcW w:w="8209" w:type="dxa"/>
            <w:gridSpan w:val="9"/>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pH、氰化物、砷、汞、六价铬、铅、镉、铁、镉、铜、锌</w:t>
            </w:r>
            <w:r>
              <w:rPr>
                <w:rFonts w:hint="eastAsia" w:ascii="Times New Roman" w:hAnsi="Times New Roman" w:eastAsia="宋体" w:cs="Times New Roman"/>
                <w:bCs/>
                <w:color w:val="000000" w:themeColor="text1"/>
                <w:sz w:val="21"/>
                <w:szCs w:val="21"/>
                <w:lang w:eastAsia="zh-CN"/>
              </w:rPr>
              <w:t>、</w:t>
            </w:r>
            <w:r>
              <w:rPr>
                <w:rFonts w:hint="eastAsia" w:ascii="Times New Roman" w:hAnsi="Times New Roman" w:eastAsia="宋体" w:cs="Times New Roman"/>
                <w:bCs/>
                <w:color w:val="000000" w:themeColor="text1"/>
                <w:sz w:val="21"/>
                <w:szCs w:val="21"/>
                <w:lang w:val="en-US" w:eastAsia="zh-CN"/>
              </w:rPr>
              <w:t>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备注</w:t>
            </w:r>
          </w:p>
        </w:tc>
        <w:tc>
          <w:tcPr>
            <w:tcW w:w="8209" w:type="dxa"/>
            <w:gridSpan w:val="9"/>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监测井的具体坐标可根据实际情况调整，但相对位置关系不变</w:t>
            </w:r>
          </w:p>
        </w:tc>
      </w:tr>
    </w:tbl>
    <w:p>
      <w:pPr>
        <w:keepNext w:val="0"/>
        <w:keepLines w:val="0"/>
        <w:pageBreakBefore w:val="0"/>
        <w:kinsoku/>
        <w:wordWrap/>
        <w:overflowPunct/>
        <w:topLinePunct w:val="0"/>
        <w:bidi w:val="0"/>
        <w:adjustRightInd w:val="0"/>
        <w:snapToGrid w:val="0"/>
        <w:spacing w:line="360" w:lineRule="auto"/>
        <w:jc w:val="left"/>
        <w:textAlignment w:val="auto"/>
        <w:outlineLvl w:val="9"/>
        <w:rPr>
          <w:rFonts w:hint="default" w:ascii="Times New Roman" w:hAnsi="Times New Roman" w:eastAsia="宋体" w:cs="Times New Roman"/>
          <w:b/>
          <w:color w:val="000000" w:themeColor="text1"/>
          <w:sz w:val="24"/>
          <w:szCs w:val="24"/>
        </w:rPr>
      </w:pPr>
      <w:r>
        <w:rPr>
          <w:rFonts w:hint="default" w:ascii="Times New Roman" w:hAnsi="Times New Roman" w:eastAsia="宋体" w:cs="Times New Roman"/>
          <w:b/>
          <w:color w:val="000000" w:themeColor="text1"/>
          <w:sz w:val="24"/>
          <w:szCs w:val="24"/>
        </w:rPr>
        <w:t>6.2.4.</w:t>
      </w:r>
      <w:r>
        <w:rPr>
          <w:rFonts w:hint="eastAsia" w:ascii="Times New Roman" w:hAnsi="Times New Roman" w:eastAsia="宋体" w:cs="Times New Roman"/>
          <w:b/>
          <w:color w:val="000000" w:themeColor="text1"/>
          <w:sz w:val="24"/>
          <w:szCs w:val="24"/>
          <w:lang w:val="en-US" w:eastAsia="zh-CN"/>
        </w:rPr>
        <w:t>4</w:t>
      </w:r>
      <w:r>
        <w:rPr>
          <w:rFonts w:hint="default" w:ascii="Times New Roman" w:hAnsi="Times New Roman" w:eastAsia="宋体" w:cs="Times New Roman"/>
          <w:b/>
          <w:color w:val="000000" w:themeColor="text1"/>
          <w:sz w:val="24"/>
          <w:szCs w:val="24"/>
        </w:rPr>
        <w:t xml:space="preserve"> 应急响应</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环评要求一旦发生</w:t>
      </w:r>
      <w:r>
        <w:rPr>
          <w:rFonts w:hint="eastAsia" w:ascii="Times New Roman" w:hAnsi="Times New Roman" w:eastAsia="宋体" w:cs="Times New Roman"/>
          <w:color w:val="000000" w:themeColor="text1"/>
          <w:sz w:val="24"/>
          <w:szCs w:val="24"/>
          <w:lang w:val="en-US" w:eastAsia="zh-CN"/>
        </w:rPr>
        <w:t>废水</w:t>
      </w:r>
      <w:r>
        <w:rPr>
          <w:rFonts w:hint="default" w:ascii="Times New Roman" w:hAnsi="Times New Roman" w:eastAsia="宋体" w:cs="Times New Roman"/>
          <w:color w:val="000000" w:themeColor="text1"/>
          <w:sz w:val="24"/>
          <w:szCs w:val="24"/>
        </w:rPr>
        <w:t>渗漏事故，立刻启动以下环境应急预案。</w:t>
      </w:r>
    </w:p>
    <w:p>
      <w:pPr>
        <w:keepNext w:val="0"/>
        <w:keepLines w:val="0"/>
        <w:pageBreakBefore w:val="0"/>
        <w:numPr>
          <w:ilvl w:val="0"/>
          <w:numId w:val="25"/>
        </w:numPr>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根据地下水水质事故状态影响预测、地下水流向和场地的分布特征及污染类型，应在地下水流向的下游设置地下水监测设施和抽排水设施。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放大效应”和次生、衍生灾害，尽快恢复当地正常秩序。</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假设场地内发生地下水突发污染事故，为将场地突发污染事故对下游地下水可能产生的影响降到最低，在发生污染事件时，建设单位首先尽快对地表污染物进行收集和处理，修缮发生污染的设施和防渗结构。同时，对已经渗入地下的污染物，建设单位将通过设置截获井的方式将污染物抽出并进行处理。截获井分为以下几种，配合使用。</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上游水流截获井：设置在污染点的上游，用以截取上游水流（未污染）防止更多的地下水流向污染区受到污染，同时减少污染点处的受污染地下水的抽出量，减少处理费用。</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中心污染截获井：设置在污染点处，用以抽出受污染的地下水，并对受污染的地下水进行处理。</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下游污染截获井：设置在污染点下游，通过抽水在下游形成一个水槽，防止受污染地下水向下游运移和扩散。</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一旦厂区发生事故泄漏，通过设置水污染截获井，对污染的地下水进行抽出处理后回用，力将地下水污染控制在有限范围内，做到地下水污染早发现，早治理、污染范围不出厂，将项目对地下水的污染降到最低。</w:t>
      </w:r>
    </w:p>
    <w:p>
      <w:pPr>
        <w:keepNext w:val="0"/>
        <w:keepLines w:val="0"/>
        <w:pageBreakBefore w:val="0"/>
        <w:kinsoku/>
        <w:wordWrap/>
        <w:overflowPunct/>
        <w:topLinePunct w:val="0"/>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drawing>
          <wp:inline distT="0" distB="0" distL="0" distR="0">
            <wp:extent cx="3937000" cy="23495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1" cstate="print">
                      <a:extLst>
                        <a:ext uri="{28A0092B-C50C-407E-A947-70E740481C1C}">
                          <a14:useLocalDpi xmlns:a14="http://schemas.microsoft.com/office/drawing/2010/main" val="0"/>
                        </a:ext>
                      </a:extLst>
                    </a:blip>
                    <a:srcRect t="5598"/>
                    <a:stretch>
                      <a:fillRect/>
                    </a:stretch>
                  </pic:blipFill>
                  <pic:spPr>
                    <a:xfrm>
                      <a:off x="0" y="0"/>
                      <a:ext cx="3937000" cy="2349500"/>
                    </a:xfrm>
                    <a:prstGeom prst="rect">
                      <a:avLst/>
                    </a:prstGeom>
                    <a:noFill/>
                    <a:ln>
                      <a:noFill/>
                    </a:ln>
                  </pic:spPr>
                </pic:pic>
              </a:graphicData>
            </a:graphic>
          </wp:inline>
        </w:drawing>
      </w:r>
    </w:p>
    <w:p>
      <w:pPr>
        <w:keepNext w:val="0"/>
        <w:keepLines w:val="0"/>
        <w:pageBreakBefore w:val="0"/>
        <w:kinsoku/>
        <w:wordWrap/>
        <w:overflowPunct/>
        <w:topLinePunct w:val="0"/>
        <w:bidi w:val="0"/>
        <w:adjustRightInd w:val="0"/>
        <w:snapToGrid w:val="0"/>
        <w:spacing w:line="360" w:lineRule="auto"/>
        <w:ind w:firstLine="422" w:firstLineChars="200"/>
        <w:jc w:val="center"/>
        <w:textAlignment w:val="auto"/>
        <w:outlineLvl w:val="9"/>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图6.2-</w:t>
      </w:r>
      <w:r>
        <w:rPr>
          <w:rFonts w:hint="eastAsia" w:ascii="Times New Roman" w:hAnsi="Times New Roman" w:eastAsia="宋体" w:cs="Times New Roman"/>
          <w:b/>
          <w:color w:val="000000" w:themeColor="text1"/>
          <w:sz w:val="21"/>
          <w:szCs w:val="21"/>
          <w:lang w:val="en-US" w:eastAsia="zh-CN"/>
        </w:rPr>
        <w:t>1</w:t>
      </w:r>
      <w:r>
        <w:rPr>
          <w:rFonts w:hint="default" w:ascii="Times New Roman" w:hAnsi="Times New Roman" w:eastAsia="宋体" w:cs="Times New Roman"/>
          <w:b/>
          <w:color w:val="000000" w:themeColor="text1"/>
          <w:sz w:val="21"/>
          <w:szCs w:val="21"/>
        </w:rPr>
        <w:t xml:space="preserve"> 水污染截获井布置示意图</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水污染截获井的结构、布局、数量和抽水量由有资质的水文地质勘查单位详细勘察后，结合过场地设施布局、污染物的物化性质和运移特性进行设计。</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（4）组织管理及检查要求</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项目建设单位要加强应急预和应急措施的监督管理工作，一旦发生事故，做好地下水应急工作和公开信息工作。</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前述监测结果，应按项目有关规定及时建立档案，并定期向公司安全环保部门汇报，对于常规监测数据应该进行公开，信息公开计划应至少包括建设项目特征因子的地下水环境监测值。如发现异常或发生事故，加密监测频次，改为每天监测一次，并分析污染原因，确定泄漏污染源，及时采取应急措施。</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为了及时准确地掌握项目厂址及下游地区地下水环境质量状况和地下水体中污染物的动态变化，应建立覆盖全矿区的地下水长期监控系统，建立完善的监测制度，配备先进的检测仪器和设备，以便及时发现，及时控制。</w:t>
      </w:r>
    </w:p>
    <w:p>
      <w:pPr>
        <w:pStyle w:val="5"/>
        <w:rPr>
          <w:rFonts w:hint="default"/>
          <w:color w:val="000000" w:themeColor="text1"/>
          <w:lang w:val="en-US" w:eastAsia="zh-CN"/>
        </w:rPr>
      </w:pPr>
      <w:bookmarkStart w:id="830" w:name="_Toc17562"/>
      <w:r>
        <w:rPr>
          <w:rFonts w:hint="default"/>
          <w:color w:val="000000" w:themeColor="text1"/>
          <w:lang w:val="en-US" w:eastAsia="zh-CN"/>
        </w:rPr>
        <w:t>固废处理措施可行性分析</w:t>
      </w:r>
      <w:bookmarkEnd w:id="830"/>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（1）采矿废石</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扩建项目</w:t>
      </w:r>
      <w:r>
        <w:rPr>
          <w:rFonts w:hint="default" w:ascii="Times New Roman" w:hAnsi="Times New Roman" w:eastAsia="宋体" w:cs="Times New Roman"/>
          <w:color w:val="000000" w:themeColor="text1"/>
          <w:sz w:val="24"/>
          <w:szCs w:val="24"/>
        </w:rPr>
        <w:t>废石</w:t>
      </w:r>
      <w:r>
        <w:rPr>
          <w:rFonts w:hint="eastAsia" w:ascii="Times New Roman" w:hAnsi="Times New Roman" w:eastAsia="宋体" w:cs="Times New Roman"/>
          <w:color w:val="000000" w:themeColor="text1"/>
          <w:sz w:val="24"/>
          <w:szCs w:val="24"/>
          <w:lang w:val="en-US" w:eastAsia="zh-CN"/>
        </w:rPr>
        <w:t>除少量用于矿区基建和修路外，其余全部</w:t>
      </w:r>
      <w:r>
        <w:rPr>
          <w:rFonts w:hint="default" w:ascii="Times New Roman" w:hAnsi="Times New Roman" w:eastAsia="宋体" w:cs="Times New Roman"/>
          <w:color w:val="000000" w:themeColor="text1"/>
          <w:sz w:val="24"/>
          <w:szCs w:val="24"/>
        </w:rPr>
        <w:t>在井下用来填充硐室和废弃巷道等</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采矿废石不外排</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现有项目的三个废石场加强管控，按照土地复垦文件逐步进行生态恢复，目前已开始按照《旬阳县赤岩镇水磨河口构皮沟毒重石矿矿山地质环境保护与土地复垦方案》对废石场进行生态恢复。</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（2）废机油</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废机油经收集后暂存于危险废物暂存</w:t>
      </w:r>
      <w:r>
        <w:rPr>
          <w:rFonts w:hint="eastAsia" w:ascii="Times New Roman" w:hAnsi="Times New Roman" w:eastAsia="宋体" w:cs="Times New Roman"/>
          <w:color w:val="000000" w:themeColor="text1"/>
          <w:sz w:val="24"/>
          <w:szCs w:val="24"/>
          <w:lang w:val="en-US" w:eastAsia="zh-CN"/>
        </w:rPr>
        <w:t>间</w:t>
      </w:r>
      <w:r>
        <w:rPr>
          <w:rFonts w:hint="default" w:ascii="Times New Roman" w:hAnsi="Times New Roman" w:eastAsia="宋体" w:cs="Times New Roman"/>
          <w:color w:val="000000" w:themeColor="text1"/>
          <w:sz w:val="24"/>
          <w:szCs w:val="24"/>
        </w:rPr>
        <w:t>内，并</w:t>
      </w:r>
      <w:r>
        <w:rPr>
          <w:rFonts w:hint="eastAsia" w:ascii="Times New Roman" w:hAnsi="Times New Roman" w:eastAsia="宋体" w:cs="Times New Roman"/>
          <w:color w:val="000000" w:themeColor="text1"/>
          <w:sz w:val="24"/>
          <w:szCs w:val="24"/>
          <w:lang w:val="en-US" w:eastAsia="zh-CN"/>
        </w:rPr>
        <w:t>应张贴</w:t>
      </w:r>
      <w:r>
        <w:rPr>
          <w:rFonts w:hint="default" w:ascii="Times New Roman" w:hAnsi="Times New Roman" w:eastAsia="宋体" w:cs="Times New Roman"/>
          <w:color w:val="000000" w:themeColor="text1"/>
          <w:sz w:val="24"/>
          <w:szCs w:val="24"/>
        </w:rPr>
        <w:t>有明显的标识。应严格按照《危险废物贮存污染控制标准》</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GB18597-2001</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的要求进行设置，在矿区暂存后，最终交由有资质单位处置。处理措施合理可行。</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（3）生活垃圾</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项目职工生活产生的生活垃圾分类收集及垃圾箱，定期交环卫部门处置。</w:t>
      </w:r>
    </w:p>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heme="minorEastAsia" w:hAnsiTheme="minorEastAsia" w:eastAsiaTheme="minorEastAsia" w:cstheme="minorEastAsia"/>
          <w:color w:val="000000" w:themeColor="text1"/>
          <w:szCs w:val="24"/>
        </w:rPr>
      </w:pPr>
      <w:r>
        <w:rPr>
          <w:rFonts w:hint="default" w:ascii="Times New Roman" w:hAnsi="Times New Roman" w:eastAsia="宋体" w:cs="Times New Roman"/>
          <w:color w:val="000000" w:themeColor="text1"/>
          <w:sz w:val="24"/>
          <w:szCs w:val="24"/>
        </w:rPr>
        <w:t>综上，本项目产生的固体废物通过合理的布置并且严格落实各项环保措施，不会对环境造成二次污染。</w:t>
      </w:r>
    </w:p>
    <w:p>
      <w:pPr>
        <w:pStyle w:val="5"/>
        <w:rPr>
          <w:rFonts w:hint="default"/>
          <w:color w:val="000000" w:themeColor="text1"/>
        </w:rPr>
      </w:pPr>
      <w:bookmarkStart w:id="831" w:name="_Toc6700"/>
      <w:r>
        <w:rPr>
          <w:rFonts w:hint="default"/>
          <w:color w:val="000000" w:themeColor="text1"/>
        </w:rPr>
        <w:t>土壤治理措施可行性分析</w:t>
      </w:r>
      <w:bookmarkEnd w:id="83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土壤治理措施主要为通过加强对废水、粉尘、固废的管理，以及严格按照操作流程进行采空区的回填，间接减少</w:t>
      </w:r>
      <w:r>
        <w:rPr>
          <w:rFonts w:hint="eastAsia" w:ascii="Times New Roman" w:hAnsi="Times New Roman" w:eastAsia="宋体" w:cs="Times New Roman"/>
          <w:color w:val="000000" w:themeColor="text1"/>
          <w:sz w:val="24"/>
          <w:szCs w:val="24"/>
          <w:lang w:val="en-US" w:eastAsia="zh-CN"/>
        </w:rPr>
        <w:t>采空区塌陷产生的地表塌陷</w:t>
      </w:r>
      <w:r>
        <w:rPr>
          <w:rFonts w:hint="default" w:ascii="Times New Roman" w:hAnsi="Times New Roman" w:eastAsia="宋体" w:cs="Times New Roman"/>
          <w:color w:val="000000" w:themeColor="text1"/>
          <w:sz w:val="24"/>
          <w:szCs w:val="24"/>
        </w:rPr>
        <w:t>对土壤的影响。土壤的治理措施应该首先针对关键污染源、污染物的迁移途径提出源头控制，首先应从管理角度出发，对上岗人员进行岗前培训，按照要求对设备进行维修，提高工作人员素养，不将生活垃圾随意丢弃。加强设备的日常保养，使其在良好的状态下运行，减少维修的频次。危险废物暂存</w:t>
      </w:r>
      <w:r>
        <w:rPr>
          <w:rFonts w:hint="eastAsia" w:ascii="Times New Roman" w:hAnsi="Times New Roman" w:eastAsia="宋体" w:cs="Times New Roman"/>
          <w:color w:val="000000" w:themeColor="text1"/>
          <w:sz w:val="24"/>
          <w:szCs w:val="24"/>
          <w:lang w:val="en-US" w:eastAsia="zh-CN"/>
        </w:rPr>
        <w:t>间</w:t>
      </w:r>
      <w:r>
        <w:rPr>
          <w:rFonts w:hint="default" w:ascii="Times New Roman" w:hAnsi="Times New Roman" w:eastAsia="宋体" w:cs="Times New Roman"/>
          <w:color w:val="000000" w:themeColor="text1"/>
          <w:sz w:val="24"/>
          <w:szCs w:val="24"/>
        </w:rPr>
        <w:t>严格按照相关规范进行，以防后期危险废物贮存过程中出现渗漏。</w:t>
      </w:r>
    </w:p>
    <w:p>
      <w:pPr>
        <w:pStyle w:val="5"/>
        <w:rPr>
          <w:rFonts w:hint="default"/>
          <w:color w:val="000000" w:themeColor="text1"/>
        </w:rPr>
      </w:pPr>
      <w:bookmarkStart w:id="832" w:name="_Toc7397"/>
      <w:r>
        <w:rPr>
          <w:rFonts w:hint="default"/>
          <w:color w:val="000000" w:themeColor="text1"/>
        </w:rPr>
        <w:t>生态治理措施可行性分析</w:t>
      </w:r>
      <w:bookmarkEnd w:id="8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采矿期对生态的破坏主要体现在</w:t>
      </w:r>
      <w:r>
        <w:rPr>
          <w:rFonts w:hint="eastAsia" w:ascii="Times New Roman" w:hAnsi="Times New Roman" w:eastAsia="宋体" w:cs="Times New Roman"/>
          <w:color w:val="000000" w:themeColor="text1"/>
          <w:sz w:val="24"/>
          <w:szCs w:val="24"/>
          <w:lang w:eastAsia="zh-CN"/>
        </w:rPr>
        <w:t>土地的占用和植被的挖损。</w:t>
      </w:r>
      <w:r>
        <w:rPr>
          <w:rFonts w:hint="default" w:ascii="Times New Roman" w:hAnsi="Times New Roman" w:eastAsia="宋体" w:cs="Times New Roman"/>
          <w:color w:val="000000" w:themeColor="text1"/>
          <w:sz w:val="24"/>
          <w:szCs w:val="24"/>
        </w:rPr>
        <w:t>由于本项目位于汉江南岸大巴山北麓，区域植被较发育，水源涵养量较丰富，本工程的建设</w:t>
      </w:r>
      <w:r>
        <w:rPr>
          <w:rFonts w:hint="eastAsia" w:ascii="Times New Roman" w:hAnsi="Times New Roman" w:eastAsia="宋体" w:cs="Times New Roman"/>
          <w:color w:val="000000" w:themeColor="text1"/>
          <w:sz w:val="24"/>
          <w:szCs w:val="24"/>
          <w:lang w:eastAsia="zh-CN"/>
        </w:rPr>
        <w:t>占地面积相对较小，</w:t>
      </w:r>
      <w:r>
        <w:rPr>
          <w:rFonts w:hint="default" w:ascii="Times New Roman" w:hAnsi="Times New Roman" w:eastAsia="宋体" w:cs="Times New Roman"/>
          <w:color w:val="000000" w:themeColor="text1"/>
          <w:sz w:val="24"/>
          <w:szCs w:val="24"/>
        </w:rPr>
        <w:t>对当地区域地表植被水源涵养能力的影响甚微。从局部的采场环境来看，植被的减少加剧了采场环境的水土流失，减弱了绿色植物的光合作用等。</w:t>
      </w:r>
      <w:r>
        <w:rPr>
          <w:rFonts w:hint="eastAsia" w:ascii="Times New Roman" w:hAnsi="Times New Roman" w:eastAsia="宋体" w:cs="Times New Roman"/>
          <w:color w:val="000000" w:themeColor="text1"/>
          <w:sz w:val="24"/>
          <w:szCs w:val="24"/>
          <w:lang w:eastAsia="zh-CN"/>
        </w:rPr>
        <w:t>地</w:t>
      </w:r>
      <w:r>
        <w:rPr>
          <w:rFonts w:hint="eastAsia" w:ascii="Times New Roman" w:hAnsi="Times New Roman" w:eastAsia="宋体" w:cs="Times New Roman"/>
          <w:color w:val="000000" w:themeColor="text1"/>
          <w:sz w:val="24"/>
          <w:szCs w:val="24"/>
          <w:lang w:val="en-US" w:eastAsia="zh-CN"/>
        </w:rPr>
        <w:t>表的机械车辆和人员活动会影响野生动物，本项目占地范围较小，无珍惜保护野生动物，合理控制噪声，减少对野生动物的影响</w:t>
      </w:r>
      <w:r>
        <w:rPr>
          <w:rFonts w:hint="default" w:ascii="Times New Roman" w:hAnsi="Times New Roman" w:eastAsia="宋体" w:cs="Times New Roman"/>
          <w:color w:val="000000" w:themeColor="text1"/>
          <w:sz w:val="24"/>
          <w:szCs w:val="24"/>
        </w:rPr>
        <w:t>。随着采矿活动的结束，将对原有的场地进行恢复，</w:t>
      </w:r>
      <w:r>
        <w:rPr>
          <w:rFonts w:hint="eastAsia" w:ascii="Times New Roman" w:hAnsi="Times New Roman" w:eastAsia="宋体" w:cs="Times New Roman"/>
          <w:color w:val="000000" w:themeColor="text1"/>
          <w:sz w:val="24"/>
          <w:szCs w:val="24"/>
          <w:lang w:eastAsia="zh-CN"/>
        </w:rPr>
        <w:t>植物</w:t>
      </w:r>
      <w:r>
        <w:rPr>
          <w:rFonts w:hint="default" w:ascii="Times New Roman" w:hAnsi="Times New Roman" w:eastAsia="宋体" w:cs="Times New Roman"/>
          <w:color w:val="000000" w:themeColor="text1"/>
          <w:sz w:val="24"/>
          <w:szCs w:val="24"/>
        </w:rPr>
        <w:t>资源也将陆续恢复。采矿活动可能引起的地质灾害通过选择合理可行的开采方法和支护措施，以及严格按照《陕西省旬阳县赤岩镇水磨河口构皮沟毒重石矿矿产资源开发利用方案》中提出的相关要求实施，地址灾害影响在可控范围内。</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采空区地质灾害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①严格按矿山开采设计和采矿安全规程要求开展井下作业，在采用浅孔留矿法进行矿体回采时，留足安全矿柱；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②在采空区地面塌陷范围内，不准作为永久建筑的建设用地，凡永久性建筑工程</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项目均应采取避让措施。如无法避让时，必须采取有效的工程防治措施；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③对采空区或巷道等地下工程进行专门测量，并及时上报有关部门备案，采空区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影响范围内作为建筑场地的适宜性应作专门研究，未经论证及审批，禁止在其地面堆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载和建筑，防止采空区地面塌陷引发灾害；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④为防止地表塌陷和大面积地压活动，井下采空区应进行充填；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⑤对地面移动界线范围内进行巡视，对出现异常部位进行重点监测，对出现的裂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缝及时回填。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⑥采矿工作中要绘制空区观测图和观测记录，派专业人员负责空区观测工作，定</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期巡查采动影响范围是否有地面塌陷的出现，做好巡查记录。生产单位每半年做一次</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塌陷区平断面图，预测塌陷深度及范围，及时掌握塌陷区的发展情况，做好地表变形</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预测预报工作。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⑦负责矿山安全的人员应在预测地表移动范围布观测点进行定期地表变形观测。</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对地表的变形地段及时设置围栏，并竖立安全警示标志，严禁在采空区内放牧、种地</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和机械作业等。以免人畜误入造成伤害事故；在开采区地面移动影响范围各道路入口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设置警示牌，提示注意安全。</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现有工程废石场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①对滑坡、崩塌、不稳定斜坡地段进行工程治理，消除隐患</w:t>
      </w:r>
      <w:r>
        <w:rPr>
          <w:rFonts w:hint="eastAsia" w:ascii="Times New Roman" w:hAnsi="Times New Roman" w:eastAsia="宋体" w:cs="Times New Roman"/>
          <w:color w:val="000000" w:themeColor="text1"/>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②</w:t>
      </w:r>
      <w:r>
        <w:rPr>
          <w:rFonts w:hint="eastAsia" w:ascii="Times New Roman" w:hAnsi="Times New Roman" w:eastAsia="宋体" w:cs="Times New Roman"/>
          <w:color w:val="000000" w:themeColor="text1"/>
          <w:sz w:val="24"/>
          <w:szCs w:val="24"/>
          <w:lang w:val="en-US" w:eastAsia="zh-CN"/>
        </w:rPr>
        <w:t>定期对废石场的拦渣坝进行检查维护，有裂缝，位移等现象，应及时进行修复。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③加强堆渣场地的边坡稳定性监测和</w:t>
      </w:r>
      <w:r>
        <w:rPr>
          <w:rFonts w:hint="default" w:ascii="Times New Roman" w:hAnsi="Times New Roman" w:eastAsia="宋体" w:cs="Times New Roman"/>
          <w:color w:val="000000" w:themeColor="text1"/>
          <w:sz w:val="24"/>
          <w:szCs w:val="24"/>
          <w:lang w:val="en-US" w:eastAsia="zh-CN"/>
        </w:rPr>
        <w:t>挡渣坝</w:t>
      </w:r>
      <w:r>
        <w:rPr>
          <w:rFonts w:hint="default" w:ascii="Times New Roman" w:hAnsi="Times New Roman" w:eastAsia="宋体" w:cs="Times New Roman"/>
          <w:color w:val="000000" w:themeColor="text1"/>
          <w:sz w:val="24"/>
          <w:szCs w:val="24"/>
        </w:rPr>
        <w:t>的稳定性监测，形成系统的监测资料，</w:t>
      </w:r>
      <w:r>
        <w:rPr>
          <w:rFonts w:hint="default" w:ascii="Times New Roman" w:hAnsi="Times New Roman" w:eastAsia="宋体" w:cs="Times New Roman"/>
          <w:color w:val="000000" w:themeColor="text1"/>
          <w:sz w:val="24"/>
          <w:szCs w:val="24"/>
          <w:lang w:val="en-US" w:eastAsia="zh-CN"/>
        </w:rPr>
        <w:t>形成记录档案，</w:t>
      </w:r>
      <w:r>
        <w:rPr>
          <w:rFonts w:hint="default" w:ascii="Times New Roman" w:hAnsi="Times New Roman" w:eastAsia="宋体" w:cs="Times New Roman"/>
          <w:color w:val="000000" w:themeColor="text1"/>
          <w:sz w:val="24"/>
          <w:szCs w:val="24"/>
        </w:rPr>
        <w:t>做到防范于未然。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 4 \* GB3 \* MERGEFORMAT </w:instrText>
      </w:r>
      <w:r>
        <w:rPr>
          <w:rFonts w:hint="default" w:ascii="Times New Roman" w:hAnsi="Times New Roman" w:eastAsia="宋体" w:cs="Times New Roman"/>
          <w:color w:val="000000" w:themeColor="text1"/>
          <w:sz w:val="24"/>
          <w:szCs w:val="24"/>
          <w:lang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eastAsia="zh-CN"/>
        </w:rPr>
        <w:fldChar w:fldCharType="end"/>
      </w:r>
      <w:r>
        <w:rPr>
          <w:rFonts w:hint="default" w:ascii="Times New Roman" w:hAnsi="Times New Roman" w:eastAsia="宋体" w:cs="Times New Roman"/>
          <w:color w:val="000000" w:themeColor="text1"/>
          <w:sz w:val="24"/>
          <w:szCs w:val="24"/>
          <w:lang w:eastAsia="zh-CN"/>
        </w:rPr>
        <w:t>按照</w:t>
      </w:r>
      <w:r>
        <w:rPr>
          <w:rFonts w:hint="default" w:ascii="Times New Roman" w:hAnsi="Times New Roman" w:eastAsia="宋体" w:cs="Times New Roman"/>
          <w:color w:val="000000" w:themeColor="text1"/>
          <w:sz w:val="24"/>
          <w:szCs w:val="24"/>
        </w:rPr>
        <w:t>《陕西省旬阳县赤岩镇水磨河口构皮沟毒重石矿矿产资源开发利用方案》</w:t>
      </w:r>
      <w:r>
        <w:rPr>
          <w:rFonts w:hint="eastAsia" w:ascii="Times New Roman" w:hAnsi="Times New Roman" w:eastAsia="宋体" w:cs="Times New Roman"/>
          <w:color w:val="000000" w:themeColor="text1"/>
          <w:sz w:val="24"/>
          <w:szCs w:val="24"/>
          <w:lang w:eastAsia="zh-CN"/>
        </w:rPr>
        <w:t>对废石场进行恢复治理。</w:t>
      </w:r>
    </w:p>
    <w:p>
      <w:pPr>
        <w:pStyle w:val="4"/>
        <w:rPr>
          <w:rFonts w:hint="default"/>
          <w:color w:val="000000" w:themeColor="text1"/>
        </w:rPr>
      </w:pPr>
      <w:bookmarkStart w:id="833" w:name="_Toc20465"/>
      <w:bookmarkStart w:id="834" w:name="_Toc9046"/>
      <w:r>
        <w:rPr>
          <w:rFonts w:hint="default"/>
          <w:color w:val="000000" w:themeColor="text1"/>
        </w:rPr>
        <w:t>退役期环保措施可行性</w:t>
      </w:r>
      <w:bookmarkEnd w:id="833"/>
      <w:bookmarkEnd w:id="834"/>
    </w:p>
    <w:p>
      <w:pPr>
        <w:pStyle w:val="4"/>
        <w:pageBreakBefore w:val="0"/>
        <w:widowControl w:val="0"/>
        <w:numPr>
          <w:ilvl w:val="1"/>
          <w:numId w:val="0"/>
        </w:numPr>
        <w:kinsoku/>
        <w:wordWrap/>
        <w:overflowPunct/>
        <w:topLinePunct w:val="0"/>
        <w:autoSpaceDE/>
        <w:autoSpaceDN/>
        <w:bidi w:val="0"/>
        <w:adjustRightInd w:val="0"/>
        <w:snapToGrid w:val="0"/>
        <w:spacing w:beforeLines="0" w:after="0" w:line="360" w:lineRule="auto"/>
        <w:ind w:left="0" w:leftChars="0" w:firstLine="480" w:firstLineChars="200"/>
        <w:textAlignment w:val="auto"/>
        <w:rPr>
          <w:rFonts w:hint="default" w:ascii="Times New Roman" w:hAnsi="Times New Roman" w:eastAsia="宋体" w:cs="Times New Roman"/>
          <w:b w:val="0"/>
          <w:bCs/>
          <w:color w:val="FF0000"/>
          <w:sz w:val="24"/>
          <w:szCs w:val="24"/>
          <w:lang w:val="en-US" w:eastAsia="zh-CN"/>
        </w:rPr>
      </w:pPr>
      <w:bookmarkStart w:id="835" w:name="_Toc22882"/>
      <w:bookmarkStart w:id="836" w:name="_Toc29586"/>
      <w:r>
        <w:rPr>
          <w:rFonts w:hint="eastAsia" w:cs="Times New Roman"/>
          <w:b w:val="0"/>
          <w:bCs/>
          <w:color w:val="FF0000"/>
          <w:sz w:val="24"/>
          <w:szCs w:val="24"/>
          <w:lang w:val="en-US" w:eastAsia="zh-CN"/>
        </w:rPr>
        <w:t>（1）土壤与植被恢复措施</w:t>
      </w:r>
      <w:bookmarkEnd w:id="835"/>
    </w:p>
    <w:bookmarkEnd w:id="836"/>
    <w:p>
      <w:pPr>
        <w:pageBreakBefore w:val="0"/>
        <w:widowControl w:val="0"/>
        <w:numPr>
          <w:ilvl w:val="0"/>
          <w:numId w:val="27"/>
        </w:numPr>
        <w:tabs>
          <w:tab w:val="left" w:pos="633"/>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依据土地复垦适宜性评价结果和土地权属人意愿，确定拟复垦土地的地类、面积和复垦率，落实复垦后土地利用结构调整使其达到可利用的最佳状态，努力创建绿色矿山、和谐矿山，使矿业经济持续、合理发展，达到预期的经济、社会和生态环境效益</w:t>
      </w:r>
      <w:r>
        <w:rPr>
          <w:rFonts w:hint="eastAsia" w:ascii="Times New Roman" w:hAnsi="Times New Roman" w:eastAsia="宋体" w:cs="Times New Roman"/>
          <w:color w:val="FF0000"/>
          <w:sz w:val="24"/>
          <w:szCs w:val="24"/>
          <w:lang w:eastAsia="zh-CN"/>
        </w:rPr>
        <w:t>。</w:t>
      </w:r>
    </w:p>
    <w:p>
      <w:pPr>
        <w:pageBreakBefore w:val="0"/>
        <w:widowControl w:val="0"/>
        <w:numPr>
          <w:ilvl w:val="0"/>
          <w:numId w:val="27"/>
        </w:numPr>
        <w:tabs>
          <w:tab w:val="left" w:pos="633"/>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闭坑后，将废弃的机房、配电室、值班室、临时矿场彩钢房拆除，拆除废料运往建筑垃圾排放场集中排放，可利用的尽量回收利用。机械凿除场地混凝土硬化层，清</w:t>
      </w:r>
    </w:p>
    <w:p>
      <w:pPr>
        <w:pageBreakBefore w:val="0"/>
        <w:widowControl w:val="0"/>
        <w:numPr>
          <w:ilvl w:val="0"/>
          <w:numId w:val="0"/>
        </w:numPr>
        <w:tabs>
          <w:tab w:val="left" w:pos="633"/>
        </w:tabs>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除场地上残留的油迹、杂物等，削放边坡，找平复垦场地。</w:t>
      </w:r>
    </w:p>
    <w:p>
      <w:pPr>
        <w:pageBreakBefore w:val="0"/>
        <w:widowControl w:val="0"/>
        <w:numPr>
          <w:ilvl w:val="0"/>
          <w:numId w:val="27"/>
        </w:numPr>
        <w:tabs>
          <w:tab w:val="left" w:pos="633"/>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val="en-US" w:eastAsia="zh-CN"/>
        </w:rPr>
        <w:t>土壤重构工程，土地复垦时，先在场地平台面均匀铺设农作物秸秆，每公顷用量为0.5t。农作物秸秆可以从当地收购。然后进行覆土，覆土厚度30cm。覆土可从当地工地处或者附近农民建房时，将表层土壤提前购买。为提高土壤肥力，可采取增施无机化肥提高土壤肥力，复垦施工期每公顷施150kg无机复合肥。也可增施有机肥料，但未经腐熟处理的畜禽粪便不可直接施入耕地，腐熟处理后的人粪尿可以作耕地基肥。轮作倒茬，用养结合，是土壤培肥、土壤协调养分的有效途径。秸秆还田，改善土壤质量和肥力。秸秆经机械粉碎后，均匀抛撒、翻耕到土壤中，可疏松土壤，增加有机质含量，改善土壤理化性状和保水保肥的能力，提高农作物产量之目的。</w:t>
      </w:r>
    </w:p>
    <w:p>
      <w:pPr>
        <w:pageBreakBefore w:val="0"/>
        <w:widowControl w:val="0"/>
        <w:numPr>
          <w:ilvl w:val="0"/>
          <w:numId w:val="27"/>
        </w:numPr>
        <w:tabs>
          <w:tab w:val="left" w:pos="633"/>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val="en-US" w:eastAsia="zh-CN"/>
        </w:rPr>
        <w:t>耕地重建</w:t>
      </w:r>
      <w:r>
        <w:rPr>
          <w:rFonts w:hint="eastAsia" w:ascii="Times New Roman" w:hAnsi="Times New Roman" w:eastAsia="宋体" w:cs="Times New Roman"/>
          <w:color w:val="FF0000"/>
          <w:sz w:val="24"/>
          <w:szCs w:val="24"/>
          <w:lang w:eastAsia="zh-CN"/>
        </w:rPr>
        <w:t>：覆土完成后，可种植当地的农作物，因地制宜，据现场调查，矿区周边种植玉米、大豆等较多，故此，可进行常见农作物的种植，效果欠佳时应聘请农业方面专家指导进行土壤肥力重建工作，保证复垦土壤达到旱地要求。</w:t>
      </w:r>
    </w:p>
    <w:p>
      <w:pPr>
        <w:pStyle w:val="5"/>
        <w:numPr>
          <w:ilvl w:val="2"/>
          <w:numId w:val="0"/>
        </w:numPr>
        <w:ind w:leftChars="0"/>
        <w:rPr>
          <w:rFonts w:hint="default"/>
          <w:color w:val="FF0000"/>
        </w:rPr>
      </w:pPr>
      <w:bookmarkStart w:id="837" w:name="_Toc15255"/>
      <w:r>
        <w:rPr>
          <w:color w:val="FF0000"/>
        </w:rPr>
        <w:drawing>
          <wp:inline distT="0" distB="0" distL="114300" distR="114300">
            <wp:extent cx="5755005" cy="2502535"/>
            <wp:effectExtent l="19050" t="19050" r="36195" b="3111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62"/>
                    <a:stretch>
                      <a:fillRect/>
                    </a:stretch>
                  </pic:blipFill>
                  <pic:spPr>
                    <a:xfrm>
                      <a:off x="0" y="0"/>
                      <a:ext cx="5755005" cy="2502535"/>
                    </a:xfrm>
                    <a:prstGeom prst="rect">
                      <a:avLst/>
                    </a:prstGeom>
                    <a:noFill/>
                    <a:ln w="19050">
                      <a:solidFill>
                        <a:schemeClr val="tx1"/>
                      </a:solidFill>
                    </a:ln>
                  </pic:spPr>
                </pic:pic>
              </a:graphicData>
            </a:graphic>
          </wp:inline>
        </w:drawing>
      </w:r>
      <w:bookmarkEnd w:id="837"/>
    </w:p>
    <w:p>
      <w:pPr>
        <w:pageBreakBefore w:val="0"/>
        <w:widowControl w:val="0"/>
        <w:numPr>
          <w:ilvl w:val="0"/>
          <w:numId w:val="0"/>
        </w:numPr>
        <w:tabs>
          <w:tab w:val="left" w:pos="633"/>
        </w:tabs>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图6.3-1  耕地重建工程设计图</w:t>
      </w:r>
    </w:p>
    <w:p>
      <w:pPr>
        <w:keepNext w:val="0"/>
        <w:keepLines w:val="0"/>
        <w:pageBreakBefore w:val="0"/>
        <w:widowControl w:val="0"/>
        <w:numPr>
          <w:ilvl w:val="0"/>
          <w:numId w:val="27"/>
        </w:numPr>
        <w:tabs>
          <w:tab w:val="left" w:pos="633"/>
        </w:tabs>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val="en-US" w:eastAsia="zh-CN"/>
        </w:rPr>
        <w:t>林地重建工程：</w:t>
      </w:r>
      <w:r>
        <w:rPr>
          <w:rFonts w:hint="default" w:ascii="Times New Roman" w:hAnsi="Times New Roman" w:eastAsia="宋体" w:cs="Times New Roman"/>
          <w:color w:val="FF0000"/>
          <w:sz w:val="24"/>
          <w:szCs w:val="24"/>
        </w:rPr>
        <w:t>为了避免因土地翻耕增添泥石流物源，引发泥石流灾害，同时保证绿植成活率，这些复垦单元绿化采用穴状苗植，穴形以方形坑为主，穴边长50cm，坑深度50cm，在复垦区穴植1-2 年生刺槐，初植密度1600棵/hm</w:t>
      </w:r>
      <w:r>
        <w:rPr>
          <w:rFonts w:hint="default" w:ascii="Times New Roman" w:hAnsi="Times New Roman" w:eastAsia="宋体" w:cs="Times New Roman"/>
          <w:color w:val="FF0000"/>
          <w:sz w:val="24"/>
          <w:szCs w:val="24"/>
          <w:vertAlign w:val="superscript"/>
        </w:rPr>
        <w:t xml:space="preserve"> 2</w:t>
      </w:r>
      <w:r>
        <w:rPr>
          <w:rFonts w:hint="default" w:ascii="Times New Roman" w:hAnsi="Times New Roman" w:eastAsia="宋体" w:cs="Times New Roman"/>
          <w:color w:val="FF0000"/>
          <w:sz w:val="24"/>
          <w:szCs w:val="24"/>
        </w:rPr>
        <w:t xml:space="preserve"> ，设计行距2.5m，株距2.5m，穴植乔木设计见图；林间草类以生态自然修复为主。</w:t>
      </w:r>
      <w:r>
        <w:rPr>
          <w:rFonts w:hint="eastAsia" w:ascii="Times New Roman" w:hAnsi="Times New Roman" w:eastAsia="宋体" w:cs="Times New Roman"/>
          <w:color w:val="FF0000"/>
          <w:sz w:val="24"/>
          <w:szCs w:val="24"/>
          <w:lang w:val="en-US" w:eastAsia="zh-CN"/>
        </w:rPr>
        <w:t>植被的选择以刺槐和紫花苜蓿为主，采取林草恢复工程，采用乔灌草结合的方式进行配置。</w:t>
      </w:r>
    </w:p>
    <w:p>
      <w:pPr>
        <w:pStyle w:val="5"/>
        <w:numPr>
          <w:ilvl w:val="2"/>
          <w:numId w:val="0"/>
        </w:numPr>
        <w:ind w:leftChars="0"/>
        <w:rPr>
          <w:rFonts w:hint="default"/>
          <w:color w:val="FF0000"/>
        </w:rPr>
      </w:pPr>
      <w:bookmarkStart w:id="838" w:name="_Toc9887"/>
      <w:r>
        <w:rPr>
          <w:color w:val="FF0000"/>
        </w:rPr>
        <w:drawing>
          <wp:inline distT="0" distB="0" distL="114300" distR="114300">
            <wp:extent cx="5755640" cy="3375660"/>
            <wp:effectExtent l="19050" t="19050" r="35560" b="3429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63"/>
                    <a:stretch>
                      <a:fillRect/>
                    </a:stretch>
                  </pic:blipFill>
                  <pic:spPr>
                    <a:xfrm>
                      <a:off x="0" y="0"/>
                      <a:ext cx="5755640" cy="3375660"/>
                    </a:xfrm>
                    <a:prstGeom prst="rect">
                      <a:avLst/>
                    </a:prstGeom>
                    <a:noFill/>
                    <a:ln w="19050">
                      <a:solidFill>
                        <a:schemeClr val="tx1"/>
                      </a:solidFill>
                    </a:ln>
                  </pic:spPr>
                </pic:pic>
              </a:graphicData>
            </a:graphic>
          </wp:inline>
        </w:drawing>
      </w:r>
      <w:bookmarkEnd w:id="838"/>
    </w:p>
    <w:p>
      <w:pPr>
        <w:pageBreakBefore w:val="0"/>
        <w:widowControl w:val="0"/>
        <w:kinsoku/>
        <w:wordWrap/>
        <w:overflowPunct/>
        <w:topLinePunct w:val="0"/>
        <w:autoSpaceDE/>
        <w:autoSpaceDN/>
        <w:bidi w:val="0"/>
        <w:adjustRightInd w:val="0"/>
        <w:snapToGrid w:val="0"/>
        <w:spacing w:line="360" w:lineRule="auto"/>
        <w:ind w:left="0" w:leftChars="0" w:firstLine="422" w:firstLineChars="20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图</w:t>
      </w:r>
      <w:r>
        <w:rPr>
          <w:rFonts w:hint="eastAsia" w:ascii="Times New Roman" w:hAnsi="Times New Roman" w:eastAsia="宋体" w:cs="Times New Roman"/>
          <w:b/>
          <w:bCs/>
          <w:color w:val="FF0000"/>
          <w:sz w:val="21"/>
          <w:szCs w:val="21"/>
          <w:lang w:val="en-US" w:eastAsia="zh-CN"/>
        </w:rPr>
        <w:t>6.3-2</w:t>
      </w:r>
      <w:r>
        <w:rPr>
          <w:rFonts w:hint="default" w:ascii="Times New Roman" w:hAnsi="Times New Roman" w:eastAsia="宋体" w:cs="Times New Roman"/>
          <w:b/>
          <w:bCs/>
          <w:color w:val="FF0000"/>
          <w:sz w:val="21"/>
          <w:szCs w:val="21"/>
          <w:lang w:val="en-US" w:eastAsia="zh-CN"/>
        </w:rPr>
        <w:t xml:space="preserve">  乔木穴植典型设计图</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f.管护措施：管护工作为复垦后有林地的管护。管护时间为3年，管护主体为矿山企业。管护措施主要为：补种、防虫、防病。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fldChar w:fldCharType="begin"/>
      </w:r>
      <w:r>
        <w:rPr>
          <w:rFonts w:hint="default" w:ascii="Times New Roman" w:hAnsi="Times New Roman" w:eastAsia="宋体" w:cs="Times New Roman"/>
          <w:color w:val="FF0000"/>
          <w:sz w:val="24"/>
          <w:szCs w:val="24"/>
          <w:lang w:val="en-US" w:eastAsia="zh-CN"/>
        </w:rPr>
        <w:instrText xml:space="preserve"> = 1 \* GB3 \* MERGEFORMAT </w:instrText>
      </w:r>
      <w:r>
        <w:rPr>
          <w:rFonts w:hint="default" w:ascii="Times New Roman" w:hAnsi="Times New Roman" w:eastAsia="宋体" w:cs="Times New Roman"/>
          <w:color w:val="FF0000"/>
          <w:sz w:val="24"/>
          <w:szCs w:val="24"/>
          <w:lang w:val="en-US" w:eastAsia="zh-CN"/>
        </w:rPr>
        <w:fldChar w:fldCharType="separate"/>
      </w:r>
      <w:r>
        <w:rPr>
          <w:rFonts w:hint="default" w:ascii="Times New Roman" w:hAnsi="Times New Roman" w:eastAsia="宋体" w:cs="Times New Roman"/>
          <w:color w:val="FF0000"/>
          <w:sz w:val="24"/>
          <w:szCs w:val="24"/>
        </w:rPr>
        <w:t>①</w:t>
      </w:r>
      <w:r>
        <w:rPr>
          <w:rFonts w:hint="default" w:ascii="Times New Roman" w:hAnsi="Times New Roman" w:eastAsia="宋体" w:cs="Times New Roman"/>
          <w:color w:val="FF0000"/>
          <w:sz w:val="24"/>
          <w:szCs w:val="24"/>
          <w:lang w:val="en-US" w:eastAsia="zh-CN"/>
        </w:rPr>
        <w:fldChar w:fldCharType="end"/>
      </w:r>
      <w:r>
        <w:rPr>
          <w:rFonts w:hint="default" w:ascii="Times New Roman" w:hAnsi="Times New Roman" w:eastAsia="宋体" w:cs="Times New Roman"/>
          <w:color w:val="FF0000"/>
          <w:sz w:val="24"/>
          <w:szCs w:val="24"/>
          <w:lang w:val="en-US" w:eastAsia="zh-CN"/>
        </w:rPr>
        <w:t>补种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为保障复垦效果，本方案设计管护期对林地每年补种工程量按全部工程量的 3%</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计，即管护期补种工程量为全部复垦工程量的 9%。</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fldChar w:fldCharType="begin"/>
      </w:r>
      <w:r>
        <w:rPr>
          <w:rFonts w:hint="default" w:ascii="Times New Roman" w:hAnsi="Times New Roman" w:eastAsia="宋体" w:cs="Times New Roman"/>
          <w:color w:val="FF0000"/>
          <w:sz w:val="24"/>
          <w:szCs w:val="24"/>
          <w:lang w:val="en-US" w:eastAsia="zh-CN"/>
        </w:rPr>
        <w:instrText xml:space="preserve"> = 2 \* GB3 \* MERGEFORMAT </w:instrText>
      </w:r>
      <w:r>
        <w:rPr>
          <w:rFonts w:hint="default" w:ascii="Times New Roman" w:hAnsi="Times New Roman" w:eastAsia="宋体" w:cs="Times New Roman"/>
          <w:color w:val="FF0000"/>
          <w:sz w:val="24"/>
          <w:szCs w:val="24"/>
          <w:lang w:val="en-US" w:eastAsia="zh-CN"/>
        </w:rPr>
        <w:fldChar w:fldCharType="separate"/>
      </w:r>
      <w:r>
        <w:rPr>
          <w:rFonts w:hint="default" w:ascii="Times New Roman" w:hAnsi="Times New Roman" w:eastAsia="宋体" w:cs="Times New Roman"/>
          <w:color w:val="FF0000"/>
          <w:sz w:val="24"/>
          <w:szCs w:val="24"/>
        </w:rPr>
        <w:t>②</w:t>
      </w:r>
      <w:r>
        <w:rPr>
          <w:rFonts w:hint="default" w:ascii="Times New Roman" w:hAnsi="Times New Roman" w:eastAsia="宋体" w:cs="Times New Roman"/>
          <w:color w:val="FF0000"/>
          <w:sz w:val="24"/>
          <w:szCs w:val="24"/>
          <w:lang w:val="en-US" w:eastAsia="zh-CN"/>
        </w:rPr>
        <w:fldChar w:fldCharType="end"/>
      </w:r>
      <w:r>
        <w:rPr>
          <w:rFonts w:hint="default" w:ascii="Times New Roman" w:hAnsi="Times New Roman" w:eastAsia="宋体" w:cs="Times New Roman"/>
          <w:color w:val="FF0000"/>
          <w:sz w:val="24"/>
          <w:szCs w:val="24"/>
          <w:lang w:val="en-US" w:eastAsia="zh-CN"/>
        </w:rPr>
        <w:t>浇水</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由于本复垦区位于陕南山区，气候湿润、降雨频繁，因此，方案设计树苗栽植前</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对坑穴用水浇透，以后不需要再进行灌溉浇水，自然降水可以满足树苗生长所需水分。</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如果遇到干旱缺水，可适时进行人工补水，以保证树木正常生长。</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fldChar w:fldCharType="begin"/>
      </w:r>
      <w:r>
        <w:rPr>
          <w:rFonts w:hint="default" w:ascii="Times New Roman" w:hAnsi="Times New Roman" w:eastAsia="宋体" w:cs="Times New Roman"/>
          <w:color w:val="FF0000"/>
          <w:sz w:val="24"/>
          <w:szCs w:val="24"/>
          <w:lang w:val="en-US" w:eastAsia="zh-CN"/>
        </w:rPr>
        <w:instrText xml:space="preserve"> = 3 \* GB3 \* MERGEFORMAT </w:instrText>
      </w:r>
      <w:r>
        <w:rPr>
          <w:rFonts w:hint="default" w:ascii="Times New Roman" w:hAnsi="Times New Roman" w:eastAsia="宋体" w:cs="Times New Roman"/>
          <w:color w:val="FF0000"/>
          <w:sz w:val="24"/>
          <w:szCs w:val="24"/>
          <w:lang w:val="en-US" w:eastAsia="zh-CN"/>
        </w:rPr>
        <w:fldChar w:fldCharType="separate"/>
      </w:r>
      <w:r>
        <w:rPr>
          <w:rFonts w:hint="default" w:ascii="Times New Roman" w:hAnsi="Times New Roman" w:eastAsia="宋体" w:cs="Times New Roman"/>
          <w:color w:val="FF0000"/>
          <w:sz w:val="24"/>
          <w:szCs w:val="24"/>
        </w:rPr>
        <w:t>③</w:t>
      </w:r>
      <w:r>
        <w:rPr>
          <w:rFonts w:hint="default" w:ascii="Times New Roman" w:hAnsi="Times New Roman" w:eastAsia="宋体" w:cs="Times New Roman"/>
          <w:color w:val="FF0000"/>
          <w:sz w:val="24"/>
          <w:szCs w:val="24"/>
          <w:lang w:val="en-US" w:eastAsia="zh-CN"/>
        </w:rPr>
        <w:fldChar w:fldCharType="end"/>
      </w:r>
      <w:r>
        <w:rPr>
          <w:rFonts w:hint="default" w:ascii="Times New Roman" w:hAnsi="Times New Roman" w:eastAsia="宋体" w:cs="Times New Roman"/>
          <w:color w:val="FF0000"/>
          <w:sz w:val="24"/>
          <w:szCs w:val="24"/>
          <w:lang w:val="en-US" w:eastAsia="zh-CN"/>
        </w:rPr>
        <w:t>防</w:t>
      </w:r>
      <w:r>
        <w:rPr>
          <w:rFonts w:hint="eastAsia" w:ascii="Times New Roman" w:hAnsi="Times New Roman" w:eastAsia="宋体" w:cs="Times New Roman"/>
          <w:color w:val="FF0000"/>
          <w:sz w:val="24"/>
          <w:szCs w:val="24"/>
          <w:lang w:val="en-US" w:eastAsia="zh-CN"/>
        </w:rPr>
        <w:t>虫、防病</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在管护期间，对复垦土地要适时防虫、防病，有林地每年杀虫两次。杀虫时间宜</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为6月份一次，9月份一次。施用农药时间以上午9 时～10时和下午4时以后为宜。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采空区</w:t>
      </w:r>
      <w:r>
        <w:rPr>
          <w:rFonts w:hint="eastAsia" w:ascii="Times New Roman" w:hAnsi="Times New Roman" w:eastAsia="宋体" w:cs="Times New Roman"/>
          <w:color w:val="FF0000"/>
          <w:sz w:val="24"/>
          <w:szCs w:val="24"/>
          <w:lang w:val="en-US" w:eastAsia="zh-CN"/>
        </w:rPr>
        <w:t>和矿硐</w:t>
      </w:r>
      <w:r>
        <w:rPr>
          <w:rFonts w:hint="default" w:ascii="Times New Roman" w:hAnsi="Times New Roman" w:eastAsia="宋体" w:cs="Times New Roman"/>
          <w:color w:val="FF0000"/>
          <w:sz w:val="24"/>
          <w:szCs w:val="24"/>
          <w:lang w:val="en-US" w:eastAsia="zh-CN"/>
        </w:rPr>
        <w:t>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①矿山开采结束后，</w:t>
      </w:r>
      <w:r>
        <w:rPr>
          <w:rFonts w:hint="eastAsia" w:ascii="Times New Roman" w:hAnsi="Times New Roman" w:eastAsia="宋体" w:cs="Times New Roman"/>
          <w:color w:val="FF0000"/>
          <w:sz w:val="24"/>
          <w:szCs w:val="24"/>
          <w:lang w:val="en-US" w:eastAsia="zh-CN"/>
        </w:rPr>
        <w:t>对</w:t>
      </w:r>
      <w:r>
        <w:rPr>
          <w:rFonts w:hint="default" w:ascii="Times New Roman" w:hAnsi="Times New Roman" w:eastAsia="宋体" w:cs="Times New Roman"/>
          <w:color w:val="FF0000"/>
          <w:sz w:val="24"/>
          <w:szCs w:val="24"/>
        </w:rPr>
        <w:t>K1 矿体</w:t>
      </w:r>
      <w:r>
        <w:rPr>
          <w:rFonts w:hint="eastAsia" w:ascii="Times New Roman" w:hAnsi="Times New Roman" w:eastAsia="宋体" w:cs="Times New Roman"/>
          <w:color w:val="FF0000"/>
          <w:sz w:val="24"/>
          <w:szCs w:val="24"/>
          <w:lang w:val="en-US" w:eastAsia="zh-CN"/>
        </w:rPr>
        <w:t>和</w:t>
      </w:r>
      <w:r>
        <w:rPr>
          <w:rFonts w:hint="default" w:ascii="Times New Roman" w:hAnsi="Times New Roman" w:eastAsia="宋体" w:cs="Times New Roman"/>
          <w:color w:val="FF0000"/>
          <w:sz w:val="24"/>
          <w:szCs w:val="24"/>
        </w:rPr>
        <w:t>K2 矿体形成平硐口</w:t>
      </w:r>
      <w:r>
        <w:rPr>
          <w:rFonts w:hint="eastAsia" w:ascii="Times New Roman" w:hAnsi="Times New Roman" w:eastAsia="宋体" w:cs="Times New Roman"/>
          <w:color w:val="FF0000"/>
          <w:sz w:val="24"/>
          <w:szCs w:val="24"/>
          <w:lang w:val="en-US" w:eastAsia="zh-CN"/>
        </w:rPr>
        <w:t>和通风口</w:t>
      </w:r>
      <w:r>
        <w:rPr>
          <w:rFonts w:hint="default" w:ascii="Times New Roman" w:hAnsi="Times New Roman" w:eastAsia="宋体" w:cs="Times New Roman"/>
          <w:color w:val="FF0000"/>
          <w:sz w:val="24"/>
          <w:szCs w:val="24"/>
        </w:rPr>
        <w:t>采用M7.5浆砌石封堵，封闭深度约3m。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②在矿区道路入场处、堆渣场、采矿工业场地、采矿地表等影响区域设置警示牌，</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防止无关人员进入矿区范围内发生危险。警示牌应设置在明显易见的位置，材质选用</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不易生锈和破坏的铁皮制成，字体要清楚，内容简洁明了，要起到提醒警示的作用。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FF0000"/>
          <w:lang w:val="en-US" w:eastAsia="zh-CN"/>
        </w:rPr>
      </w:pP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 3 \* GB3 \* MERGEFORMAT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③</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lang w:val="en-US" w:eastAsia="zh-CN"/>
        </w:rPr>
        <w:t>定期</w:t>
      </w:r>
      <w:r>
        <w:rPr>
          <w:rFonts w:hint="eastAsia" w:ascii="Times New Roman" w:hAnsi="Times New Roman" w:eastAsia="宋体" w:cs="Times New Roman"/>
          <w:color w:val="FF0000"/>
          <w:sz w:val="24"/>
          <w:szCs w:val="24"/>
          <w:lang w:val="en-US" w:eastAsia="zh-CN"/>
        </w:rPr>
        <w:t>对采空区、废石场等区域进行监测，有异常及时采取工程措施进行修复。</w:t>
      </w:r>
    </w:p>
    <w:p>
      <w:pPr>
        <w:ind w:firstLine="480"/>
        <w:rPr>
          <w:color w:val="000000" w:themeColor="text1"/>
        </w:rPr>
      </w:pPr>
    </w:p>
    <w:p>
      <w:pPr>
        <w:ind w:firstLine="480"/>
        <w:rPr>
          <w:color w:val="000000" w:themeColor="text1"/>
        </w:rPr>
        <w:sectPr>
          <w:footerReference r:id="rId10" w:type="default"/>
          <w:pgSz w:w="11906" w:h="16838"/>
          <w:pgMar w:top="1134" w:right="1418" w:bottom="1134" w:left="1418" w:header="850" w:footer="567" w:gutter="0"/>
          <w:pgBorders>
            <w:top w:val="none" w:sz="0" w:space="0"/>
            <w:left w:val="none" w:sz="0" w:space="0"/>
            <w:bottom w:val="none" w:sz="0" w:space="0"/>
            <w:right w:val="none" w:sz="0" w:space="0"/>
          </w:pgBorders>
          <w:pgNumType w:fmt="decimal" w:start="1"/>
          <w:cols w:space="720" w:num="1"/>
          <w:docGrid w:linePitch="326" w:charSpace="0"/>
        </w:sectPr>
      </w:pPr>
    </w:p>
    <w:p>
      <w:pPr>
        <w:pStyle w:val="3"/>
        <w:keepNext/>
        <w:keepLines/>
        <w:pageBreakBefore w:val="0"/>
        <w:widowControl w:val="0"/>
        <w:kinsoku/>
        <w:wordWrap/>
        <w:overflowPunct/>
        <w:topLinePunct w:val="0"/>
        <w:autoSpaceDE/>
        <w:autoSpaceDN/>
        <w:bidi w:val="0"/>
        <w:adjustRightInd/>
        <w:snapToGrid/>
        <w:spacing w:before="0"/>
        <w:ind w:left="431" w:hanging="431"/>
        <w:textAlignment w:val="auto"/>
        <w:outlineLvl w:val="0"/>
        <w:rPr>
          <w:rFonts w:hint="default"/>
          <w:color w:val="000000" w:themeColor="text1"/>
        </w:rPr>
      </w:pPr>
      <w:bookmarkStart w:id="839" w:name="_Toc5247"/>
      <w:bookmarkStart w:id="840" w:name="_Toc21079_WPSOffice_Level3"/>
      <w:r>
        <w:rPr>
          <w:rFonts w:hint="eastAsia"/>
          <w:color w:val="000000" w:themeColor="text1"/>
        </w:rPr>
        <w:t>环境经济损益分析</w:t>
      </w:r>
      <w:bookmarkEnd w:id="839"/>
      <w:bookmarkEnd w:id="840"/>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000000" w:themeColor="text1"/>
          <w:sz w:val="24"/>
          <w:szCs w:val="24"/>
        </w:rPr>
      </w:pPr>
      <w:r>
        <w:rPr>
          <w:rFonts w:hint="eastAsia"/>
          <w:color w:val="000000" w:themeColor="text1"/>
          <w:sz w:val="24"/>
          <w:szCs w:val="24"/>
        </w:rPr>
        <w:t>本项目的环境经济损益分析可以从环境代价、环境成本、环境收益和环境经济效益四个部分进行。</w:t>
      </w:r>
    </w:p>
    <w:p>
      <w:pPr>
        <w:pStyle w:val="4"/>
        <w:rPr>
          <w:rFonts w:hint="default"/>
          <w:color w:val="000000" w:themeColor="text1"/>
        </w:rPr>
      </w:pPr>
      <w:bookmarkStart w:id="841" w:name="_Toc21034"/>
      <w:r>
        <w:rPr>
          <w:rFonts w:hint="default"/>
          <w:color w:val="000000" w:themeColor="text1"/>
        </w:rPr>
        <w:t>环境代价分析</w:t>
      </w:r>
      <w:bookmarkEnd w:id="84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本项目环境代价主要体现在由于场地平整、建构筑物建设等造成临时或永久占地，地表植被破坏，局部生态环境改变等方面的环境经济损失。生产期间环境损失很小，环境代价主要表现在以下两个方面：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（1）占地的成本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项目</w:t>
      </w:r>
      <w:r>
        <w:rPr>
          <w:rFonts w:hint="eastAsia" w:ascii="Times New Roman" w:hAnsi="Times New Roman" w:eastAsia="宋体" w:cs="Times New Roman"/>
          <w:b w:val="0"/>
          <w:bCs w:val="0"/>
          <w:color w:val="000000" w:themeColor="text1"/>
          <w:sz w:val="24"/>
          <w:szCs w:val="24"/>
          <w:lang w:eastAsia="zh-CN"/>
        </w:rPr>
        <w:t>废石场</w:t>
      </w:r>
      <w:r>
        <w:rPr>
          <w:rFonts w:hint="default" w:ascii="Times New Roman" w:hAnsi="Times New Roman" w:eastAsia="宋体" w:cs="Times New Roman"/>
          <w:b w:val="0"/>
          <w:bCs w:val="0"/>
          <w:color w:val="000000" w:themeColor="text1"/>
          <w:sz w:val="24"/>
          <w:szCs w:val="24"/>
        </w:rPr>
        <w:t>永久</w:t>
      </w:r>
      <w:r>
        <w:rPr>
          <w:rFonts w:hint="default" w:ascii="Times New Roman" w:hAnsi="Times New Roman" w:eastAsia="宋体" w:cs="Times New Roman"/>
          <w:b w:val="0"/>
          <w:bCs w:val="0"/>
          <w:color w:val="000000" w:themeColor="text1"/>
          <w:sz w:val="24"/>
          <w:szCs w:val="24"/>
          <w:shd w:val="clear" w:color="auto" w:fill="FFFFFF"/>
        </w:rPr>
        <w:t>占地</w:t>
      </w:r>
      <w:r>
        <w:rPr>
          <w:rFonts w:hint="eastAsia" w:ascii="Times New Roman" w:hAnsi="Times New Roman" w:eastAsia="宋体" w:cs="Times New Roman"/>
          <w:b w:val="0"/>
          <w:bCs w:val="0"/>
          <w:color w:val="000000" w:themeColor="text1"/>
          <w:sz w:val="24"/>
          <w:szCs w:val="24"/>
          <w:shd w:val="clear" w:color="auto" w:fill="FFFFFF"/>
          <w:lang w:val="en-US" w:eastAsia="zh-CN"/>
        </w:rPr>
        <w:t>0.42</w:t>
      </w:r>
      <w:r>
        <w:rPr>
          <w:rFonts w:hint="default" w:ascii="Times New Roman" w:hAnsi="Times New Roman" w:eastAsia="宋体" w:cs="Times New Roman"/>
          <w:b w:val="0"/>
          <w:bCs w:val="0"/>
          <w:color w:val="000000" w:themeColor="text1"/>
          <w:sz w:val="24"/>
          <w:szCs w:val="24"/>
        </w:rPr>
        <w:t>hm</w:t>
      </w:r>
      <w:r>
        <w:rPr>
          <w:rFonts w:hint="default" w:ascii="Times New Roman" w:hAnsi="Times New Roman" w:eastAsia="宋体" w:cs="Times New Roman"/>
          <w:b w:val="0"/>
          <w:bCs w:val="0"/>
          <w:color w:val="000000" w:themeColor="text1"/>
          <w:sz w:val="24"/>
          <w:szCs w:val="24"/>
          <w:vertAlign w:val="superscript"/>
        </w:rPr>
        <w:t>2</w:t>
      </w:r>
      <w:r>
        <w:rPr>
          <w:rFonts w:hint="default" w:ascii="Times New Roman" w:hAnsi="Times New Roman" w:eastAsia="宋体" w:cs="Times New Roman"/>
          <w:b w:val="0"/>
          <w:bCs w:val="0"/>
          <w:color w:val="000000" w:themeColor="text1"/>
          <w:sz w:val="24"/>
          <w:szCs w:val="24"/>
          <w:shd w:val="clear" w:color="auto" w:fill="FFFFFF"/>
        </w:rPr>
        <w:t>，</w:t>
      </w:r>
      <w:r>
        <w:rPr>
          <w:rFonts w:hint="default" w:ascii="Times New Roman" w:hAnsi="Times New Roman" w:eastAsia="宋体" w:cs="Times New Roman"/>
          <w:b w:val="0"/>
          <w:bCs w:val="0"/>
          <w:color w:val="000000" w:themeColor="text1"/>
          <w:sz w:val="24"/>
          <w:szCs w:val="24"/>
        </w:rPr>
        <w:t>土地费用按1</w:t>
      </w:r>
      <w:r>
        <w:rPr>
          <w:rFonts w:hint="eastAsia" w:ascii="Times New Roman" w:hAnsi="Times New Roman" w:eastAsia="宋体" w:cs="Times New Roman"/>
          <w:b w:val="0"/>
          <w:bCs w:val="0"/>
          <w:color w:val="000000" w:themeColor="text1"/>
          <w:sz w:val="24"/>
          <w:szCs w:val="24"/>
          <w:lang w:val="en-US" w:eastAsia="zh-CN"/>
        </w:rPr>
        <w:t>0</w:t>
      </w:r>
      <w:r>
        <w:rPr>
          <w:rFonts w:hint="default" w:ascii="Times New Roman" w:hAnsi="Times New Roman" w:eastAsia="宋体" w:cs="Times New Roman"/>
          <w:b w:val="0"/>
          <w:bCs w:val="0"/>
          <w:color w:val="000000" w:themeColor="text1"/>
          <w:sz w:val="24"/>
          <w:szCs w:val="24"/>
        </w:rPr>
        <w:t>万元/（hm</w:t>
      </w:r>
      <w:r>
        <w:rPr>
          <w:rFonts w:hint="default" w:ascii="Times New Roman" w:hAnsi="Times New Roman" w:eastAsia="宋体" w:cs="Times New Roman"/>
          <w:b w:val="0"/>
          <w:bCs w:val="0"/>
          <w:color w:val="000000" w:themeColor="text1"/>
          <w:sz w:val="24"/>
          <w:szCs w:val="24"/>
          <w:vertAlign w:val="superscript"/>
        </w:rPr>
        <w:t>2</w:t>
      </w:r>
      <w:r>
        <w:rPr>
          <w:rFonts w:hint="default" w:ascii="Times New Roman" w:hAnsi="Times New Roman" w:eastAsia="宋体" w:cs="Times New Roman"/>
          <w:b w:val="0"/>
          <w:bCs w:val="0"/>
          <w:color w:val="000000" w:themeColor="text1"/>
          <w:sz w:val="24"/>
          <w:szCs w:val="24"/>
        </w:rPr>
        <w:t>·a）估算，占地损失为</w:t>
      </w:r>
      <w:r>
        <w:rPr>
          <w:rFonts w:hint="eastAsia" w:ascii="Times New Roman" w:hAnsi="Times New Roman" w:eastAsia="宋体" w:cs="Times New Roman"/>
          <w:b w:val="0"/>
          <w:bCs w:val="0"/>
          <w:color w:val="000000" w:themeColor="text1"/>
          <w:sz w:val="24"/>
          <w:szCs w:val="24"/>
          <w:lang w:val="en-US" w:eastAsia="zh-CN"/>
        </w:rPr>
        <w:t>4.2</w:t>
      </w:r>
      <w:r>
        <w:rPr>
          <w:rFonts w:hint="default" w:ascii="Times New Roman" w:hAnsi="Times New Roman" w:eastAsia="宋体" w:cs="Times New Roman"/>
          <w:b w:val="0"/>
          <w:bCs w:val="0"/>
          <w:color w:val="000000" w:themeColor="text1"/>
          <w:sz w:val="24"/>
          <w:szCs w:val="24"/>
        </w:rPr>
        <w:t>万元/a。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（2）污染物排污费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本项目运营过程中产生的废水，不外排；噪声排污费为0元；固体废物排污费：生活固废排污费为1万元，危险废物排污费为1万元。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综合得出本项目环境代价为</w:t>
      </w:r>
      <w:r>
        <w:rPr>
          <w:rFonts w:hint="eastAsia" w:ascii="Times New Roman" w:hAnsi="Times New Roman" w:eastAsia="宋体" w:cs="Times New Roman"/>
          <w:color w:val="000000" w:themeColor="text1"/>
          <w:sz w:val="24"/>
          <w:szCs w:val="24"/>
          <w:lang w:val="en-US" w:eastAsia="zh-CN"/>
        </w:rPr>
        <w:t>6.2</w:t>
      </w:r>
      <w:r>
        <w:rPr>
          <w:rFonts w:hint="default" w:ascii="Times New Roman" w:hAnsi="Times New Roman" w:eastAsia="宋体" w:cs="Times New Roman"/>
          <w:color w:val="000000" w:themeColor="text1"/>
          <w:sz w:val="24"/>
          <w:szCs w:val="24"/>
        </w:rPr>
        <w:t>万元/a。</w:t>
      </w:r>
    </w:p>
    <w:p>
      <w:pPr>
        <w:pStyle w:val="4"/>
        <w:rPr>
          <w:rFonts w:hint="default"/>
          <w:color w:val="000000" w:themeColor="text1"/>
          <w:lang w:val="en-US" w:eastAsia="zh-CN"/>
        </w:rPr>
      </w:pPr>
      <w:bookmarkStart w:id="842" w:name="_Toc1722"/>
      <w:r>
        <w:rPr>
          <w:rFonts w:hint="default"/>
          <w:color w:val="000000" w:themeColor="text1"/>
          <w:lang w:val="en-US" w:eastAsia="zh-CN"/>
        </w:rPr>
        <w:t>环境成本分析</w:t>
      </w:r>
      <w:bookmarkEnd w:id="84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环境成本是指项目为防治环境污染，采取环境污染设备所折算的经济价值，初步估算本项目的环境代价如下：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（1）环保工程建设投资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本项目环保工程建设投资为</w:t>
      </w:r>
      <w:r>
        <w:rPr>
          <w:rFonts w:hint="eastAsia" w:ascii="Times New Roman" w:hAnsi="Times New Roman" w:eastAsia="宋体" w:cs="Times New Roman"/>
          <w:color w:val="000000" w:themeColor="text1"/>
          <w:sz w:val="24"/>
          <w:szCs w:val="24"/>
          <w:lang w:val="en-US" w:eastAsia="zh-CN"/>
        </w:rPr>
        <w:t>142.5</w:t>
      </w:r>
      <w:r>
        <w:rPr>
          <w:rFonts w:hint="default" w:ascii="Times New Roman" w:hAnsi="Times New Roman" w:eastAsia="宋体" w:cs="Times New Roman"/>
          <w:color w:val="000000" w:themeColor="text1"/>
          <w:sz w:val="24"/>
          <w:szCs w:val="24"/>
        </w:rPr>
        <w:t>万元，按环保设备的使用寿命5</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年计算，则环保工程建设投资为</w:t>
      </w:r>
      <w:r>
        <w:rPr>
          <w:rFonts w:hint="eastAsia" w:ascii="Times New Roman" w:hAnsi="Times New Roman" w:eastAsia="宋体" w:cs="Times New Roman"/>
          <w:color w:val="000000" w:themeColor="text1"/>
          <w:sz w:val="24"/>
          <w:szCs w:val="24"/>
          <w:lang w:val="en-US" w:eastAsia="zh-CN"/>
        </w:rPr>
        <w:t>26.89</w:t>
      </w:r>
      <w:r>
        <w:rPr>
          <w:rFonts w:hint="default" w:ascii="Times New Roman" w:hAnsi="Times New Roman" w:eastAsia="宋体" w:cs="Times New Roman"/>
          <w:color w:val="000000" w:themeColor="text1"/>
          <w:sz w:val="24"/>
          <w:szCs w:val="24"/>
        </w:rPr>
        <w:t>万元/a。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（2）环保工程运行管理费用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经估算，环保设施年运行费用估算为</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万元/a。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（3）环境监测费用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经估算，项目环境监测费用约为</w:t>
      </w:r>
      <w:r>
        <w:rPr>
          <w:rFonts w:hint="eastAsia" w:ascii="Times New Roman" w:hAnsi="Times New Roman" w:eastAsia="宋体"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rPr>
        <w:t>万元/a。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综合分析得出本项目环境成本为</w:t>
      </w:r>
      <w:r>
        <w:rPr>
          <w:rFonts w:hint="eastAsia" w:ascii="Times New Roman" w:hAnsi="Times New Roman" w:eastAsia="宋体" w:cs="Times New Roman"/>
          <w:color w:val="000000" w:themeColor="text1"/>
          <w:sz w:val="24"/>
          <w:szCs w:val="24"/>
          <w:lang w:val="en-US" w:eastAsia="zh-CN"/>
        </w:rPr>
        <w:t>38.89</w:t>
      </w:r>
      <w:r>
        <w:rPr>
          <w:rFonts w:hint="default" w:ascii="Times New Roman" w:hAnsi="Times New Roman" w:eastAsia="宋体" w:cs="Times New Roman"/>
          <w:color w:val="000000" w:themeColor="text1"/>
          <w:sz w:val="24"/>
          <w:szCs w:val="24"/>
        </w:rPr>
        <w:t>万元/a。</w:t>
      </w:r>
    </w:p>
    <w:p>
      <w:pPr>
        <w:pStyle w:val="4"/>
        <w:keepNext w:val="0"/>
        <w:keepLines w:val="0"/>
        <w:pageBreakBefore w:val="0"/>
        <w:widowControl w:val="0"/>
        <w:kinsoku/>
        <w:wordWrap/>
        <w:overflowPunct/>
        <w:topLinePunct w:val="0"/>
        <w:autoSpaceDE/>
        <w:autoSpaceDN/>
        <w:bidi w:val="0"/>
        <w:textAlignment w:val="auto"/>
        <w:rPr>
          <w:rStyle w:val="63"/>
          <w:rFonts w:hint="eastAsia" w:eastAsia="宋体"/>
          <w:b/>
          <w:bCs/>
          <w:color w:val="000000" w:themeColor="text1"/>
          <w:lang w:eastAsia="zh-CN"/>
        </w:rPr>
      </w:pPr>
      <w:bookmarkStart w:id="843" w:name="_Toc22019"/>
      <w:r>
        <w:rPr>
          <w:rFonts w:hint="eastAsia"/>
          <w:color w:val="000000" w:themeColor="text1"/>
          <w:lang w:eastAsia="zh-CN"/>
        </w:rPr>
        <w:t>环境收益分析</w:t>
      </w:r>
      <w:bookmarkEnd w:id="84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asciiTheme="minorEastAsia" w:hAnsiTheme="minorEastAsia" w:eastAsiaTheme="minorEastAsia" w:cstheme="minorEastAsia"/>
          <w:color w:val="000000" w:themeColor="text1"/>
          <w:sz w:val="24"/>
          <w:szCs w:val="24"/>
        </w:rPr>
        <w:t>环境收益即工程采取环保措施后挽回的经济损失。本项目废水沉淀后回用，采取水土流失防治措施等均可带来环境收益。</w:t>
      </w:r>
    </w:p>
    <w:p>
      <w:pPr>
        <w:pStyle w:val="4"/>
        <w:keepNext w:val="0"/>
        <w:keepLines w:val="0"/>
        <w:pageBreakBefore w:val="0"/>
        <w:widowControl w:val="0"/>
        <w:kinsoku/>
        <w:wordWrap/>
        <w:overflowPunct/>
        <w:topLinePunct w:val="0"/>
        <w:autoSpaceDE/>
        <w:autoSpaceDN/>
        <w:bidi w:val="0"/>
        <w:textAlignment w:val="auto"/>
        <w:rPr>
          <w:color w:val="000000" w:themeColor="text1"/>
        </w:rPr>
      </w:pPr>
      <w:bookmarkStart w:id="844" w:name="_Toc16423"/>
      <w:r>
        <w:rPr>
          <w:rFonts w:hint="eastAsia"/>
          <w:color w:val="000000" w:themeColor="text1"/>
        </w:rPr>
        <w:t>环境保护投入</w:t>
      </w:r>
      <w:bookmarkEnd w:id="84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环境保护投入应包括预防和减缓建设项目不利环境影响而采取的各项环境保护措施和设施的建设费用、运行维护费用、直接为建设项目服务的环境管理与监测费用以及相关科研费用。项目总投资260万元，其中环境保护投入</w:t>
      </w:r>
      <w:r>
        <w:rPr>
          <w:rFonts w:hint="eastAsia" w:ascii="Times New Roman" w:hAnsi="Times New Roman" w:eastAsia="宋体" w:cs="Times New Roman"/>
          <w:color w:val="000000" w:themeColor="text1"/>
          <w:sz w:val="24"/>
          <w:szCs w:val="24"/>
          <w:lang w:val="en-US" w:eastAsia="zh-CN"/>
        </w:rPr>
        <w:t>142.5</w:t>
      </w:r>
      <w:r>
        <w:rPr>
          <w:rFonts w:hint="default" w:ascii="Times New Roman" w:hAnsi="Times New Roman" w:eastAsia="宋体" w:cs="Times New Roman"/>
          <w:color w:val="000000" w:themeColor="text1"/>
          <w:sz w:val="24"/>
          <w:szCs w:val="24"/>
        </w:rPr>
        <w:t>万元，占工程投资的</w:t>
      </w:r>
      <w:r>
        <w:rPr>
          <w:rFonts w:hint="eastAsia" w:ascii="Times New Roman" w:hAnsi="Times New Roman" w:eastAsia="宋体" w:cs="Times New Roman"/>
          <w:color w:val="000000" w:themeColor="text1"/>
          <w:sz w:val="24"/>
          <w:szCs w:val="24"/>
          <w:lang w:val="en-US" w:eastAsia="zh-CN"/>
        </w:rPr>
        <w:t>54.81</w:t>
      </w:r>
      <w:r>
        <w:rPr>
          <w:rFonts w:hint="default" w:ascii="Times New Roman" w:hAnsi="Times New Roman" w:eastAsia="宋体" w:cs="Times New Roman"/>
          <w:color w:val="000000" w:themeColor="text1"/>
          <w:sz w:val="24"/>
          <w:szCs w:val="24"/>
        </w:rPr>
        <w:t>%，环境保护投入全部由企业自筹。</w:t>
      </w:r>
    </w:p>
    <w:p>
      <w:pPr>
        <w:pStyle w:val="5"/>
        <w:rPr>
          <w:rFonts w:hint="eastAsia"/>
          <w:color w:val="000000" w:themeColor="text1"/>
          <w:lang w:val="en-US" w:eastAsia="zh-CN"/>
        </w:rPr>
      </w:pPr>
      <w:bookmarkStart w:id="845" w:name="_Toc23790"/>
      <w:r>
        <w:rPr>
          <w:rFonts w:hint="eastAsia"/>
          <w:color w:val="000000" w:themeColor="text1"/>
          <w:lang w:val="en-US" w:eastAsia="zh-CN"/>
        </w:rPr>
        <w:t>环保工程投资</w:t>
      </w:r>
      <w:bookmarkEnd w:id="84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项目运行过程中会产生一定量的污染物，需要加以防治，故项目建设过程中需要投入一定的资金对污染物进行防治，环保工程投资主要包括废气污染治理设施、噪声污染治理设施、废水污染防治措施、固体废物处置设施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0000" w:themeColor="text1"/>
          <w:sz w:val="24"/>
          <w:szCs w:val="24"/>
        </w:rPr>
        <w:t>根据该项目环境状况、工程特点及本报告中所提出的施工与运行阶段应采取的各种环境保护措施，参考已建和已审批的同类工程环保措施估算成果，考虑到当地物价水平，对该项目环境保护投资进行估算。拟建项目环保投资</w:t>
      </w:r>
      <w:r>
        <w:rPr>
          <w:rFonts w:hint="eastAsia" w:ascii="Times New Roman" w:hAnsi="Times New Roman" w:eastAsia="宋体" w:cs="Times New Roman"/>
          <w:color w:val="000000" w:themeColor="text1"/>
          <w:sz w:val="24"/>
          <w:szCs w:val="24"/>
          <w:lang w:val="en-US" w:eastAsia="zh-CN"/>
        </w:rPr>
        <w:t>142.5</w:t>
      </w:r>
      <w:r>
        <w:rPr>
          <w:rFonts w:hint="default" w:ascii="Times New Roman" w:hAnsi="Times New Roman" w:eastAsia="宋体" w:cs="Times New Roman"/>
          <w:color w:val="000000" w:themeColor="text1"/>
          <w:sz w:val="24"/>
          <w:szCs w:val="24"/>
        </w:rPr>
        <w:t>万元，各项投资估算详见表7.4-1。</w:t>
      </w:r>
    </w:p>
    <w:p>
      <w:pPr>
        <w:ind w:firstLine="422"/>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表7.4-1  环境保护投资估算表</w:t>
      </w:r>
    </w:p>
    <w:tbl>
      <w:tblPr>
        <w:tblStyle w:val="39"/>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20"/>
        <w:gridCol w:w="1691"/>
        <w:gridCol w:w="2367"/>
        <w:gridCol w:w="1164"/>
        <w:gridCol w:w="875"/>
        <w:gridCol w:w="1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683"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时段</w:t>
            </w:r>
          </w:p>
        </w:tc>
        <w:tc>
          <w:tcPr>
            <w:tcW w:w="2411" w:type="dxa"/>
            <w:gridSpan w:val="2"/>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项目和费用名称</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治理措施</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数量</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费用</w:t>
            </w:r>
          </w:p>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（万元）</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683"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施工期</w:t>
            </w: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施工场地扬尘</w:t>
            </w:r>
          </w:p>
        </w:tc>
        <w:tc>
          <w:tcPr>
            <w:tcW w:w="236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adjustRightInd/>
              <w:snapToGrid w:val="0"/>
              <w:textAlignment w:val="auto"/>
              <w:outlineLvl w:val="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围栏、设置工棚、覆盖遮蔽</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洒水</w:t>
            </w:r>
            <w:r>
              <w:rPr>
                <w:rFonts w:hint="default" w:ascii="Times New Roman" w:hAnsi="Times New Roman" w:eastAsia="宋体" w:cs="Times New Roman"/>
                <w:color w:val="000000" w:themeColor="text1"/>
              </w:rPr>
              <w:t>等措施</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6"/>
              <w:pageBreakBefore w:val="0"/>
              <w:widowControl w:val="0"/>
              <w:numPr>
                <w:ilvl w:val="3"/>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b w:val="0"/>
                <w:bCs w:val="0"/>
                <w:color w:val="000000" w:themeColor="text1"/>
                <w:kern w:val="2"/>
                <w:sz w:val="21"/>
                <w:szCs w:val="22"/>
                <w:lang w:val="en-US" w:eastAsia="zh-CN"/>
              </w:rPr>
              <w:t>餐饮油烟</w:t>
            </w:r>
          </w:p>
        </w:tc>
        <w:tc>
          <w:tcPr>
            <w:tcW w:w="2367" w:type="dxa"/>
            <w:tcBorders>
              <w:tl2br w:val="nil"/>
              <w:tr2bl w:val="nil"/>
            </w:tcBorders>
            <w:vAlign w:val="center"/>
          </w:tcPr>
          <w:p>
            <w:pPr>
              <w:pStyle w:val="42"/>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油烟净化器</w:t>
            </w:r>
          </w:p>
        </w:tc>
        <w:tc>
          <w:tcPr>
            <w:tcW w:w="1164" w:type="dxa"/>
            <w:tcBorders>
              <w:tl2br w:val="nil"/>
              <w:tr2bl w:val="nil"/>
            </w:tcBorders>
            <w:vAlign w:val="center"/>
          </w:tcPr>
          <w:p>
            <w:pPr>
              <w:pStyle w:val="42"/>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1</w:t>
            </w:r>
          </w:p>
        </w:tc>
        <w:tc>
          <w:tcPr>
            <w:tcW w:w="875" w:type="dxa"/>
            <w:tcBorders>
              <w:tl2br w:val="nil"/>
              <w:tr2bl w:val="nil"/>
            </w:tcBorders>
            <w:vAlign w:val="center"/>
          </w:tcPr>
          <w:p>
            <w:pPr>
              <w:pStyle w:val="42"/>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p>
        </w:tc>
        <w:tc>
          <w:tcPr>
            <w:tcW w:w="1435" w:type="dxa"/>
            <w:tcBorders>
              <w:tl2br w:val="nil"/>
              <w:tr2bl w:val="nil"/>
            </w:tcBorders>
            <w:vAlign w:val="center"/>
          </w:tcPr>
          <w:p>
            <w:pPr>
              <w:pStyle w:val="42"/>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依托K1生活场地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生产废水</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临时</w:t>
            </w:r>
            <w:r>
              <w:rPr>
                <w:rFonts w:hint="eastAsia" w:ascii="Times New Roman" w:hAnsi="Times New Roman" w:eastAsia="宋体" w:cs="Times New Roman"/>
                <w:color w:val="000000" w:themeColor="text1"/>
                <w:lang w:eastAsia="zh-CN"/>
              </w:rPr>
              <w:t>隔油</w:t>
            </w:r>
            <w:r>
              <w:rPr>
                <w:rFonts w:hint="default" w:ascii="Times New Roman" w:hAnsi="Times New Roman" w:eastAsia="宋体" w:cs="Times New Roman"/>
                <w:color w:val="000000" w:themeColor="text1"/>
                <w:lang w:eastAsia="zh-CN"/>
              </w:rPr>
              <w:t>沉淀池</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生活废水</w:t>
            </w:r>
          </w:p>
        </w:tc>
        <w:tc>
          <w:tcPr>
            <w:tcW w:w="2367"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化粪池</w:t>
            </w:r>
          </w:p>
        </w:tc>
        <w:tc>
          <w:tcPr>
            <w:tcW w:w="1164"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w:t>
            </w:r>
          </w:p>
        </w:tc>
        <w:tc>
          <w:tcPr>
            <w:tcW w:w="875"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w:t>
            </w:r>
          </w:p>
        </w:tc>
        <w:tc>
          <w:tcPr>
            <w:tcW w:w="1435" w:type="dxa"/>
            <w:tcBorders>
              <w:tl2br w:val="nil"/>
              <w:tr2bl w:val="nil"/>
            </w:tcBorders>
            <w:vAlign w:val="center"/>
          </w:tcPr>
          <w:p>
            <w:pPr>
              <w:pStyle w:val="42"/>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施工机械</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选用低噪声设备</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合理安排施工时间等</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w:t>
            </w:r>
          </w:p>
        </w:tc>
        <w:tc>
          <w:tcPr>
            <w:tcW w:w="1691"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废</w:t>
            </w:r>
            <w:r>
              <w:rPr>
                <w:rFonts w:hint="eastAsia" w:ascii="Times New Roman" w:hAnsi="Times New Roman" w:eastAsia="宋体" w:cs="Times New Roman"/>
                <w:color w:val="000000" w:themeColor="text1"/>
                <w:lang w:val="en-US" w:eastAsia="zh-CN"/>
              </w:rPr>
              <w:t>矿石</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基建、</w:t>
            </w:r>
            <w:r>
              <w:rPr>
                <w:rFonts w:hint="default" w:ascii="Times New Roman" w:hAnsi="Times New Roman" w:eastAsia="宋体" w:cs="Times New Roman"/>
                <w:color w:val="000000" w:themeColor="text1"/>
              </w:rPr>
              <w:t>修路等建筑材料综合利用</w:t>
            </w:r>
            <w:r>
              <w:rPr>
                <w:rFonts w:hint="eastAsia" w:ascii="Times New Roman" w:hAnsi="Times New Roman" w:eastAsia="宋体" w:cs="Times New Roman"/>
                <w:color w:val="000000" w:themeColor="text1"/>
                <w:lang w:val="en-US" w:eastAsia="zh-CN"/>
              </w:rPr>
              <w:t>一部分，剩余全部井下</w:t>
            </w:r>
            <w:r>
              <w:rPr>
                <w:rFonts w:hint="eastAsia" w:ascii="Times New Roman" w:hAnsi="Times New Roman" w:eastAsia="宋体" w:cs="Times New Roman"/>
                <w:color w:val="000000" w:themeColor="text1"/>
                <w:lang w:eastAsia="zh-CN"/>
              </w:rPr>
              <w:t>充</w:t>
            </w:r>
            <w:r>
              <w:rPr>
                <w:rFonts w:hint="default" w:ascii="Times New Roman" w:hAnsi="Times New Roman" w:eastAsia="宋体" w:cs="Times New Roman"/>
                <w:color w:val="000000" w:themeColor="text1"/>
              </w:rPr>
              <w:t>填</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0</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生活垃圾</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垃圾桶</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数个</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0.5</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建筑垃圾</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用作修路填料</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0</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生态</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土建施工工程开挖</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表土保存，用于临时占地恢复，修筑截排水沟，地面硬化、护坡等</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FF0000"/>
                <w:lang w:val="en-US" w:eastAsia="zh-CN"/>
              </w:rPr>
              <w:t>10</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683"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运营期</w:t>
            </w: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矿井废气</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喷雾洒水装置及通风系统</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共2</w:t>
            </w:r>
            <w:r>
              <w:rPr>
                <w:rFonts w:hint="default" w:ascii="Times New Roman" w:hAnsi="Times New Roman" w:eastAsia="宋体" w:cs="Times New Roman"/>
                <w:color w:val="000000" w:themeColor="text1"/>
              </w:rPr>
              <w:t>套</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K1和K2各一套</w:t>
            </w:r>
            <w:r>
              <w:rPr>
                <w:rFonts w:hint="eastAsia" w:ascii="Times New Roman" w:hAnsi="Times New Roman" w:eastAsia="宋体" w:cs="Times New Roman"/>
                <w:color w:val="000000" w:themeColor="text1"/>
                <w:lang w:eastAsia="zh-CN"/>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2</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K1已建成，依托现有工程；K2新建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vMerge w:val="restart"/>
            <w:tcBorders>
              <w:tl2br w:val="nil"/>
              <w:tr2bl w:val="nil"/>
            </w:tcBorders>
            <w:vAlign w:val="center"/>
          </w:tcPr>
          <w:p>
            <w:pPr>
              <w:pStyle w:val="3"/>
              <w:keepNext/>
              <w:keepLines/>
              <w:pageBreakBefore w:val="0"/>
              <w:widowControl w:val="0"/>
              <w:numPr>
                <w:ilvl w:val="0"/>
                <w:numId w:val="0"/>
              </w:numPr>
              <w:kinsoku/>
              <w:wordWrap/>
              <w:overflowPunct/>
              <w:topLinePunct w:val="0"/>
              <w:autoSpaceDE/>
              <w:autoSpaceDN/>
              <w:bidi w:val="0"/>
              <w:adjustRightInd w:val="0"/>
              <w:snapToGrid w:val="0"/>
              <w:spacing w:before="0" w:line="240" w:lineRule="auto"/>
              <w:textAlignment w:val="auto"/>
              <w:rPr>
                <w:rFonts w:hint="default" w:ascii="Times New Roman" w:hAnsi="Times New Roman" w:eastAsia="宋体" w:cs="Times New Roman"/>
                <w:color w:val="000000" w:themeColor="text1"/>
              </w:rPr>
            </w:pPr>
            <w:bookmarkStart w:id="846" w:name="_Toc2930"/>
            <w:r>
              <w:rPr>
                <w:rFonts w:hint="default" w:ascii="Times New Roman" w:hAnsi="Times New Roman" w:eastAsia="宋体" w:cs="Times New Roman"/>
                <w:bCs w:val="0"/>
                <w:color w:val="000000" w:themeColor="text1"/>
                <w:sz w:val="21"/>
                <w:szCs w:val="21"/>
              </w:rPr>
              <w:t>矿石</w:t>
            </w:r>
            <w:r>
              <w:rPr>
                <w:rFonts w:hint="eastAsia" w:ascii="Times New Roman" w:hAnsi="Times New Roman" w:eastAsia="宋体" w:cs="Times New Roman"/>
                <w:bCs w:val="0"/>
                <w:color w:val="000000" w:themeColor="text1"/>
                <w:sz w:val="21"/>
                <w:szCs w:val="21"/>
                <w:lang w:val="en-US" w:eastAsia="zh-CN"/>
              </w:rPr>
              <w:t>堆放</w:t>
            </w:r>
            <w:r>
              <w:rPr>
                <w:rFonts w:hint="default" w:ascii="Times New Roman" w:hAnsi="Times New Roman" w:eastAsia="宋体" w:cs="Times New Roman"/>
                <w:bCs w:val="0"/>
                <w:color w:val="000000" w:themeColor="text1"/>
                <w:sz w:val="21"/>
                <w:szCs w:val="21"/>
              </w:rPr>
              <w:t>扬尘</w:t>
            </w:r>
            <w:bookmarkEnd w:id="846"/>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矿石堆棚</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共6套，K1和K2各三套</w:t>
            </w:r>
            <w:r>
              <w:rPr>
                <w:rFonts w:hint="eastAsia" w:ascii="Times New Roman" w:hAnsi="Times New Roman" w:eastAsia="宋体" w:cs="Times New Roman"/>
                <w:color w:val="000000" w:themeColor="text1"/>
                <w:lang w:eastAsia="zh-CN"/>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FF0000"/>
                <w:lang w:val="en-US" w:eastAsia="zh-CN"/>
              </w:rPr>
              <w:t>50</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K1依托（PD810和760已经建成）+</w:t>
            </w:r>
            <w:r>
              <w:rPr>
                <w:rFonts w:hint="default" w:ascii="Times New Roman" w:hAnsi="Times New Roman" w:eastAsia="宋体" w:cs="Times New Roman"/>
                <w:color w:val="000000" w:themeColor="text1"/>
              </w:rPr>
              <w:t>新建</w:t>
            </w:r>
            <w:r>
              <w:rPr>
                <w:rFonts w:hint="eastAsia" w:ascii="Times New Roman" w:hAnsi="Times New Roman" w:eastAsia="宋体" w:cs="Times New Roman"/>
                <w:color w:val="000000" w:themeColor="text1"/>
                <w:lang w:val="en-US" w:eastAsia="zh-CN"/>
              </w:rPr>
              <w:t>PD660</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vMerge w:val="continue"/>
            <w:tcBorders>
              <w:tl2br w:val="nil"/>
              <w:tr2bl w:val="nil"/>
            </w:tcBorders>
            <w:vAlign w:val="center"/>
          </w:tcPr>
          <w:p>
            <w:pPr>
              <w:pStyle w:val="3"/>
              <w:keepNext/>
              <w:keepLines/>
              <w:pageBreakBefore w:val="0"/>
              <w:widowControl w:val="0"/>
              <w:numPr>
                <w:ilvl w:val="0"/>
                <w:numId w:val="0"/>
              </w:numPr>
              <w:kinsoku/>
              <w:wordWrap/>
              <w:overflowPunct/>
              <w:topLinePunct w:val="0"/>
              <w:autoSpaceDE/>
              <w:autoSpaceDN/>
              <w:bidi w:val="0"/>
              <w:adjustRightInd w:val="0"/>
              <w:snapToGrid w:val="0"/>
              <w:spacing w:before="0" w:line="240" w:lineRule="auto"/>
              <w:textAlignment w:val="auto"/>
              <w:rPr>
                <w:rFonts w:hint="default" w:ascii="Times New Roman" w:hAnsi="Times New Roman" w:eastAsia="宋体" w:cs="Times New Roman"/>
                <w:color w:val="000000" w:themeColor="text1"/>
              </w:rPr>
            </w:pP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喷淋</w:t>
            </w:r>
            <w:r>
              <w:rPr>
                <w:rFonts w:hint="default" w:ascii="Times New Roman" w:hAnsi="Times New Roman" w:eastAsia="宋体" w:cs="Times New Roman"/>
                <w:color w:val="000000" w:themeColor="text1"/>
              </w:rPr>
              <w:t>装置</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6套</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K1和K2各三套</w:t>
            </w:r>
            <w:r>
              <w:rPr>
                <w:rFonts w:hint="eastAsia" w:ascii="Times New Roman" w:hAnsi="Times New Roman" w:eastAsia="宋体" w:cs="Times New Roman"/>
                <w:color w:val="000000" w:themeColor="text1"/>
                <w:lang w:eastAsia="zh-CN"/>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K1依托（PD810和760已经建成）+</w:t>
            </w:r>
            <w:r>
              <w:rPr>
                <w:rFonts w:hint="default" w:ascii="Times New Roman" w:hAnsi="Times New Roman" w:eastAsia="宋体" w:cs="Times New Roman"/>
                <w:color w:val="000000" w:themeColor="text1"/>
              </w:rPr>
              <w:t>新建</w:t>
            </w:r>
            <w:r>
              <w:rPr>
                <w:rFonts w:hint="eastAsia" w:ascii="Times New Roman" w:hAnsi="Times New Roman" w:eastAsia="宋体" w:cs="Times New Roman"/>
                <w:color w:val="000000" w:themeColor="text1"/>
                <w:lang w:val="en-US" w:eastAsia="zh-CN"/>
              </w:rPr>
              <w:t>PD660</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3"/>
              <w:keepNext/>
              <w:keepLines/>
              <w:pageBreakBefore w:val="0"/>
              <w:widowControl w:val="0"/>
              <w:numPr>
                <w:ilvl w:val="0"/>
                <w:numId w:val="0"/>
              </w:numPr>
              <w:kinsoku/>
              <w:wordWrap/>
              <w:overflowPunct/>
              <w:topLinePunct w:val="0"/>
              <w:autoSpaceDE/>
              <w:autoSpaceDN/>
              <w:bidi w:val="0"/>
              <w:adjustRightInd w:val="0"/>
              <w:snapToGrid w:val="0"/>
              <w:spacing w:before="0" w:line="240" w:lineRule="auto"/>
              <w:textAlignment w:val="auto"/>
              <w:rPr>
                <w:rFonts w:hint="default" w:ascii="Times New Roman" w:hAnsi="Times New Roman" w:eastAsia="宋体" w:cs="Times New Roman"/>
                <w:color w:val="000000" w:themeColor="text1"/>
              </w:rPr>
            </w:pPr>
            <w:r>
              <w:rPr>
                <w:rFonts w:hint="eastAsia" w:ascii="Times New Roman" w:hAnsi="Times New Roman" w:eastAsia="宋体" w:cs="Times New Roman"/>
                <w:bCs w:val="0"/>
                <w:color w:val="000000" w:themeColor="text1"/>
                <w:sz w:val="21"/>
                <w:szCs w:val="21"/>
                <w:lang w:val="en-US" w:eastAsia="zh-CN"/>
              </w:rPr>
              <w:t>矿石运输道路</w:t>
            </w:r>
            <w:r>
              <w:rPr>
                <w:rFonts w:hint="default" w:ascii="Times New Roman" w:hAnsi="Times New Roman" w:eastAsia="宋体" w:cs="Times New Roman"/>
                <w:bCs w:val="0"/>
                <w:color w:val="000000" w:themeColor="text1"/>
                <w:sz w:val="21"/>
                <w:szCs w:val="21"/>
                <w:lang w:val="en-US" w:eastAsia="zh-CN"/>
              </w:rPr>
              <w:t>扬尘</w:t>
            </w:r>
          </w:p>
        </w:tc>
        <w:tc>
          <w:tcPr>
            <w:tcW w:w="2367"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道路硬化、洒水清洁路面、车辆覆盖、减速慢行等。</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0.5</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3"/>
              <w:keepNext/>
              <w:keepLines/>
              <w:pageBreakBefore w:val="0"/>
              <w:widowControl w:val="0"/>
              <w:numPr>
                <w:ilvl w:val="0"/>
                <w:numId w:val="0"/>
              </w:numPr>
              <w:kinsoku/>
              <w:wordWrap/>
              <w:overflowPunct/>
              <w:topLinePunct w:val="0"/>
              <w:autoSpaceDE/>
              <w:autoSpaceDN/>
              <w:bidi w:val="0"/>
              <w:adjustRightInd w:val="0"/>
              <w:snapToGrid w:val="0"/>
              <w:spacing w:before="0" w:line="240" w:lineRule="auto"/>
              <w:textAlignment w:val="auto"/>
              <w:rPr>
                <w:rFonts w:hint="default" w:ascii="Times New Roman" w:hAnsi="Times New Roman" w:eastAsia="宋体" w:cs="Times New Roman"/>
                <w:color w:val="000000" w:themeColor="text1"/>
              </w:rPr>
            </w:pPr>
            <w:r>
              <w:rPr>
                <w:rFonts w:hint="eastAsia" w:ascii="Times New Roman" w:hAnsi="Times New Roman" w:eastAsia="宋体" w:cs="Times New Roman"/>
                <w:bCs w:val="0"/>
                <w:color w:val="000000" w:themeColor="text1"/>
                <w:sz w:val="21"/>
                <w:szCs w:val="21"/>
                <w:lang w:val="en-US" w:eastAsia="zh-CN"/>
              </w:rPr>
              <w:t>非道路移动机械和运输车辆尾气</w:t>
            </w:r>
          </w:p>
        </w:tc>
        <w:tc>
          <w:tcPr>
            <w:tcW w:w="2367"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车辆定期检修、选用合格燃油等。</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keepNext/>
              <w:keepLines/>
              <w:adjustRightInd w:val="0"/>
              <w:snapToGrid w:val="0"/>
              <w:spacing w:line="240" w:lineRule="auto"/>
              <w:ind w:firstLine="0" w:firstLineChars="0"/>
              <w:jc w:val="center"/>
              <w:rPr>
                <w:rFonts w:hint="default" w:ascii="Times New Roman" w:hAnsi="Times New Roman" w:eastAsia="宋体" w:cs="Times New Roman"/>
                <w:color w:val="000000" w:themeColor="text1"/>
                <w:kern w:val="44"/>
                <w:sz w:val="21"/>
                <w:szCs w:val="21"/>
              </w:rPr>
            </w:pPr>
            <w:r>
              <w:rPr>
                <w:rFonts w:hint="eastAsia" w:ascii="Times New Roman" w:hAnsi="Times New Roman" w:eastAsia="宋体" w:cs="Times New Roman"/>
                <w:color w:val="000000" w:themeColor="text1"/>
                <w:kern w:val="44"/>
                <w:sz w:val="21"/>
                <w:szCs w:val="21"/>
                <w:lang w:val="en-US" w:eastAsia="zh-CN"/>
              </w:rPr>
              <w:t>餐饮</w:t>
            </w:r>
            <w:r>
              <w:rPr>
                <w:rFonts w:hint="default" w:ascii="Times New Roman" w:hAnsi="Times New Roman" w:eastAsia="宋体" w:cs="Times New Roman"/>
                <w:color w:val="000000" w:themeColor="text1"/>
                <w:kern w:val="44"/>
                <w:sz w:val="21"/>
                <w:szCs w:val="21"/>
              </w:rPr>
              <w:t>油烟</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油烟净化器</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1台</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1</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生产废水</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各</w:t>
            </w:r>
            <w:r>
              <w:rPr>
                <w:rFonts w:hint="default" w:ascii="Times New Roman" w:hAnsi="Times New Roman" w:eastAsia="宋体" w:cs="Times New Roman"/>
                <w:color w:val="000000" w:themeColor="text1"/>
              </w:rPr>
              <w:t>硐口设置</w:t>
            </w:r>
            <w:r>
              <w:rPr>
                <w:rFonts w:hint="eastAsia" w:ascii="Times New Roman" w:hAnsi="Times New Roman" w:eastAsia="宋体" w:cs="Times New Roman"/>
                <w:color w:val="000000" w:themeColor="text1"/>
                <w:lang w:val="en-US" w:eastAsia="zh-CN"/>
              </w:rPr>
              <w:t>6</w:t>
            </w:r>
            <w:r>
              <w:rPr>
                <w:rFonts w:hint="default" w:ascii="Times New Roman" w:hAnsi="Times New Roman" w:eastAsia="宋体" w:cs="Times New Roman"/>
                <w:color w:val="000000" w:themeColor="text1"/>
                <w:lang w:val="en-US" w:eastAsia="zh-CN"/>
              </w:rPr>
              <w:t>m</w:t>
            </w:r>
            <w:r>
              <w:rPr>
                <w:rFonts w:hint="default"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rPr>
              <w:t>沉淀池，并配备排水回用设备</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6</w:t>
            </w:r>
            <w:r>
              <w:rPr>
                <w:rFonts w:hint="default" w:ascii="Times New Roman" w:hAnsi="Times New Roman" w:eastAsia="宋体" w:cs="Times New Roman"/>
                <w:color w:val="000000" w:themeColor="text1"/>
              </w:rPr>
              <w:t>套</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K1和K2各三套</w:t>
            </w:r>
            <w:r>
              <w:rPr>
                <w:rFonts w:hint="eastAsia" w:ascii="Times New Roman" w:hAnsi="Times New Roman" w:eastAsia="宋体" w:cs="Times New Roman"/>
                <w:color w:val="000000" w:themeColor="text1"/>
                <w:lang w:eastAsia="zh-CN"/>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K1依托（PD760已经建成，需要整改）+</w:t>
            </w:r>
            <w:r>
              <w:rPr>
                <w:rFonts w:hint="default" w:ascii="Times New Roman" w:hAnsi="Times New Roman" w:eastAsia="宋体" w:cs="Times New Roman"/>
                <w:color w:val="000000" w:themeColor="text1"/>
              </w:rPr>
              <w:t>新建</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FF0000"/>
              </w:rPr>
            </w:pPr>
            <w:r>
              <w:rPr>
                <w:rFonts w:hint="default" w:ascii="Times New Roman" w:hAnsi="Times New Roman" w:eastAsia="宋体" w:cs="Times New Roman"/>
                <w:color w:val="FF0000"/>
              </w:rPr>
              <w:t>生活污水</w:t>
            </w:r>
          </w:p>
        </w:tc>
        <w:tc>
          <w:tcPr>
            <w:tcW w:w="2367" w:type="dxa"/>
            <w:tcBorders>
              <w:tl2br w:val="nil"/>
              <w:tr2bl w:val="nil"/>
            </w:tcBorders>
            <w:vAlign w:val="center"/>
          </w:tcPr>
          <w:p>
            <w:pPr>
              <w:pStyle w:val="42"/>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化粪池</w:t>
            </w:r>
          </w:p>
        </w:tc>
        <w:tc>
          <w:tcPr>
            <w:tcW w:w="1164" w:type="dxa"/>
            <w:tcBorders>
              <w:tl2br w:val="nil"/>
              <w:tr2bl w:val="nil"/>
            </w:tcBorders>
            <w:vAlign w:val="center"/>
          </w:tcPr>
          <w:p>
            <w:pPr>
              <w:pStyle w:val="42"/>
              <w:jc w:val="center"/>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w:t>
            </w:r>
          </w:p>
        </w:tc>
        <w:tc>
          <w:tcPr>
            <w:tcW w:w="875" w:type="dxa"/>
            <w:tcBorders>
              <w:tl2br w:val="nil"/>
              <w:tr2bl w:val="nil"/>
            </w:tcBorders>
            <w:vAlign w:val="center"/>
          </w:tcPr>
          <w:p>
            <w:pPr>
              <w:pStyle w:val="42"/>
              <w:jc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w:t>
            </w:r>
          </w:p>
        </w:tc>
        <w:tc>
          <w:tcPr>
            <w:tcW w:w="1435" w:type="dxa"/>
            <w:tcBorders>
              <w:tl2br w:val="nil"/>
              <w:tr2bl w:val="nil"/>
            </w:tcBorders>
            <w:vAlign w:val="center"/>
          </w:tcPr>
          <w:p>
            <w:pPr>
              <w:pStyle w:val="42"/>
              <w:jc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K1新建，K2依托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设备</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lang w:eastAsia="zh-CN"/>
              </w:rPr>
              <w:t>空压机房、消声器等</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运输噪声</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减速慢行、禁止鸣笛</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生活垃圾</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垃圾箱</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数个</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0.5</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废机油</w:t>
            </w:r>
          </w:p>
        </w:tc>
        <w:tc>
          <w:tcPr>
            <w:tcW w:w="2367"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设置</w:t>
            </w:r>
            <w:r>
              <w:rPr>
                <w:rFonts w:hint="eastAsia" w:ascii="Times New Roman" w:hAnsi="Times New Roman" w:eastAsia="宋体" w:cs="Times New Roman"/>
                <w:color w:val="000000" w:themeColor="text1"/>
                <w:lang w:eastAsia="zh-CN"/>
              </w:rPr>
              <w:t>危险废物</w:t>
            </w:r>
            <w:r>
              <w:rPr>
                <w:rFonts w:hint="default" w:ascii="Times New Roman" w:hAnsi="Times New Roman" w:eastAsia="宋体" w:cs="Times New Roman"/>
                <w:color w:val="000000" w:themeColor="text1"/>
              </w:rPr>
              <w:t>暂存</w:t>
            </w:r>
            <w:r>
              <w:rPr>
                <w:rFonts w:hint="eastAsia" w:ascii="Times New Roman" w:hAnsi="Times New Roman" w:eastAsia="宋体" w:cs="Times New Roman"/>
                <w:color w:val="000000" w:themeColor="text1"/>
                <w:lang w:val="en-US" w:eastAsia="zh-CN"/>
              </w:rPr>
              <w:t>间</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szCs w:val="21"/>
                <w:lang w:val="en-US" w:eastAsia="zh-CN"/>
              </w:rPr>
              <w:t>1座</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0</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现有整改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采矿废石</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现有工程采矿废石设置挡渣坝、截排水沟等，扩建项目废石全部充填采空区</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5</w:t>
            </w:r>
          </w:p>
        </w:tc>
        <w:tc>
          <w:tcPr>
            <w:tcW w:w="1435"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现有工程采矿废石的挡渣坝、截排水沟等设施需要进一步完善。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生态</w:t>
            </w:r>
          </w:p>
        </w:tc>
        <w:tc>
          <w:tcPr>
            <w:tcW w:w="1691"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采空区塌陷等地质灾害；绿化；边坡、截排水沟等建设</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支护、回填、采空区加强管理；场区周边绿化；边坡加固；各场地周边设截排水沟</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FF0000"/>
                <w:lang w:val="en-US" w:eastAsia="zh-CN"/>
              </w:rPr>
              <w:t>20</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720"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地下水</w:t>
            </w:r>
          </w:p>
        </w:tc>
        <w:tc>
          <w:tcPr>
            <w:tcW w:w="1691"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分区防渗</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bCs/>
                <w:color w:val="000000" w:themeColor="text1"/>
                <w:sz w:val="21"/>
                <w:szCs w:val="21"/>
                <w:vertAlign w:val="baseline"/>
                <w:lang w:val="en-US" w:eastAsia="zh-CN"/>
              </w:rPr>
              <w:t>危险废物贮存场所、生产废水沉淀池为重点防渗区。</w:t>
            </w:r>
            <w:r>
              <w:rPr>
                <w:rFonts w:hint="eastAsia" w:ascii="Times New Roman" w:hAnsi="Times New Roman" w:eastAsia="宋体" w:cs="Times New Roman"/>
                <w:color w:val="000000" w:themeColor="text1"/>
                <w:sz w:val="21"/>
                <w:szCs w:val="21"/>
                <w:lang w:val="en-US" w:eastAsia="zh-CN"/>
              </w:rPr>
              <w:t>化粪池为一般防渗区。其他场地一般地面硬化</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K1新建+整改；K2新建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83"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2411" w:type="dxa"/>
            <w:gridSpan w:val="2"/>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环境风险</w:t>
            </w:r>
          </w:p>
        </w:tc>
        <w:tc>
          <w:tcPr>
            <w:tcW w:w="2367" w:type="dxa"/>
            <w:tcBorders>
              <w:tl2br w:val="nil"/>
              <w:tr2bl w:val="nil"/>
            </w:tcBorders>
            <w:vAlign w:val="center"/>
          </w:tcPr>
          <w:p>
            <w:pPr>
              <w:pStyle w:val="42"/>
              <w:jc w:val="both"/>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风险物质和风险装置加强管理，风险物质防渗漏处理，远离明火，风险应急设施，管理措施等</w:t>
            </w:r>
          </w:p>
        </w:tc>
        <w:tc>
          <w:tcPr>
            <w:tcW w:w="1164"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K1新建+整改；K2新建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jc w:val="center"/>
        </w:trPr>
        <w:tc>
          <w:tcPr>
            <w:tcW w:w="683"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退役期</w:t>
            </w:r>
          </w:p>
        </w:tc>
        <w:tc>
          <w:tcPr>
            <w:tcW w:w="720"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生态</w:t>
            </w:r>
          </w:p>
        </w:tc>
        <w:tc>
          <w:tcPr>
            <w:tcW w:w="1691"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施工场地、现有工程废石场、采空区等</w:t>
            </w:r>
            <w:r>
              <w:rPr>
                <w:rFonts w:hint="default" w:ascii="Times New Roman" w:hAnsi="Times New Roman" w:eastAsia="宋体" w:cs="Times New Roman"/>
                <w:color w:val="000000" w:themeColor="text1"/>
              </w:rPr>
              <w:t>生态恢复</w:t>
            </w:r>
          </w:p>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采空区塌陷等地质灾害</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场地平整</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土壤培育，植被恢复，地质灾害防治，景观恢复等。</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25</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683" w:type="dxa"/>
            <w:tcBorders>
              <w:tl2br w:val="nil"/>
              <w:tr2bl w:val="nil"/>
            </w:tcBorders>
            <w:vAlign w:val="center"/>
          </w:tcPr>
          <w:p>
            <w:pPr>
              <w:pStyle w:val="42"/>
              <w:rPr>
                <w:rFonts w:hint="default" w:ascii="Times New Roman" w:hAnsi="Times New Roman" w:eastAsia="宋体" w:cs="Times New Roman"/>
                <w:b/>
                <w:bCs/>
                <w:color w:val="000000" w:themeColor="text1"/>
              </w:rPr>
            </w:pPr>
          </w:p>
        </w:tc>
        <w:tc>
          <w:tcPr>
            <w:tcW w:w="2411" w:type="dxa"/>
            <w:gridSpan w:val="2"/>
            <w:tcBorders>
              <w:tl2br w:val="nil"/>
              <w:tr2bl w:val="nil"/>
            </w:tcBorders>
            <w:vAlign w:val="center"/>
          </w:tcPr>
          <w:p>
            <w:pPr>
              <w:pStyle w:val="4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环境保护总投资</w:t>
            </w:r>
          </w:p>
        </w:tc>
        <w:tc>
          <w:tcPr>
            <w:tcW w:w="2367"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1164"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875"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FF0000"/>
                <w:lang w:val="en-US" w:eastAsia="zh-CN"/>
              </w:rPr>
              <w:t>142.5</w:t>
            </w:r>
          </w:p>
        </w:tc>
        <w:tc>
          <w:tcPr>
            <w:tcW w:w="1435" w:type="dxa"/>
            <w:tcBorders>
              <w:tl2br w:val="nil"/>
              <w:tr2bl w:val="nil"/>
            </w:tcBorders>
            <w:vAlign w:val="center"/>
          </w:tcPr>
          <w:p>
            <w:pPr>
              <w:pStyle w:val="42"/>
              <w:rPr>
                <w:rFonts w:hint="default" w:ascii="Times New Roman" w:hAnsi="Times New Roman" w:eastAsia="宋体" w:cs="Times New Roman"/>
                <w:color w:val="000000" w:themeColor="text1"/>
              </w:rPr>
            </w:pPr>
          </w:p>
        </w:tc>
      </w:tr>
    </w:tbl>
    <w:p>
      <w:pPr>
        <w:ind w:firstLine="480"/>
        <w:rPr>
          <w:color w:val="000000" w:themeColor="text1"/>
        </w:rPr>
      </w:pPr>
    </w:p>
    <w:p>
      <w:pPr>
        <w:pStyle w:val="5"/>
        <w:rPr>
          <w:rFonts w:hint="default"/>
          <w:color w:val="000000" w:themeColor="text1"/>
        </w:rPr>
      </w:pPr>
      <w:bookmarkStart w:id="847" w:name="_Toc17831"/>
      <w:r>
        <w:rPr>
          <w:rFonts w:hint="default"/>
          <w:color w:val="000000" w:themeColor="text1"/>
        </w:rPr>
        <w:t>环保设施维护及环境监测费用</w:t>
      </w:r>
      <w:bookmarkEnd w:id="84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项目废气、废水处理设施运行维护过程中将有费用产生，同时，为确定项目对周边环境的影响，需要进行环境监测。</w:t>
      </w:r>
    </w:p>
    <w:p>
      <w:pPr>
        <w:pStyle w:val="25"/>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表7.4-2  环保设施维护及环境监测费用一览表</w:t>
      </w:r>
    </w:p>
    <w:tbl>
      <w:tblPr>
        <w:tblStyle w:val="39"/>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88"/>
        <w:gridCol w:w="1560"/>
        <w:gridCol w:w="1455"/>
        <w:gridCol w:w="3826"/>
        <w:gridCol w:w="14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88"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序号</w:t>
            </w:r>
          </w:p>
        </w:tc>
        <w:tc>
          <w:tcPr>
            <w:tcW w:w="1560"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污染源</w:t>
            </w:r>
          </w:p>
        </w:tc>
        <w:tc>
          <w:tcPr>
            <w:tcW w:w="1455"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治理项目</w:t>
            </w:r>
          </w:p>
        </w:tc>
        <w:tc>
          <w:tcPr>
            <w:tcW w:w="3826"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采取措施</w:t>
            </w:r>
          </w:p>
        </w:tc>
        <w:tc>
          <w:tcPr>
            <w:tcW w:w="1406"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费用（万元/年）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88"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1560"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eastAsia" w:ascii="Times New Roman" w:eastAsia="宋体" w:cs="Times New Roman"/>
                <w:color w:val="000000" w:themeColor="text1"/>
                <w:lang w:val="en-US" w:eastAsia="zh-CN"/>
              </w:rPr>
              <w:t>生活污</w:t>
            </w:r>
            <w:r>
              <w:rPr>
                <w:rFonts w:hint="default" w:ascii="Times New Roman" w:hAnsi="Times New Roman" w:eastAsia="宋体" w:cs="Times New Roman"/>
                <w:color w:val="000000" w:themeColor="text1"/>
              </w:rPr>
              <w:t>水</w:t>
            </w:r>
          </w:p>
        </w:tc>
        <w:tc>
          <w:tcPr>
            <w:tcW w:w="1455" w:type="dxa"/>
            <w:tcBorders>
              <w:tl2br w:val="nil"/>
              <w:tr2bl w:val="nil"/>
            </w:tcBorders>
            <w:vAlign w:val="center"/>
          </w:tcPr>
          <w:p>
            <w:pPr>
              <w:pStyle w:val="43"/>
              <w:rPr>
                <w:rFonts w:hint="eastAsia" w:ascii="Times New Roman" w:hAnsi="Times New Roman" w:eastAsia="宋体" w:cs="Times New Roman"/>
                <w:color w:val="000000" w:themeColor="text1"/>
                <w:lang w:eastAsia="zh-CN"/>
              </w:rPr>
            </w:pPr>
            <w:r>
              <w:rPr>
                <w:rFonts w:hint="eastAsia" w:ascii="Times New Roman" w:eastAsia="宋体" w:cs="Times New Roman"/>
                <w:color w:val="000000" w:themeColor="text1"/>
                <w:lang w:val="en-US" w:eastAsia="zh-CN"/>
              </w:rPr>
              <w:t>化粪池</w:t>
            </w:r>
          </w:p>
        </w:tc>
        <w:tc>
          <w:tcPr>
            <w:tcW w:w="3826"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eastAsia" w:ascii="Times New Roman" w:eastAsia="宋体" w:cs="Times New Roman"/>
                <w:color w:val="000000" w:themeColor="text1"/>
                <w:lang w:val="en-US" w:eastAsia="zh-CN"/>
              </w:rPr>
              <w:t>化粪池</w:t>
            </w:r>
            <w:r>
              <w:rPr>
                <w:rFonts w:hint="default" w:ascii="Times New Roman" w:hAnsi="Times New Roman" w:eastAsia="宋体" w:cs="Times New Roman"/>
                <w:color w:val="000000" w:themeColor="text1"/>
              </w:rPr>
              <w:t>清掏维护</w:t>
            </w:r>
          </w:p>
        </w:tc>
        <w:tc>
          <w:tcPr>
            <w:tcW w:w="1406"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88" w:type="dxa"/>
            <w:tcBorders>
              <w:tl2br w:val="nil"/>
              <w:tr2bl w:val="nil"/>
            </w:tcBorders>
            <w:vAlign w:val="center"/>
          </w:tcPr>
          <w:p>
            <w:pPr>
              <w:pStyle w:val="43"/>
              <w:rPr>
                <w:rFonts w:hint="eastAsia" w:ascii="Times New Roman" w:hAnsi="Times New Roman" w:eastAsia="宋体" w:cs="Times New Roman"/>
                <w:color w:val="000000" w:themeColor="text1"/>
                <w:lang w:val="en-US" w:eastAsia="zh-CN"/>
              </w:rPr>
            </w:pPr>
            <w:r>
              <w:rPr>
                <w:rFonts w:hint="eastAsia" w:ascii="Times New Roman" w:eastAsia="宋体" w:cs="Times New Roman"/>
                <w:color w:val="000000" w:themeColor="text1"/>
                <w:lang w:val="en-US" w:eastAsia="zh-CN"/>
              </w:rPr>
              <w:t>2</w:t>
            </w:r>
          </w:p>
        </w:tc>
        <w:tc>
          <w:tcPr>
            <w:tcW w:w="1560" w:type="dxa"/>
            <w:tcBorders>
              <w:tl2br w:val="nil"/>
              <w:tr2bl w:val="nil"/>
            </w:tcBorders>
            <w:vAlign w:val="center"/>
          </w:tcPr>
          <w:p>
            <w:pPr>
              <w:pStyle w:val="43"/>
              <w:rPr>
                <w:rFonts w:hint="default" w:ascii="Times New Roman" w:hAnsi="Times New Roman" w:eastAsia="宋体" w:cs="Times New Roman"/>
                <w:color w:val="000000" w:themeColor="text1"/>
                <w:lang w:val="en-US" w:eastAsia="zh-CN"/>
              </w:rPr>
            </w:pPr>
            <w:r>
              <w:rPr>
                <w:rFonts w:hint="eastAsia" w:ascii="Times New Roman" w:eastAsia="宋体" w:cs="Times New Roman"/>
                <w:color w:val="000000" w:themeColor="text1"/>
                <w:lang w:val="en-US" w:eastAsia="zh-CN"/>
              </w:rPr>
              <w:t>生产废水</w:t>
            </w:r>
          </w:p>
        </w:tc>
        <w:tc>
          <w:tcPr>
            <w:tcW w:w="1455" w:type="dxa"/>
            <w:tcBorders>
              <w:tl2br w:val="nil"/>
              <w:tr2bl w:val="nil"/>
            </w:tcBorders>
            <w:vAlign w:val="center"/>
          </w:tcPr>
          <w:p>
            <w:pPr>
              <w:pStyle w:val="43"/>
              <w:rPr>
                <w:rFonts w:hint="default" w:ascii="Times New Roman" w:hAnsi="Times New Roman" w:eastAsia="宋体" w:cs="Times New Roman"/>
                <w:color w:val="000000" w:themeColor="text1"/>
                <w:lang w:val="en-US" w:eastAsia="zh-CN"/>
              </w:rPr>
            </w:pPr>
            <w:r>
              <w:rPr>
                <w:rFonts w:hint="eastAsia" w:ascii="Times New Roman" w:eastAsia="宋体" w:cs="Times New Roman"/>
                <w:color w:val="000000" w:themeColor="text1"/>
                <w:lang w:val="en-US" w:eastAsia="zh-CN"/>
              </w:rPr>
              <w:t>沉淀池</w:t>
            </w:r>
          </w:p>
        </w:tc>
        <w:tc>
          <w:tcPr>
            <w:tcW w:w="3826" w:type="dxa"/>
            <w:tcBorders>
              <w:tl2br w:val="nil"/>
              <w:tr2bl w:val="nil"/>
            </w:tcBorders>
            <w:vAlign w:val="center"/>
          </w:tcPr>
          <w:p>
            <w:pPr>
              <w:pStyle w:val="43"/>
              <w:rPr>
                <w:rFonts w:hint="default" w:ascii="Times New Roman" w:hAnsi="Times New Roman" w:eastAsia="宋体" w:cs="Times New Roman"/>
                <w:color w:val="000000" w:themeColor="text1"/>
                <w:lang w:val="en-US" w:eastAsia="zh-CN"/>
              </w:rPr>
            </w:pPr>
            <w:r>
              <w:rPr>
                <w:rFonts w:hint="eastAsia" w:ascii="Times New Roman" w:eastAsia="宋体" w:cs="Times New Roman"/>
                <w:color w:val="000000" w:themeColor="text1"/>
                <w:lang w:val="en-US" w:eastAsia="zh-CN"/>
              </w:rPr>
              <w:t>定期检查维护</w:t>
            </w:r>
          </w:p>
        </w:tc>
        <w:tc>
          <w:tcPr>
            <w:tcW w:w="1406" w:type="dxa"/>
            <w:tcBorders>
              <w:tl2br w:val="nil"/>
              <w:tr2bl w:val="nil"/>
            </w:tcBorders>
            <w:vAlign w:val="center"/>
          </w:tcPr>
          <w:p>
            <w:pPr>
              <w:pStyle w:val="43"/>
              <w:rPr>
                <w:rFonts w:hint="eastAsia" w:ascii="Times New Roman" w:hAnsi="Times New Roman" w:eastAsia="宋体" w:cs="Times New Roman"/>
                <w:color w:val="000000" w:themeColor="text1"/>
                <w:lang w:val="en-US" w:eastAsia="zh-CN"/>
              </w:rPr>
            </w:pPr>
            <w:r>
              <w:rPr>
                <w:rFonts w:hint="eastAsia" w:ascii="Times New Roman" w:eastAsia="宋体" w:cs="Times New Roman"/>
                <w:color w:val="000000" w:themeColor="text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88" w:type="dxa"/>
            <w:tcBorders>
              <w:tl2br w:val="nil"/>
              <w:tr2bl w:val="nil"/>
            </w:tcBorders>
            <w:vAlign w:val="center"/>
          </w:tcPr>
          <w:p>
            <w:pPr>
              <w:pStyle w:val="43"/>
              <w:rPr>
                <w:rFonts w:hint="eastAsia" w:ascii="Times New Roman" w:hAnsi="Times New Roman" w:eastAsia="宋体" w:cs="Times New Roman"/>
                <w:color w:val="000000" w:themeColor="text1"/>
                <w:lang w:eastAsia="zh-CN"/>
              </w:rPr>
            </w:pPr>
            <w:r>
              <w:rPr>
                <w:rFonts w:hint="eastAsia" w:ascii="Times New Roman" w:eastAsia="宋体" w:cs="Times New Roman"/>
                <w:color w:val="000000" w:themeColor="text1"/>
                <w:lang w:val="en-US" w:eastAsia="zh-CN"/>
              </w:rPr>
              <w:t>3</w:t>
            </w:r>
          </w:p>
        </w:tc>
        <w:tc>
          <w:tcPr>
            <w:tcW w:w="1560"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监测费用</w:t>
            </w:r>
          </w:p>
        </w:tc>
        <w:tc>
          <w:tcPr>
            <w:tcW w:w="1455"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环境监测</w:t>
            </w:r>
          </w:p>
        </w:tc>
        <w:tc>
          <w:tcPr>
            <w:tcW w:w="3826" w:type="dxa"/>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大气、</w:t>
            </w:r>
            <w:r>
              <w:rPr>
                <w:rFonts w:hint="eastAsia" w:ascii="Times New Roman" w:eastAsia="宋体" w:cs="Times New Roman"/>
                <w:color w:val="000000" w:themeColor="text1"/>
                <w:lang w:val="en-US" w:eastAsia="zh-CN"/>
              </w:rPr>
              <w:t>地下</w:t>
            </w:r>
            <w:r>
              <w:rPr>
                <w:rFonts w:hint="default" w:ascii="Times New Roman" w:hAnsi="Times New Roman" w:eastAsia="宋体" w:cs="Times New Roman"/>
                <w:color w:val="000000" w:themeColor="text1"/>
              </w:rPr>
              <w:t>水、噪声</w:t>
            </w:r>
            <w:r>
              <w:rPr>
                <w:rFonts w:hint="eastAsia" w:ascii="Times New Roman" w:eastAsia="宋体" w:cs="Times New Roman"/>
                <w:color w:val="000000" w:themeColor="text1"/>
                <w:lang w:eastAsia="zh-CN"/>
              </w:rPr>
              <w:t>、</w:t>
            </w:r>
            <w:r>
              <w:rPr>
                <w:rFonts w:hint="eastAsia" w:ascii="Times New Roman" w:eastAsia="宋体" w:cs="Times New Roman"/>
                <w:color w:val="000000" w:themeColor="text1"/>
                <w:lang w:val="en-US" w:eastAsia="zh-CN"/>
              </w:rPr>
              <w:t>废石场、采空区</w:t>
            </w:r>
            <w:r>
              <w:rPr>
                <w:rFonts w:hint="default" w:ascii="Times New Roman" w:hAnsi="Times New Roman" w:eastAsia="宋体" w:cs="Times New Roman"/>
                <w:color w:val="000000" w:themeColor="text1"/>
              </w:rPr>
              <w:t>等</w:t>
            </w:r>
            <w:r>
              <w:rPr>
                <w:rFonts w:hint="eastAsia" w:ascii="Times New Roman" w:eastAsia="宋体" w:cs="Times New Roman"/>
                <w:color w:val="000000" w:themeColor="text1"/>
                <w:lang w:val="en-US" w:eastAsia="zh-CN"/>
              </w:rPr>
              <w:t>区域</w:t>
            </w:r>
            <w:r>
              <w:rPr>
                <w:rFonts w:hint="default" w:ascii="Times New Roman" w:hAnsi="Times New Roman" w:eastAsia="宋体" w:cs="Times New Roman"/>
                <w:color w:val="000000" w:themeColor="text1"/>
              </w:rPr>
              <w:t>监测</w:t>
            </w:r>
          </w:p>
        </w:tc>
        <w:tc>
          <w:tcPr>
            <w:tcW w:w="1406" w:type="dxa"/>
            <w:tcBorders>
              <w:tl2br w:val="nil"/>
              <w:tr2bl w:val="nil"/>
            </w:tcBorders>
            <w:vAlign w:val="center"/>
          </w:tcPr>
          <w:p>
            <w:pPr>
              <w:pStyle w:val="43"/>
              <w:rPr>
                <w:rFonts w:hint="eastAsia" w:ascii="Times New Roman" w:hAnsi="Times New Roman" w:eastAsia="宋体" w:cs="Times New Roman"/>
                <w:color w:val="000000" w:themeColor="text1"/>
                <w:lang w:eastAsia="zh-CN"/>
              </w:rPr>
            </w:pPr>
            <w:r>
              <w:rPr>
                <w:rFonts w:hint="eastAsia" w:ascii="Times New Roman" w:eastAsia="宋体" w:cs="Times New Roman"/>
                <w:color w:val="000000" w:themeColor="text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248" w:type="dxa"/>
            <w:gridSpan w:val="2"/>
            <w:tcBorders>
              <w:tl2br w:val="nil"/>
              <w:tr2bl w:val="nil"/>
            </w:tcBorders>
            <w:vAlign w:val="center"/>
          </w:tcPr>
          <w:p>
            <w:pPr>
              <w:pStyle w:val="43"/>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合计</w:t>
            </w:r>
          </w:p>
        </w:tc>
        <w:tc>
          <w:tcPr>
            <w:tcW w:w="1455" w:type="dxa"/>
            <w:tcBorders>
              <w:tl2br w:val="nil"/>
              <w:tr2bl w:val="nil"/>
            </w:tcBorders>
            <w:vAlign w:val="center"/>
          </w:tcPr>
          <w:p>
            <w:pPr>
              <w:pStyle w:val="43"/>
              <w:rPr>
                <w:rFonts w:hint="default" w:ascii="Times New Roman" w:hAnsi="Times New Roman" w:eastAsia="宋体" w:cs="Times New Roman"/>
                <w:color w:val="000000" w:themeColor="text1"/>
              </w:rPr>
            </w:pPr>
          </w:p>
        </w:tc>
        <w:tc>
          <w:tcPr>
            <w:tcW w:w="3826" w:type="dxa"/>
            <w:tcBorders>
              <w:tl2br w:val="nil"/>
              <w:tr2bl w:val="nil"/>
            </w:tcBorders>
            <w:vAlign w:val="center"/>
          </w:tcPr>
          <w:p>
            <w:pPr>
              <w:pStyle w:val="43"/>
              <w:rPr>
                <w:rFonts w:hint="default" w:ascii="Times New Roman" w:hAnsi="Times New Roman" w:eastAsia="宋体" w:cs="Times New Roman"/>
                <w:color w:val="000000" w:themeColor="text1"/>
              </w:rPr>
            </w:pPr>
          </w:p>
        </w:tc>
        <w:tc>
          <w:tcPr>
            <w:tcW w:w="1406" w:type="dxa"/>
            <w:tcBorders>
              <w:tl2br w:val="nil"/>
              <w:tr2bl w:val="nil"/>
            </w:tcBorders>
            <w:vAlign w:val="center"/>
          </w:tcPr>
          <w:p>
            <w:pPr>
              <w:pStyle w:val="43"/>
              <w:rPr>
                <w:rFonts w:hint="default" w:ascii="Times New Roman" w:hAnsi="Times New Roman" w:eastAsia="宋体" w:cs="Times New Roman"/>
                <w:color w:val="000000" w:themeColor="text1"/>
                <w:lang w:val="en-US" w:eastAsia="zh-CN"/>
              </w:rPr>
            </w:pPr>
            <w:r>
              <w:rPr>
                <w:rFonts w:hint="eastAsia" w:ascii="Times New Roman" w:eastAsia="宋体" w:cs="Times New Roman"/>
                <w:color w:val="000000" w:themeColor="text1"/>
                <w:lang w:val="en-US" w:eastAsia="zh-CN"/>
              </w:rPr>
              <w:t>10</w:t>
            </w:r>
          </w:p>
        </w:tc>
      </w:tr>
    </w:tbl>
    <w:p>
      <w:pPr>
        <w:ind w:firstLine="480"/>
        <w:rPr>
          <w:color w:val="000000" w:themeColor="text1"/>
        </w:rPr>
        <w:sectPr>
          <w:headerReference r:id="rId11" w:type="default"/>
          <w:pgSz w:w="11906" w:h="16838"/>
          <w:pgMar w:top="1134" w:right="1418" w:bottom="1134" w:left="1418" w:header="850" w:footer="567" w:gutter="0"/>
          <w:pgBorders>
            <w:top w:val="none" w:sz="0" w:space="0"/>
            <w:left w:val="none" w:sz="0" w:space="0"/>
            <w:bottom w:val="none" w:sz="0" w:space="0"/>
            <w:right w:val="none" w:sz="0" w:space="0"/>
          </w:pgBorders>
          <w:pgNumType w:fmt="decimal"/>
          <w:cols w:space="720" w:num="1"/>
          <w:docGrid w:linePitch="326" w:charSpace="0"/>
        </w:sectPr>
      </w:pPr>
    </w:p>
    <w:p>
      <w:pPr>
        <w:pStyle w:val="3"/>
        <w:keepNext/>
        <w:keepLines/>
        <w:pageBreakBefore w:val="0"/>
        <w:widowControl w:val="0"/>
        <w:kinsoku/>
        <w:wordWrap/>
        <w:overflowPunct/>
        <w:topLinePunct w:val="0"/>
        <w:autoSpaceDE/>
        <w:autoSpaceDN/>
        <w:bidi w:val="0"/>
        <w:adjustRightInd w:val="0"/>
        <w:snapToGrid w:val="0"/>
        <w:spacing w:before="0" w:line="360" w:lineRule="auto"/>
        <w:ind w:left="0" w:hanging="431"/>
        <w:textAlignment w:val="auto"/>
        <w:outlineLvl w:val="0"/>
        <w:rPr>
          <w:color w:val="000000" w:themeColor="text1"/>
        </w:rPr>
      </w:pPr>
      <w:bookmarkStart w:id="848" w:name="_Toc15411_WPSOffice_Level3"/>
      <w:bookmarkStart w:id="849" w:name="_Toc8891"/>
      <w:r>
        <w:rPr>
          <w:rFonts w:hint="eastAsia"/>
          <w:color w:val="000000" w:themeColor="text1"/>
        </w:rPr>
        <w:t>环境保护管理与监测计划</w:t>
      </w:r>
      <w:bookmarkEnd w:id="848"/>
      <w:bookmarkEnd w:id="849"/>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工业企业环境管理的含义是以管理工程与环境科学的理论为基础，运用技术、经济、法律、教育和行政手段，对损害环境质量的生产经营活动施加影响，正确处理发展生产和保护环境的关系，达到生产目标与环境目标的统一，经济效益与环境效益的统一。</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在施工期和营运期将对环境产生一定的影响，因此建设单位应在加强环境管理的同时，定期进行环境监测，以便及时了解工程在不同时期的环境影响，采取相应措施，消除不利因素，减轻污染，以实现预定的环保目标。</w:t>
      </w:r>
    </w:p>
    <w:p>
      <w:pPr>
        <w:pStyle w:val="4"/>
        <w:rPr>
          <w:rFonts w:hint="default"/>
          <w:color w:val="000000" w:themeColor="text1"/>
        </w:rPr>
      </w:pPr>
      <w:bookmarkStart w:id="850" w:name="_Toc31080"/>
      <w:r>
        <w:rPr>
          <w:rFonts w:hint="default"/>
          <w:color w:val="000000" w:themeColor="text1"/>
        </w:rPr>
        <w:t>环境管理</w:t>
      </w:r>
      <w:bookmarkEnd w:id="850"/>
    </w:p>
    <w:p>
      <w:pPr>
        <w:pStyle w:val="5"/>
        <w:rPr>
          <w:rFonts w:hint="default"/>
          <w:color w:val="000000" w:themeColor="text1"/>
        </w:rPr>
      </w:pPr>
      <w:bookmarkStart w:id="851" w:name="_Toc8022"/>
      <w:r>
        <w:rPr>
          <w:rFonts w:hint="default"/>
          <w:color w:val="000000" w:themeColor="text1"/>
        </w:rPr>
        <w:t>机构的设置</w:t>
      </w:r>
      <w:bookmarkEnd w:id="85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运营期的环境管理为长期性，因此应设立单独的组织机构，管理机构的设置应参照国家有关管理机构设置文件的精神，根据管理任务，本着结构合理，高效精干的原则精神，确定管理机构的组成和人员编制。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运营期的环境管理是长期、负责的工作，因此，要求以建设单位的最高管理者为代表组成的环境管理结构。营运期环境管理结构人员设置为：组长1人、污水监督员1人、固体废物监督员1人、噪声及环境空气监督员1人，环境风险监督员1人，合计5人。</w:t>
      </w:r>
    </w:p>
    <w:p>
      <w:pPr>
        <w:pStyle w:val="5"/>
        <w:rPr>
          <w:rFonts w:hint="default"/>
          <w:color w:val="000000" w:themeColor="text1"/>
          <w:lang w:val="en-US" w:eastAsia="zh-CN"/>
        </w:rPr>
      </w:pPr>
      <w:bookmarkStart w:id="852" w:name="_Toc5277"/>
      <w:r>
        <w:rPr>
          <w:rFonts w:hint="default"/>
          <w:color w:val="000000" w:themeColor="text1"/>
          <w:lang w:val="en-US" w:eastAsia="zh-CN"/>
        </w:rPr>
        <w:t>环境管理职责和权限</w:t>
      </w:r>
      <w:bookmarkEnd w:id="85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为防治项目建成后运行过程中的污染问题，应设立专门的环境管理机构或将新建项目的环境管理纳入原有管理体系，明确管理机构的职责，具体应包括以下方面：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①组织贯彻国家、省、市以及行业主管部门有关环境保护的法律法规、方针政策，配合当地环保部门做好项目的环境管理工作。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②执行上级主管部门建立的各种环境管理制度，制定相关的管理计划并切实实施。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③定期检查、维护污染治理设施，采取积极有效的环保措施防治污染，并对环保措施的执行情况和效果进行监督检查。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④组织有关单位或人员进行环境监测工作，建立监控档案。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⑤与环保部门配合，调查、处理与项目有关的污染事故和扰民纠纷。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⑥定期对工作人员进行培训，提高他们的能力，同时积极开展技术革新、技术交流活动，推广利用先进技术和经验，进一步改进环境管理工作。</w:t>
      </w:r>
    </w:p>
    <w:p>
      <w:pPr>
        <w:pStyle w:val="5"/>
        <w:keepNext w:val="0"/>
        <w:keepLines w:val="0"/>
        <w:pageBreakBefore w:val="0"/>
        <w:widowControl w:val="0"/>
        <w:kinsoku/>
        <w:wordWrap/>
        <w:overflowPunct/>
        <w:topLinePunct w:val="0"/>
        <w:autoSpaceDE/>
        <w:autoSpaceDN/>
        <w:bidi w:val="0"/>
        <w:textAlignment w:val="auto"/>
        <w:rPr>
          <w:rFonts w:hint="default"/>
          <w:color w:val="000000" w:themeColor="text1"/>
          <w:lang w:val="en-US" w:eastAsia="zh-CN"/>
        </w:rPr>
      </w:pPr>
      <w:bookmarkStart w:id="853" w:name="_Toc4290"/>
      <w:r>
        <w:rPr>
          <w:rFonts w:hint="default"/>
          <w:color w:val="000000" w:themeColor="text1"/>
          <w:lang w:val="en-US" w:eastAsia="zh-CN"/>
        </w:rPr>
        <w:t>环境管理计划</w:t>
      </w:r>
      <w:bookmarkEnd w:id="85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color w:val="000000" w:themeColor="text1"/>
          <w:sz w:val="24"/>
          <w:szCs w:val="24"/>
        </w:rPr>
      </w:pPr>
      <w:r>
        <w:rPr>
          <w:color w:val="000000" w:themeColor="text1"/>
          <w:sz w:val="24"/>
          <w:szCs w:val="24"/>
        </w:rPr>
        <w:t>由专人负责运营期的环境管理工作，与当地环保部门及其授权监测部门直接监管污染物的排放情况，对超标排放及污染事故、纠纷进行处理。保证项目各项环保设施正常运行，由专人负责定期查看，检修。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color w:val="000000" w:themeColor="text1"/>
          <w:sz w:val="24"/>
          <w:szCs w:val="24"/>
        </w:rPr>
      </w:pPr>
      <w:r>
        <w:rPr>
          <w:color w:val="000000" w:themeColor="text1"/>
          <w:sz w:val="24"/>
          <w:szCs w:val="24"/>
        </w:rPr>
        <w:t>由分管环境的主要领导负责环保指标的落实，将环保指标逐级分解到个人，确保环保设施正常运转和污染物达标排放；配合地方环保部门监测部门进行日常环境监测，记录并及时上报污染源及环保措施运转动态。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rPr>
      </w:pPr>
      <w:r>
        <w:rPr>
          <w:rFonts w:hint="eastAsia"/>
          <w:color w:val="000000" w:themeColor="text1"/>
          <w:sz w:val="24"/>
          <w:szCs w:val="24"/>
        </w:rPr>
        <w:t>按照《排污许可证暂行管理规定》要求，企业应当建立环境管理台账。台账应记录以下信息：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1、主要生产设施和污染防治设施等。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2、操作参数：包括基本信息，污染治理措施运行管理信息、监测记录信息等；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记录内容：生产设施、治理设施的名称、工艺等排污许可证规定的各项排污单位基本信息的实际情况及与污染物排放相关的主要运行参数等。监测记录信息包括：手工监测的记录和自动监测运维记录信息，以及与监测记录相关的生产和污染治理设施运行状况记录信息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4、记录频次：指一段时期内环境管理台账记录的次数要求，如1次/小时、1次/</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日等。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5、记录形式：指环境管理台账记录的方式，包括电子台账、纸质台账等。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各阶段环境管理工作计划见表8.1-1。</w:t>
      </w:r>
    </w:p>
    <w:p>
      <w:pPr>
        <w:pStyle w:val="25"/>
        <w:spacing w:beforeLines="0" w:afterLines="0"/>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表8.1-1环境管理计划</w:t>
      </w:r>
    </w:p>
    <w:tbl>
      <w:tblPr>
        <w:tblStyle w:val="39"/>
        <w:tblW w:w="89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7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阶段</w:t>
            </w:r>
          </w:p>
        </w:tc>
        <w:tc>
          <w:tcPr>
            <w:tcW w:w="7405"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环境管理主要任务内容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30"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运营期</w:t>
            </w:r>
          </w:p>
        </w:tc>
        <w:tc>
          <w:tcPr>
            <w:tcW w:w="7405" w:type="dxa"/>
            <w:tcBorders>
              <w:tl2br w:val="nil"/>
              <w:tr2bl w:val="nil"/>
            </w:tcBorders>
            <w:shd w:val="clear" w:color="auto" w:fill="auto"/>
            <w:vAlign w:val="center"/>
          </w:tcPr>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1、贯彻执行国家和地方环境保护法规和标准；</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2、严格执行各项生产及环境管理规章制度，保证生产正常运行；</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3、申报排污许可证，监理环保设施运行卡，对环保设施定期进行检查和维护；</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4、完善环境管理目标任务与企业污染防治措施方案，配合地方环境保护部门制定区域环境综合整治规划；</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5、按照环境管理监测计划开展定期、不定期环境与污染源监测，发现问题及时处理；</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6、加强国家环保政策宣传，提高员工环保意识，提升企业环境管理水平；</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7、推行清洁生产，实现污染预防，减污增效；</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8、参与编制企业风险事故应急预案；</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9、负责编制企业年度环境保护管理计划。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tcBorders>
              <w:tl2br w:val="nil"/>
              <w:tr2bl w:val="nil"/>
            </w:tcBorders>
            <w:shd w:val="clear" w:color="auto" w:fill="auto"/>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管理工作重点</w:t>
            </w:r>
          </w:p>
        </w:tc>
        <w:tc>
          <w:tcPr>
            <w:tcW w:w="7405" w:type="dxa"/>
            <w:tcBorders>
              <w:tl2br w:val="nil"/>
              <w:tr2bl w:val="nil"/>
            </w:tcBorders>
            <w:shd w:val="clear" w:color="auto" w:fill="auto"/>
            <w:vAlign w:val="center"/>
          </w:tcPr>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1、加强污染源监控与管理，提高水资源、能源和一般工业固废的综合利用率；</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2、坚持“预防为主、防治结合、综合治理”原则，强化企业污染防治设施管理力度；</w:t>
            </w:r>
          </w:p>
          <w:p>
            <w:pPr>
              <w:pStyle w:val="42"/>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3、严格控制生产全过程废气、废水和噪声排放，保护环境。</w:t>
            </w:r>
          </w:p>
        </w:tc>
      </w:tr>
    </w:tbl>
    <w:p>
      <w:pPr>
        <w:pStyle w:val="4"/>
        <w:rPr>
          <w:color w:val="000000" w:themeColor="text1"/>
        </w:rPr>
      </w:pPr>
      <w:bookmarkStart w:id="854" w:name="_Toc5338"/>
      <w:r>
        <w:rPr>
          <w:color w:val="000000" w:themeColor="text1"/>
        </w:rPr>
        <w:t>环境监测计划</w:t>
      </w:r>
      <w:bookmarkEnd w:id="85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为了及时掌握项目建成后的污染状况和污染物对周围环境的影响，必须对产生的污染物和污染防治设施进行日常监测，其目的是提供可靠的监测分析数据，以便根据污染物浓度及其变化规律，采取必要、合理的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项目建成后污染源监测委托有资质单位承担，项目监测计划见表8.2-1。</w:t>
      </w:r>
    </w:p>
    <w:p>
      <w:pPr>
        <w:pStyle w:val="25"/>
        <w:spacing w:beforeLines="0" w:afterLines="0"/>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表8.2-1监测计划表</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325"/>
        <w:gridCol w:w="2043"/>
        <w:gridCol w:w="1182"/>
        <w:gridCol w:w="2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8"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环境要素</w:t>
            </w:r>
          </w:p>
        </w:tc>
        <w:tc>
          <w:tcPr>
            <w:tcW w:w="2325" w:type="dxa"/>
            <w:tcBorders>
              <w:tl2br w:val="nil"/>
              <w:tr2bl w:val="nil"/>
            </w:tcBorders>
            <w:shd w:val="clear" w:color="auto" w:fill="auto"/>
            <w:vAlign w:val="center"/>
          </w:tcPr>
          <w:p>
            <w:pPr>
              <w:pStyle w:val="42"/>
              <w:jc w:val="center"/>
              <w:rPr>
                <w:rFonts w:hint="eastAsia" w:ascii="Times New Roman" w:hAnsi="Times New Roman" w:eastAsia="宋体" w:cs="Times New Roman"/>
                <w:color w:val="FF0000"/>
                <w:szCs w:val="21"/>
                <w:lang w:eastAsia="zh-CN"/>
              </w:rPr>
            </w:pPr>
            <w:r>
              <w:rPr>
                <w:rFonts w:hint="default" w:ascii="Times New Roman" w:hAnsi="Times New Roman" w:eastAsia="宋体" w:cs="Times New Roman"/>
                <w:color w:val="FF0000"/>
                <w:szCs w:val="21"/>
              </w:rPr>
              <w:t>监测点位</w:t>
            </w:r>
          </w:p>
        </w:tc>
        <w:tc>
          <w:tcPr>
            <w:tcW w:w="2043"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监测项目</w:t>
            </w:r>
          </w:p>
        </w:tc>
        <w:tc>
          <w:tcPr>
            <w:tcW w:w="1182"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监测频次</w:t>
            </w:r>
          </w:p>
        </w:tc>
        <w:tc>
          <w:tcPr>
            <w:tcW w:w="2329" w:type="dxa"/>
            <w:tcBorders>
              <w:tl2br w:val="nil"/>
              <w:tr2bl w:val="nil"/>
            </w:tcBorders>
            <w:shd w:val="clear" w:color="auto" w:fill="auto"/>
            <w:vAlign w:val="center"/>
          </w:tcPr>
          <w:p>
            <w:pPr>
              <w:pStyle w:val="42"/>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eastAsia="zh-CN"/>
              </w:rPr>
              <w:t>控制标准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8"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大气</w:t>
            </w:r>
          </w:p>
        </w:tc>
        <w:tc>
          <w:tcPr>
            <w:tcW w:w="2325"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eastAsia" w:ascii="Times New Roman" w:hAnsi="Times New Roman" w:eastAsia="宋体" w:cs="Times New Roman"/>
                <w:color w:val="FF0000"/>
                <w:szCs w:val="21"/>
                <w:lang w:eastAsia="zh-CN"/>
              </w:rPr>
              <w:t>工业场地</w:t>
            </w:r>
            <w:r>
              <w:rPr>
                <w:rFonts w:hint="default" w:ascii="Times New Roman" w:hAnsi="Times New Roman" w:eastAsia="宋体" w:cs="Times New Roman"/>
                <w:color w:val="FF0000"/>
                <w:szCs w:val="21"/>
              </w:rPr>
              <w:t>上风向1个，下风向3个</w:t>
            </w:r>
          </w:p>
        </w:tc>
        <w:tc>
          <w:tcPr>
            <w:tcW w:w="2043" w:type="dxa"/>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颗粒物</w:t>
            </w:r>
          </w:p>
        </w:tc>
        <w:tc>
          <w:tcPr>
            <w:tcW w:w="1182"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1次/</w:t>
            </w:r>
            <w:r>
              <w:rPr>
                <w:rFonts w:hint="eastAsia" w:ascii="Times New Roman" w:hAnsi="Times New Roman" w:eastAsia="宋体" w:cs="Times New Roman"/>
                <w:color w:val="FF0000"/>
                <w:szCs w:val="21"/>
                <w:lang w:eastAsia="zh-CN"/>
              </w:rPr>
              <w:t>半</w:t>
            </w:r>
            <w:r>
              <w:rPr>
                <w:rFonts w:hint="default" w:ascii="Times New Roman" w:hAnsi="Times New Roman" w:eastAsia="宋体" w:cs="Times New Roman"/>
                <w:color w:val="FF0000"/>
                <w:szCs w:val="21"/>
              </w:rPr>
              <w:t>年</w:t>
            </w:r>
          </w:p>
        </w:tc>
        <w:tc>
          <w:tcPr>
            <w:tcW w:w="2329" w:type="dxa"/>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FF0000"/>
                <w:szCs w:val="21"/>
              </w:rPr>
            </w:pPr>
            <w:r>
              <w:rPr>
                <w:rFonts w:hint="default" w:ascii="Times New Roman" w:hAnsi="Times New Roman" w:eastAsia="宋体" w:cs="Times New Roman"/>
                <w:bCs/>
                <w:color w:val="FF0000"/>
                <w:szCs w:val="21"/>
              </w:rPr>
              <w:t>《大气污染物综合排放标准》</w:t>
            </w:r>
          </w:p>
          <w:p>
            <w:pPr>
              <w:pStyle w:val="42"/>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bCs/>
                <w:color w:val="FF0000"/>
                <w:szCs w:val="21"/>
                <w:lang w:eastAsia="zh-CN"/>
              </w:rPr>
              <w:t>（</w:t>
            </w:r>
            <w:r>
              <w:rPr>
                <w:rFonts w:hint="default" w:ascii="Times New Roman" w:hAnsi="Times New Roman" w:eastAsia="宋体" w:cs="Times New Roman"/>
                <w:bCs/>
                <w:color w:val="FF0000"/>
                <w:szCs w:val="21"/>
              </w:rPr>
              <w:t>GB16297-1996</w:t>
            </w:r>
            <w:r>
              <w:rPr>
                <w:rFonts w:hint="eastAsia" w:ascii="Times New Roman" w:hAnsi="Times New Roman" w:eastAsia="宋体" w:cs="Times New Roman"/>
                <w:bCs/>
                <w:color w:val="FF0000"/>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078"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噪声</w:t>
            </w:r>
          </w:p>
        </w:tc>
        <w:tc>
          <w:tcPr>
            <w:tcW w:w="2325"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eastAsia" w:ascii="Times New Roman" w:hAnsi="Times New Roman" w:eastAsia="宋体" w:cs="Times New Roman"/>
                <w:color w:val="FF0000"/>
                <w:szCs w:val="21"/>
                <w:lang w:eastAsia="zh-CN"/>
              </w:rPr>
              <w:t>工业场地</w:t>
            </w:r>
            <w:r>
              <w:rPr>
                <w:rFonts w:hint="default" w:ascii="Times New Roman" w:hAnsi="Times New Roman" w:eastAsia="宋体" w:cs="Times New Roman"/>
                <w:color w:val="FF0000"/>
                <w:szCs w:val="21"/>
              </w:rPr>
              <w:t>四周</w:t>
            </w:r>
            <w:r>
              <w:rPr>
                <w:rFonts w:hint="default" w:ascii="Times New Roman" w:hAnsi="Times New Roman" w:cs="Times New Roman"/>
                <w:color w:val="FF0000"/>
                <w:kern w:val="2"/>
                <w:sz w:val="21"/>
                <w:szCs w:val="21"/>
              </w:rPr>
              <w:t>1m处</w:t>
            </w:r>
          </w:p>
        </w:tc>
        <w:tc>
          <w:tcPr>
            <w:tcW w:w="2043"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等效声压级</w:t>
            </w:r>
          </w:p>
        </w:tc>
        <w:tc>
          <w:tcPr>
            <w:tcW w:w="1182" w:type="dxa"/>
            <w:tcBorders>
              <w:tl2br w:val="nil"/>
              <w:tr2bl w:val="nil"/>
            </w:tcBorders>
            <w:shd w:val="clear" w:color="auto" w:fill="auto"/>
            <w:vAlign w:val="center"/>
          </w:tcPr>
          <w:p>
            <w:pPr>
              <w:pStyle w:val="42"/>
              <w:jc w:val="center"/>
              <w:rPr>
                <w:rFonts w:hint="eastAsia" w:ascii="Times New Roman" w:hAnsi="Times New Roman" w:eastAsia="宋体" w:cs="Times New Roman"/>
                <w:color w:val="FF0000"/>
                <w:szCs w:val="21"/>
                <w:lang w:eastAsia="zh-CN"/>
              </w:rPr>
            </w:pPr>
            <w:r>
              <w:rPr>
                <w:rFonts w:hint="default" w:ascii="Times New Roman" w:hAnsi="Times New Roman" w:eastAsia="宋体" w:cs="Times New Roman"/>
                <w:color w:val="FF0000"/>
                <w:szCs w:val="21"/>
              </w:rPr>
              <w:t>1次/</w:t>
            </w:r>
            <w:r>
              <w:rPr>
                <w:rFonts w:hint="eastAsia" w:ascii="Times New Roman" w:hAnsi="Times New Roman" w:eastAsia="宋体" w:cs="Times New Roman"/>
                <w:color w:val="FF0000"/>
                <w:szCs w:val="21"/>
                <w:lang w:eastAsia="zh-CN"/>
              </w:rPr>
              <w:t>季度</w:t>
            </w:r>
          </w:p>
        </w:tc>
        <w:tc>
          <w:tcPr>
            <w:tcW w:w="2329"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 w:val="21"/>
                <w:szCs w:val="21"/>
              </w:rPr>
              <w:t>《工业企业厂界环境噪声排放标准》（GB12348-2008）中的</w:t>
            </w:r>
            <w:r>
              <w:rPr>
                <w:rFonts w:hint="eastAsia" w:ascii="Times New Roman" w:hAnsi="Times New Roman" w:eastAsia="宋体" w:cs="Times New Roman"/>
                <w:color w:val="FF0000"/>
                <w:sz w:val="21"/>
                <w:szCs w:val="21"/>
                <w:lang w:val="en-US" w:eastAsia="zh-CN"/>
              </w:rPr>
              <w:t>2</w:t>
            </w:r>
            <w:r>
              <w:rPr>
                <w:rFonts w:hint="default" w:ascii="Times New Roman" w:hAnsi="Times New Roman" w:eastAsia="宋体" w:cs="Times New Roman"/>
                <w:color w:val="FF0000"/>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8"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eastAsia" w:ascii="Times New Roman" w:hAnsi="Times New Roman" w:cs="Times New Roman"/>
                <w:color w:val="FF0000"/>
                <w:kern w:val="2"/>
                <w:sz w:val="21"/>
                <w:szCs w:val="21"/>
                <w:lang w:eastAsia="zh-CN"/>
              </w:rPr>
              <w:t>矿坑涌水</w:t>
            </w:r>
          </w:p>
        </w:tc>
        <w:tc>
          <w:tcPr>
            <w:tcW w:w="2325"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eastAsia" w:ascii="Times New Roman" w:hAnsi="Times New Roman" w:eastAsia="宋体" w:cs="Times New Roman"/>
                <w:color w:val="FF0000"/>
                <w:kern w:val="2"/>
                <w:sz w:val="21"/>
                <w:szCs w:val="21"/>
                <w:lang w:eastAsia="zh-CN"/>
              </w:rPr>
              <w:t>沉淀池</w:t>
            </w:r>
          </w:p>
        </w:tc>
        <w:tc>
          <w:tcPr>
            <w:tcW w:w="2043"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kern w:val="2"/>
                <w:sz w:val="21"/>
                <w:szCs w:val="21"/>
              </w:rPr>
              <w:t>pH值、SS、COD、硫酸盐、钡、氨氮</w:t>
            </w:r>
            <w:r>
              <w:rPr>
                <w:rFonts w:hint="eastAsia" w:ascii="Times New Roman" w:hAnsi="Times New Roman" w:eastAsia="宋体" w:cs="Times New Roman"/>
                <w:color w:val="FF0000"/>
                <w:kern w:val="2"/>
                <w:sz w:val="21"/>
                <w:szCs w:val="21"/>
                <w:lang w:eastAsia="zh-CN"/>
              </w:rPr>
              <w:t>等</w:t>
            </w:r>
            <w:r>
              <w:rPr>
                <w:rFonts w:hint="default" w:ascii="Times New Roman" w:hAnsi="Times New Roman" w:eastAsia="宋体" w:cs="Times New Roman"/>
                <w:color w:val="FF0000"/>
                <w:kern w:val="2"/>
                <w:sz w:val="21"/>
                <w:szCs w:val="21"/>
              </w:rPr>
              <w:t>；</w:t>
            </w:r>
          </w:p>
        </w:tc>
        <w:tc>
          <w:tcPr>
            <w:tcW w:w="1182" w:type="dxa"/>
            <w:tcBorders>
              <w:tl2br w:val="nil"/>
              <w:tr2bl w:val="nil"/>
            </w:tcBorders>
            <w:shd w:val="clear" w:color="auto" w:fill="auto"/>
            <w:vAlign w:val="center"/>
          </w:tcPr>
          <w:p>
            <w:pPr>
              <w:pStyle w:val="42"/>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1次/年</w:t>
            </w:r>
          </w:p>
        </w:tc>
        <w:tc>
          <w:tcPr>
            <w:tcW w:w="2329" w:type="dxa"/>
            <w:tcBorders>
              <w:tl2br w:val="nil"/>
              <w:tr2bl w:val="nil"/>
            </w:tcBorders>
            <w:shd w:val="clear" w:color="auto" w:fill="auto"/>
            <w:vAlign w:val="center"/>
          </w:tcPr>
          <w:p>
            <w:pPr>
              <w:pStyle w:val="42"/>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r>
    </w:tbl>
    <w:p>
      <w:pPr>
        <w:ind w:firstLine="0" w:firstLineChars="0"/>
        <w:jc w:val="center"/>
        <w:rPr>
          <w:rFonts w:hint="default" w:ascii="Times New Roman" w:hAnsi="Times New Roman" w:eastAsia="宋体" w:cs="Times New Roman"/>
          <w:b/>
          <w:bCs/>
          <w:color w:val="FF0000"/>
          <w:lang w:val="en-US" w:eastAsia="zh-CN"/>
        </w:rPr>
      </w:pPr>
      <w:r>
        <w:rPr>
          <w:rFonts w:hint="eastAsia" w:ascii="Times New Roman" w:hAnsi="Times New Roman" w:eastAsia="宋体" w:cs="Times New Roman"/>
          <w:b/>
          <w:bCs/>
          <w:color w:val="FF0000"/>
          <w:lang w:eastAsia="zh-CN"/>
        </w:rPr>
        <w:t>表</w:t>
      </w:r>
      <w:r>
        <w:rPr>
          <w:rFonts w:hint="eastAsia" w:ascii="Times New Roman" w:hAnsi="Times New Roman" w:eastAsia="宋体" w:cs="Times New Roman"/>
          <w:b/>
          <w:bCs/>
          <w:color w:val="FF0000"/>
          <w:lang w:val="en-US" w:eastAsia="zh-CN"/>
        </w:rPr>
        <w:t>8.2-3 生态环境监测内容计划</w:t>
      </w:r>
    </w:p>
    <w:tbl>
      <w:tblPr>
        <w:tblStyle w:val="40"/>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670"/>
        <w:gridCol w:w="1695"/>
        <w:gridCol w:w="34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3" w:type="dxa"/>
            <w:vMerge w:val="restart"/>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监测项目</w:t>
            </w:r>
          </w:p>
        </w:tc>
        <w:tc>
          <w:tcPr>
            <w:tcW w:w="7834" w:type="dxa"/>
            <w:gridSpan w:val="3"/>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Merge w:val="continue"/>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p>
        </w:tc>
        <w:tc>
          <w:tcPr>
            <w:tcW w:w="2670"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val="en-US" w:eastAsia="zh-CN"/>
              </w:rPr>
            </w:pPr>
            <w:r>
              <w:rPr>
                <w:rFonts w:hint="eastAsia" w:ascii="Times New Roman" w:hAnsi="Times New Roman" w:eastAsia="宋体" w:cs="Times New Roman"/>
                <w:b w:val="0"/>
                <w:bCs w:val="0"/>
                <w:color w:val="FF0000"/>
                <w:vertAlign w:val="baseline"/>
                <w:lang w:val="en-US" w:eastAsia="zh-CN"/>
              </w:rPr>
              <w:t>监测项目</w:t>
            </w:r>
          </w:p>
        </w:tc>
        <w:tc>
          <w:tcPr>
            <w:tcW w:w="1695"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val="en-US" w:eastAsia="zh-CN"/>
              </w:rPr>
            </w:pPr>
            <w:r>
              <w:rPr>
                <w:rFonts w:hint="eastAsia" w:ascii="Times New Roman" w:hAnsi="Times New Roman" w:eastAsia="宋体" w:cs="Times New Roman"/>
                <w:b w:val="0"/>
                <w:bCs w:val="0"/>
                <w:color w:val="FF0000"/>
                <w:vertAlign w:val="baseline"/>
                <w:lang w:val="en-US" w:eastAsia="zh-CN"/>
              </w:rPr>
              <w:t>监测频率</w:t>
            </w:r>
          </w:p>
        </w:tc>
        <w:tc>
          <w:tcPr>
            <w:tcW w:w="3469"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val="en-US" w:eastAsia="zh-CN"/>
              </w:rPr>
            </w:pPr>
            <w:r>
              <w:rPr>
                <w:rFonts w:hint="eastAsia" w:ascii="Times New Roman" w:hAnsi="Times New Roman" w:eastAsia="宋体" w:cs="Times New Roman"/>
                <w:b w:val="0"/>
                <w:bCs w:val="0"/>
                <w:color w:val="FF0000"/>
                <w:vertAlign w:val="baseline"/>
                <w:lang w:val="en-US" w:eastAsia="zh-CN"/>
              </w:rPr>
              <w:t>监测地点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植被</w:t>
            </w:r>
          </w:p>
        </w:tc>
        <w:tc>
          <w:tcPr>
            <w:tcW w:w="2670"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植被类型、植被生长状况</w:t>
            </w:r>
          </w:p>
        </w:tc>
        <w:tc>
          <w:tcPr>
            <w:tcW w:w="1695"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val="en-US" w:eastAsia="zh-CN"/>
              </w:rPr>
            </w:pPr>
            <w:r>
              <w:rPr>
                <w:rFonts w:hint="eastAsia" w:ascii="Times New Roman" w:hAnsi="Times New Roman" w:eastAsia="宋体" w:cs="Times New Roman"/>
                <w:color w:val="FF0000"/>
                <w:szCs w:val="21"/>
                <w:lang w:val="en-US" w:eastAsia="zh-CN"/>
              </w:rPr>
              <w:t>2</w:t>
            </w:r>
            <w:r>
              <w:rPr>
                <w:rFonts w:hint="default" w:ascii="Times New Roman" w:hAnsi="Times New Roman" w:eastAsia="宋体" w:cs="Times New Roman"/>
                <w:color w:val="FF0000"/>
                <w:szCs w:val="21"/>
              </w:rPr>
              <w:t>次/年</w:t>
            </w:r>
          </w:p>
        </w:tc>
        <w:tc>
          <w:tcPr>
            <w:tcW w:w="3469"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val="en-US" w:eastAsia="zh-CN"/>
              </w:rPr>
            </w:pPr>
            <w:r>
              <w:rPr>
                <w:rFonts w:hint="eastAsia" w:ascii="Times New Roman" w:hAnsi="Times New Roman" w:eastAsia="宋体" w:cs="Times New Roman"/>
                <w:b w:val="0"/>
                <w:bCs w:val="0"/>
                <w:color w:val="FF0000"/>
                <w:vertAlign w:val="baseline"/>
                <w:lang w:eastAsia="zh-CN"/>
              </w:rPr>
              <w:t>废石场，本项目所涉及区域及周边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tcBorders>
              <w:tl2br w:val="nil"/>
              <w:tr2bl w:val="nil"/>
            </w:tcBorders>
            <w:vAlign w:val="center"/>
          </w:tcPr>
          <w:p>
            <w:pPr>
              <w:jc w:val="center"/>
              <w:rPr>
                <w:rFonts w:hint="eastAsia"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地表岩移观测</w:t>
            </w:r>
          </w:p>
        </w:tc>
        <w:tc>
          <w:tcPr>
            <w:tcW w:w="2670"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下表下沉、地表倾斜、水平移动</w:t>
            </w:r>
          </w:p>
        </w:tc>
        <w:tc>
          <w:tcPr>
            <w:tcW w:w="1695"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按照岩移规范要求</w:t>
            </w:r>
          </w:p>
        </w:tc>
        <w:tc>
          <w:tcPr>
            <w:tcW w:w="3469" w:type="dxa"/>
            <w:tcBorders>
              <w:tl2br w:val="nil"/>
              <w:tr2bl w:val="nil"/>
            </w:tcBorders>
            <w:vAlign w:val="center"/>
          </w:tcPr>
          <w:p>
            <w:pPr>
              <w:jc w:val="center"/>
              <w:rPr>
                <w:rFonts w:hint="default" w:ascii="Times New Roman" w:hAnsi="Times New Roman" w:eastAsia="宋体" w:cs="Times New Roman"/>
                <w:b w:val="0"/>
                <w:bCs w:val="0"/>
                <w:color w:val="FF0000"/>
                <w:vertAlign w:val="baseline"/>
                <w:lang w:eastAsia="zh-CN"/>
              </w:rPr>
            </w:pPr>
            <w:r>
              <w:rPr>
                <w:rFonts w:hint="eastAsia" w:ascii="Times New Roman" w:hAnsi="Times New Roman" w:eastAsia="宋体" w:cs="Times New Roman"/>
                <w:b w:val="0"/>
                <w:bCs w:val="0"/>
                <w:color w:val="FF0000"/>
                <w:vertAlign w:val="baseline"/>
                <w:lang w:eastAsia="zh-CN"/>
              </w:rPr>
              <w:t>岩石移动范围及周边</w:t>
            </w:r>
          </w:p>
        </w:tc>
      </w:tr>
    </w:tbl>
    <w:p>
      <w:pPr>
        <w:pStyle w:val="4"/>
        <w:rPr>
          <w:rFonts w:hint="default"/>
          <w:color w:val="000000" w:themeColor="text1"/>
        </w:rPr>
      </w:pPr>
      <w:bookmarkStart w:id="855" w:name="_Toc12931"/>
      <w:r>
        <w:rPr>
          <w:rFonts w:hint="default"/>
          <w:color w:val="000000" w:themeColor="text1"/>
        </w:rPr>
        <w:t>企业环境信息公开</w:t>
      </w:r>
      <w:bookmarkEnd w:id="855"/>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建设单位应按照《企业事业单位环境信息公开办法》（环保部令第31号）的规定对企业环境信息公开。</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本次评价要求在项目周边张贴公示，公开企业信息如下：</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（1）基础信息：单位名称、组织机构代码、法定代表人、生产地址、联系方式，以及生产经营和管理服务的主要内容、产品及规模；</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（2）排污信息：包括主要污染物及特征污染物的名称、排放方式、排放口数量和分布情况、排放浓度和总量、超标情况，以及执行的污染物排放标准、核定的排放总量；</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（3）防治污染设施政的建设运行情况；</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（4）建设项目环境保护行许可情况；</w:t>
      </w:r>
    </w:p>
    <w:p>
      <w:pPr>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（5）突发环境时间应急预案；</w:t>
      </w:r>
    </w:p>
    <w:p>
      <w:pPr>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（6）当地要求的其他应当公开的环境信息。</w:t>
      </w:r>
    </w:p>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在张贴公示期间未收到公众反馈意见，表明公众对本项目持</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支持</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态度。</w:t>
      </w:r>
    </w:p>
    <w:p>
      <w:pPr>
        <w:pStyle w:val="4"/>
        <w:rPr>
          <w:color w:val="000000" w:themeColor="text1"/>
        </w:rPr>
      </w:pPr>
      <w:bookmarkStart w:id="856" w:name="_Toc21241"/>
      <w:r>
        <w:rPr>
          <w:color w:val="000000" w:themeColor="text1"/>
        </w:rPr>
        <w:t>项目竣工环保验收管理</w:t>
      </w:r>
      <w:bookmarkEnd w:id="85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（1）验收范围：环评报告书、批复文件和有关设计文件规定应采取的各项环保治理设施与措施。</w:t>
      </w:r>
    </w:p>
    <w:p>
      <w:pPr>
        <w:keepNext w:val="0"/>
        <w:keepLines w:val="0"/>
        <w:pageBreakBefore w:val="0"/>
        <w:widowControl w:val="0"/>
        <w:tabs>
          <w:tab w:val="left" w:pos="469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（2）验收清单：项目建成后，建设单位应按照国务院环境保护行政主管部门规定的标准和程序，对配套建设的环境保护设施进行验收，编制验收报告。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营运期环保设施竣工验收建议清单见表8.4-1。</w:t>
      </w:r>
    </w:p>
    <w:p>
      <w:pPr>
        <w:tabs>
          <w:tab w:val="left" w:pos="1331"/>
        </w:tabs>
        <w:ind w:firstLine="422"/>
        <w:jc w:val="center"/>
        <w:rPr>
          <w:rFonts w:asciiTheme="minorEastAsia" w:hAnsiTheme="minorEastAsia" w:eastAsiaTheme="minorEastAsia" w:cstheme="minorEastAsia"/>
          <w:b/>
          <w:bCs/>
          <w:color w:val="000000" w:themeColor="text1"/>
          <w:sz w:val="21"/>
          <w:szCs w:val="21"/>
        </w:rPr>
      </w:pPr>
      <w:r>
        <w:rPr>
          <w:rFonts w:hint="default" w:ascii="Times New Roman" w:hAnsi="Times New Roman" w:eastAsia="宋体" w:cs="Times New Roman"/>
          <w:b/>
          <w:bCs/>
          <w:color w:val="000000" w:themeColor="text1"/>
          <w:sz w:val="21"/>
          <w:szCs w:val="21"/>
        </w:rPr>
        <w:t>表8.4-1环境保护设施验收建议清单</w:t>
      </w:r>
    </w:p>
    <w:tbl>
      <w:tblPr>
        <w:tblStyle w:val="39"/>
        <w:tblW w:w="89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492"/>
        <w:gridCol w:w="2322"/>
        <w:gridCol w:w="1502"/>
        <w:gridCol w:w="2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2374" w:type="dxa"/>
            <w:gridSpan w:val="2"/>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项目和费用名称</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治理措施</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数量</w:t>
            </w:r>
          </w:p>
        </w:tc>
        <w:tc>
          <w:tcPr>
            <w:tcW w:w="2759"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处理效果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82"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矿井废气</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喷雾洒水装置及通风系统</w:t>
            </w:r>
          </w:p>
        </w:tc>
        <w:tc>
          <w:tcPr>
            <w:tcW w:w="1502"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2</w:t>
            </w:r>
            <w:r>
              <w:rPr>
                <w:rFonts w:hint="default" w:ascii="Times New Roman" w:hAnsi="Times New Roman" w:eastAsia="宋体" w:cs="Times New Roman"/>
                <w:color w:val="000000" w:themeColor="text1"/>
              </w:rPr>
              <w:t>套</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K1和K2各一套</w:t>
            </w:r>
            <w:r>
              <w:rPr>
                <w:rFonts w:hint="eastAsia" w:ascii="Times New Roman" w:hAnsi="Times New Roman" w:eastAsia="宋体" w:cs="Times New Roman"/>
                <w:color w:val="000000" w:themeColor="text1"/>
                <w:lang w:eastAsia="zh-CN"/>
              </w:rPr>
              <w:t>）</w:t>
            </w:r>
          </w:p>
        </w:tc>
        <w:tc>
          <w:tcPr>
            <w:tcW w:w="2759" w:type="dxa"/>
            <w:vMerge w:val="restart"/>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eastAsia="宋体" w:cs="Times New Roman"/>
                <w:color w:val="000000" w:themeColor="text1"/>
                <w:sz w:val="21"/>
                <w:szCs w:val="21"/>
              </w:rPr>
              <w:t>《大气污染物综合排放标准》（GB-16297-1996）</w:t>
            </w:r>
            <w:r>
              <w:rPr>
                <w:rFonts w:hint="eastAsia" w:ascii="Times New Roman" w:eastAsia="宋体" w:cs="Times New Roman"/>
                <w:color w:val="000000" w:themeColor="text1"/>
                <w:sz w:val="21"/>
                <w:szCs w:val="21"/>
                <w:lang w:eastAsia="zh-CN"/>
              </w:rPr>
              <w:t>粉尘无组织排放限值</w:t>
            </w:r>
            <w:r>
              <w:rPr>
                <w:rFonts w:hint="eastAsia" w:ascii="Times New Roman" w:eastAsia="宋体" w:cs="Times New Roman"/>
                <w:color w:val="000000" w:themeColor="text1"/>
                <w:sz w:val="21"/>
                <w:szCs w:val="21"/>
              </w:rPr>
              <w:t>1</w:t>
            </w:r>
            <w:r>
              <w:rPr>
                <w:rFonts w:hint="eastAsia" w:ascii="Times New Roman" w:eastAsia="宋体" w:cs="Times New Roman"/>
                <w:color w:val="000000" w:themeColor="text1"/>
                <w:sz w:val="21"/>
                <w:szCs w:val="21"/>
                <w:lang w:val="en-US" w:eastAsia="zh-CN"/>
              </w:rPr>
              <w:t>.0</w:t>
            </w:r>
            <w:r>
              <w:rPr>
                <w:rFonts w:hint="eastAsia" w:ascii="Times New Roman" w:eastAsia="宋体" w:cs="Times New Roman"/>
                <w:color w:val="000000" w:themeColor="text1"/>
                <w:sz w:val="21"/>
                <w:szCs w:val="21"/>
              </w:rPr>
              <w:t>mg/m</w:t>
            </w:r>
            <w:r>
              <w:rPr>
                <w:rFonts w:hint="eastAsia" w:ascii="Times New Roman" w:eastAsia="宋体" w:cs="Times New Roman"/>
                <w:color w:val="000000" w:themeColor="text1"/>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82"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矿石堆放转运扬尘</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矿石堆棚</w:t>
            </w:r>
            <w:r>
              <w:rPr>
                <w:rFonts w:hint="eastAsia" w:ascii="Times New Roman" w:hAnsi="Times New Roman" w:eastAsia="宋体" w:cs="Times New Roman"/>
                <w:color w:val="000000" w:themeColor="text1"/>
                <w:lang w:val="en-US" w:eastAsia="zh-CN"/>
              </w:rPr>
              <w:t>+</w:t>
            </w:r>
            <w:r>
              <w:rPr>
                <w:rFonts w:hint="eastAsia" w:ascii="Times New Roman" w:hAnsi="Times New Roman" w:eastAsia="宋体" w:cs="Times New Roman"/>
                <w:color w:val="000000" w:themeColor="text1"/>
                <w:lang w:eastAsia="zh-CN"/>
              </w:rPr>
              <w:t>喷淋</w:t>
            </w:r>
            <w:r>
              <w:rPr>
                <w:rFonts w:hint="default" w:ascii="Times New Roman" w:hAnsi="Times New Roman" w:eastAsia="宋体" w:cs="Times New Roman"/>
                <w:color w:val="000000" w:themeColor="text1"/>
              </w:rPr>
              <w:t>装置</w:t>
            </w:r>
          </w:p>
        </w:tc>
        <w:tc>
          <w:tcPr>
            <w:tcW w:w="1502"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共6套</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K1和K2各三套</w:t>
            </w:r>
            <w:r>
              <w:rPr>
                <w:rFonts w:hint="eastAsia" w:ascii="Times New Roman" w:hAnsi="Times New Roman" w:eastAsia="宋体" w:cs="Times New Roman"/>
                <w:color w:val="000000" w:themeColor="text1"/>
                <w:lang w:eastAsia="zh-CN"/>
              </w:rPr>
              <w:t>）</w:t>
            </w:r>
          </w:p>
        </w:tc>
        <w:tc>
          <w:tcPr>
            <w:tcW w:w="2759" w:type="dxa"/>
            <w:vMerge w:val="continue"/>
            <w:tcBorders>
              <w:tl2br w:val="nil"/>
              <w:tr2bl w:val="nil"/>
            </w:tcBorders>
            <w:vAlign w:val="center"/>
          </w:tcPr>
          <w:p>
            <w:pPr>
              <w:pStyle w:val="42"/>
              <w:rPr>
                <w:rFonts w:hint="eastAsia" w:ascii="Times New Roman" w:hAnsi="Times New Roman" w:eastAsia="宋体" w:cs="Times New Roman"/>
                <w:color w:val="000000" w:themeColor="text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882"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492" w:type="dxa"/>
            <w:tcBorders>
              <w:tl2br w:val="nil"/>
              <w:tr2bl w:val="nil"/>
            </w:tcBorders>
            <w:vAlign w:val="center"/>
          </w:tcPr>
          <w:p>
            <w:pPr>
              <w:keepNext/>
              <w:keepLines/>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2"/>
              </w:rPr>
            </w:pPr>
            <w:r>
              <w:rPr>
                <w:rFonts w:hint="default" w:ascii="Times New Roman" w:hAnsi="Times New Roman" w:eastAsia="宋体" w:cs="Times New Roman"/>
                <w:color w:val="000000" w:themeColor="text1"/>
                <w:kern w:val="2"/>
                <w:sz w:val="21"/>
                <w:szCs w:val="22"/>
              </w:rPr>
              <w:t>餐饮油烟</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油烟净化器</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1台</w:t>
            </w:r>
          </w:p>
        </w:tc>
        <w:tc>
          <w:tcPr>
            <w:tcW w:w="2759"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eastAsia="宋体" w:cs="Times New Roman"/>
                <w:color w:val="000000" w:themeColor="text1"/>
                <w:sz w:val="21"/>
                <w:szCs w:val="21"/>
              </w:rPr>
              <w:t>《饮食业油烟排放标准</w:t>
            </w:r>
            <w:r>
              <w:rPr>
                <w:rFonts w:hint="eastAsia" w:ascii="Times New Roman" w:eastAsia="宋体" w:cs="Times New Roman"/>
                <w:color w:val="000000" w:themeColor="text1"/>
                <w:sz w:val="21"/>
                <w:szCs w:val="21"/>
                <w:lang w:eastAsia="zh-CN"/>
              </w:rPr>
              <w:t>（试行）</w:t>
            </w:r>
            <w:r>
              <w:rPr>
                <w:rFonts w:hint="eastAsia" w:ascii="Times New Roman" w:eastAsia="宋体" w:cs="Times New Roman"/>
                <w:color w:val="000000" w:themeColor="text1"/>
                <w:sz w:val="21"/>
                <w:szCs w:val="21"/>
              </w:rPr>
              <w:t>》（GB18483-2001）2.0mg/m</w:t>
            </w:r>
            <w:r>
              <w:rPr>
                <w:rFonts w:hint="eastAsia" w:ascii="Times New Roman" w:eastAsia="宋体" w:cs="Times New Roman"/>
                <w:color w:val="000000" w:themeColor="text1"/>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882"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矿井排水</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各</w:t>
            </w:r>
            <w:r>
              <w:rPr>
                <w:rFonts w:hint="default" w:ascii="Times New Roman" w:hAnsi="Times New Roman" w:eastAsia="宋体" w:cs="Times New Roman"/>
                <w:color w:val="000000" w:themeColor="text1"/>
              </w:rPr>
              <w:t>硐口设置</w:t>
            </w:r>
            <w:r>
              <w:rPr>
                <w:rFonts w:hint="eastAsia" w:ascii="Times New Roman" w:hAnsi="Times New Roman" w:eastAsia="宋体" w:cs="Times New Roman"/>
                <w:color w:val="000000" w:themeColor="text1"/>
                <w:lang w:val="en-US" w:eastAsia="zh-CN"/>
              </w:rPr>
              <w:t>6</w:t>
            </w:r>
            <w:r>
              <w:rPr>
                <w:rFonts w:hint="default" w:ascii="Times New Roman" w:hAnsi="Times New Roman" w:eastAsia="宋体" w:cs="Times New Roman"/>
                <w:color w:val="000000" w:themeColor="text1"/>
              </w:rPr>
              <w:t>m</w:t>
            </w:r>
            <w:r>
              <w:rPr>
                <w:rFonts w:hint="default" w:ascii="Times New Roman" w:hAnsi="Times New Roman" w:eastAsia="宋体" w:cs="Times New Roman"/>
                <w:color w:val="000000" w:themeColor="text1"/>
                <w:vertAlign w:val="superscript"/>
              </w:rPr>
              <w:t>3</w:t>
            </w:r>
            <w:r>
              <w:rPr>
                <w:rFonts w:hint="default" w:ascii="Times New Roman" w:hAnsi="Times New Roman" w:eastAsia="宋体" w:cs="Times New Roman"/>
                <w:color w:val="000000" w:themeColor="text1"/>
              </w:rPr>
              <w:t>沉淀池，并配备排水回用设备</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6</w:t>
            </w:r>
            <w:r>
              <w:rPr>
                <w:rFonts w:hint="default" w:ascii="Times New Roman" w:hAnsi="Times New Roman" w:eastAsia="宋体" w:cs="Times New Roman"/>
                <w:color w:val="000000" w:themeColor="text1"/>
              </w:rPr>
              <w:t>套</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K1和K2各三套</w:t>
            </w:r>
            <w:r>
              <w:rPr>
                <w:rFonts w:hint="eastAsia" w:ascii="Times New Roman" w:hAnsi="Times New Roman" w:eastAsia="宋体" w:cs="Times New Roman"/>
                <w:color w:val="000000" w:themeColor="text1"/>
                <w:lang w:eastAsia="zh-CN"/>
              </w:rPr>
              <w:t>）</w:t>
            </w:r>
          </w:p>
        </w:tc>
        <w:tc>
          <w:tcPr>
            <w:tcW w:w="2759"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场地回用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882"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生活污水</w:t>
            </w:r>
          </w:p>
        </w:tc>
        <w:tc>
          <w:tcPr>
            <w:tcW w:w="2322"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化粪池</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2座</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K1和K2各一座</w:t>
            </w:r>
            <w:r>
              <w:rPr>
                <w:rFonts w:hint="eastAsia" w:ascii="Times New Roman" w:hAnsi="Times New Roman" w:eastAsia="宋体" w:cs="Times New Roman"/>
                <w:color w:val="000000" w:themeColor="text1"/>
                <w:lang w:eastAsia="zh-CN"/>
              </w:rPr>
              <w:t>）</w:t>
            </w:r>
          </w:p>
        </w:tc>
        <w:tc>
          <w:tcPr>
            <w:tcW w:w="2759" w:type="dxa"/>
            <w:tcBorders>
              <w:tl2br w:val="nil"/>
              <w:tr2bl w:val="nil"/>
            </w:tcBorders>
            <w:vAlign w:val="center"/>
          </w:tcPr>
          <w:p>
            <w:pPr>
              <w:pStyle w:val="42"/>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清掏肥田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2"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分区防渗</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bCs/>
                <w:color w:val="000000" w:themeColor="text1"/>
                <w:sz w:val="21"/>
                <w:szCs w:val="21"/>
                <w:vertAlign w:val="baseline"/>
                <w:lang w:val="en-US" w:eastAsia="zh-CN"/>
              </w:rPr>
              <w:t>危险废物贮存场所、生产废水沉淀池为重点防渗区。</w:t>
            </w:r>
            <w:r>
              <w:rPr>
                <w:rFonts w:hint="eastAsia" w:ascii="Times New Roman" w:hAnsi="Times New Roman" w:eastAsia="宋体" w:cs="Times New Roman"/>
                <w:color w:val="000000" w:themeColor="text1"/>
                <w:sz w:val="21"/>
                <w:szCs w:val="21"/>
                <w:lang w:val="en-US" w:eastAsia="zh-CN"/>
              </w:rPr>
              <w:t>化粪池为一般防渗区。其他场地一般地面硬化</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bCs/>
                <w:color w:val="000000" w:themeColor="text1"/>
                <w:sz w:val="21"/>
                <w:szCs w:val="21"/>
                <w:vertAlign w:val="baseline"/>
                <w:lang w:eastAsia="zh-CN"/>
              </w:rPr>
            </w:pPr>
            <w:r>
              <w:rPr>
                <w:rFonts w:hint="eastAsia" w:ascii="Times New Roman" w:hAnsi="Times New Roman" w:eastAsia="宋体" w:cs="Times New Roman"/>
                <w:color w:val="000000" w:themeColor="text1"/>
                <w:lang w:eastAsia="zh-CN"/>
              </w:rPr>
              <w:t>重点防渗区：</w:t>
            </w:r>
            <w:r>
              <w:rPr>
                <w:rFonts w:hint="default" w:ascii="Times New Roman" w:hAnsi="Times New Roman" w:eastAsia="宋体" w:cs="Times New Roman"/>
                <w:bCs/>
                <w:color w:val="000000" w:themeColor="text1"/>
                <w:sz w:val="21"/>
                <w:szCs w:val="21"/>
                <w:vertAlign w:val="baseline"/>
              </w:rPr>
              <w:t>等效粘土防渗层 Mb≥6.0m，K≤1×10</w:t>
            </w:r>
            <w:r>
              <w:rPr>
                <w:rFonts w:hint="default" w:ascii="Times New Roman" w:hAnsi="Times New Roman" w:eastAsia="宋体" w:cs="Times New Roman"/>
                <w:bCs/>
                <w:color w:val="000000" w:themeColor="text1"/>
                <w:sz w:val="21"/>
                <w:szCs w:val="21"/>
                <w:vertAlign w:val="superscript"/>
              </w:rPr>
              <w:t xml:space="preserve"> -7 </w:t>
            </w:r>
            <w:r>
              <w:rPr>
                <w:rFonts w:hint="default" w:ascii="Times New Roman" w:hAnsi="Times New Roman" w:eastAsia="宋体" w:cs="Times New Roman"/>
                <w:bCs/>
                <w:color w:val="000000" w:themeColor="text1"/>
                <w:sz w:val="21"/>
                <w:szCs w:val="21"/>
                <w:vertAlign w:val="baseline"/>
              </w:rPr>
              <w:t>cm/s；或参照GB18598 执行</w:t>
            </w:r>
            <w:r>
              <w:rPr>
                <w:rFonts w:hint="eastAsia" w:ascii="Times New Roman" w:hAnsi="Times New Roman" w:eastAsia="宋体" w:cs="Times New Roman"/>
                <w:bCs/>
                <w:color w:val="000000" w:themeColor="text1"/>
                <w:sz w:val="21"/>
                <w:szCs w:val="21"/>
                <w:vertAlign w:val="baseline"/>
                <w:lang w:eastAsia="zh-CN"/>
              </w:rPr>
              <w:t>；一般防渗区：</w:t>
            </w:r>
            <w:r>
              <w:rPr>
                <w:rFonts w:hint="default" w:ascii="Times New Roman" w:hAnsi="Times New Roman" w:eastAsia="宋体" w:cs="Times New Roman"/>
                <w:bCs/>
                <w:color w:val="000000" w:themeColor="text1"/>
                <w:sz w:val="21"/>
                <w:szCs w:val="21"/>
                <w:vertAlign w:val="baseline"/>
              </w:rPr>
              <w:t>等效粘土防渗层 Mb≥1.5m，K≤1×10</w:t>
            </w:r>
            <w:r>
              <w:rPr>
                <w:rFonts w:hint="default" w:ascii="Times New Roman" w:hAnsi="Times New Roman" w:eastAsia="宋体" w:cs="Times New Roman"/>
                <w:bCs/>
                <w:color w:val="000000" w:themeColor="text1"/>
                <w:sz w:val="21"/>
                <w:szCs w:val="21"/>
                <w:vertAlign w:val="superscript"/>
              </w:rPr>
              <w:t>-7</w:t>
            </w:r>
            <w:r>
              <w:rPr>
                <w:rFonts w:hint="default" w:ascii="Times New Roman" w:hAnsi="Times New Roman" w:eastAsia="宋体" w:cs="Times New Roman"/>
                <w:bCs/>
                <w:color w:val="000000" w:themeColor="text1"/>
                <w:sz w:val="21"/>
                <w:szCs w:val="21"/>
                <w:vertAlign w:val="baseline"/>
              </w:rPr>
              <w:t xml:space="preserve"> cm/s；或参照 GB16889执行</w:t>
            </w:r>
            <w:r>
              <w:rPr>
                <w:rFonts w:hint="eastAsia" w:ascii="Times New Roman" w:hAnsi="Times New Roman" w:eastAsia="宋体" w:cs="Times New Roman"/>
                <w:bCs/>
                <w:color w:val="000000" w:themeColor="text1"/>
                <w:sz w:val="21"/>
                <w:szCs w:val="21"/>
                <w:vertAlign w:val="baseline"/>
                <w:lang w:eastAsia="zh-CN"/>
              </w:rPr>
              <w:t>；简单防渗区：</w:t>
            </w:r>
            <w:r>
              <w:rPr>
                <w:rFonts w:hint="default" w:ascii="Times New Roman" w:hAnsi="Times New Roman" w:eastAsia="宋体" w:cs="Times New Roman"/>
                <w:bCs/>
                <w:color w:val="000000" w:themeColor="text1"/>
                <w:sz w:val="21"/>
                <w:szCs w:val="21"/>
                <w:vertAlign w:val="baseline"/>
              </w:rPr>
              <w:t>一般地面硬化</w:t>
            </w:r>
            <w:r>
              <w:rPr>
                <w:rFonts w:hint="eastAsia" w:ascii="Times New Roman" w:hAnsi="Times New Roman" w:eastAsia="宋体" w:cs="Times New Roman"/>
                <w:bCs/>
                <w:color w:val="000000" w:themeColor="text1"/>
                <w:sz w:val="21"/>
                <w:szCs w:val="21"/>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88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w:t>
            </w: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设备</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lang w:eastAsia="zh-CN"/>
              </w:rPr>
              <w:t>空压机房、消声器</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2759"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《工业企业厂界环境噪声排放标准》（GB123148-2008）</w:t>
            </w:r>
            <w:r>
              <w:rPr>
                <w:rFonts w:hint="eastAsia" w:ascii="Times New Roman" w:hAnsi="Times New Roman" w:eastAsia="宋体" w:cs="Times New Roman"/>
                <w:color w:val="000000" w:themeColor="text1"/>
                <w:lang w:val="en-US" w:eastAsia="zh-CN"/>
              </w:rPr>
              <w:t>2</w:t>
            </w:r>
            <w:r>
              <w:rPr>
                <w:rFonts w:hint="default" w:ascii="Times New Roman" w:hAnsi="Times New Roman" w:eastAsia="宋体" w:cs="Times New Roman"/>
                <w:color w:val="000000" w:themeColor="text1"/>
              </w:rPr>
              <w:t>类标准要求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882" w:type="dxa"/>
            <w:vMerge w:val="restart"/>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w:t>
            </w: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生活垃圾</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垃圾箱</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数个</w:t>
            </w:r>
          </w:p>
        </w:tc>
        <w:tc>
          <w:tcPr>
            <w:tcW w:w="2759"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100%合理处置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882"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废机油</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危险废物暂存间</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1</w:t>
            </w:r>
            <w:r>
              <w:rPr>
                <w:rFonts w:hint="default" w:ascii="Times New Roman" w:hAnsi="Times New Roman" w:eastAsia="宋体" w:cs="Times New Roman"/>
                <w:color w:val="000000" w:themeColor="text1"/>
                <w:lang w:eastAsia="zh-CN"/>
              </w:rPr>
              <w:t>座</w:t>
            </w:r>
          </w:p>
        </w:tc>
        <w:tc>
          <w:tcPr>
            <w:tcW w:w="2759"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《危险废物贮存污染控制标准》（GB18597-2001）及《危险废物转移联单管理办法》</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2022年1月1日</w:t>
            </w:r>
            <w:r>
              <w:rPr>
                <w:rFonts w:hint="eastAsia" w:ascii="Times New Roman" w:hAnsi="Times New Roman" w:eastAsia="宋体" w:cs="Times New Roman"/>
                <w:color w:val="000000" w:themeColor="text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882" w:type="dxa"/>
            <w:vMerge w:val="continue"/>
            <w:tcBorders>
              <w:tl2br w:val="nil"/>
              <w:tr2bl w:val="nil"/>
            </w:tcBorders>
            <w:vAlign w:val="center"/>
          </w:tcPr>
          <w:p>
            <w:pPr>
              <w:pStyle w:val="42"/>
              <w:rPr>
                <w:rFonts w:hint="default" w:ascii="Times New Roman" w:hAnsi="Times New Roman" w:eastAsia="宋体" w:cs="Times New Roman"/>
                <w:color w:val="000000" w:themeColor="text1"/>
              </w:rPr>
            </w:pP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采矿废石</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现有工程采矿废石设置挡渣坝、截排水沟等，扩建项目废石全部充填采空区</w:t>
            </w:r>
          </w:p>
        </w:tc>
        <w:tc>
          <w:tcPr>
            <w:tcW w:w="150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挡渣坝三套；截排水沟数条</w:t>
            </w:r>
          </w:p>
        </w:tc>
        <w:tc>
          <w:tcPr>
            <w:tcW w:w="2759"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按照</w:t>
            </w:r>
            <w:r>
              <w:rPr>
                <w:rFonts w:hint="default" w:ascii="Times New Roman" w:hAnsi="Times New Roman" w:eastAsia="宋体" w:cs="Times New Roman"/>
                <w:color w:val="000000" w:themeColor="text1"/>
              </w:rPr>
              <w:t>《陕西省旬阳县赤岩镇水磨河口构皮沟毒重石矿矿山地质环境保护与恢复治理方案》</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旬阳县赤岩镇水磨河口构皮沟毒重石矿扩建项目</w:t>
            </w:r>
            <w:r>
              <w:rPr>
                <w:rFonts w:hint="default" w:ascii="Times New Roman" w:hAnsi="Times New Roman" w:eastAsia="宋体" w:cs="Times New Roman"/>
                <w:color w:val="000000" w:themeColor="text1"/>
                <w:lang w:val="en-US" w:eastAsia="zh-CN"/>
              </w:rPr>
              <w:t>水土保持方案</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等相关文件对场地进行生态恢复。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jc w:val="center"/>
        </w:trPr>
        <w:tc>
          <w:tcPr>
            <w:tcW w:w="88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生态</w:t>
            </w:r>
          </w:p>
        </w:tc>
        <w:tc>
          <w:tcPr>
            <w:tcW w:w="149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采空区塌陷等地质灾害；绿化；边坡、截排水沟等建设</w:t>
            </w:r>
          </w:p>
        </w:tc>
        <w:tc>
          <w:tcPr>
            <w:tcW w:w="2322" w:type="dxa"/>
            <w:tcBorders>
              <w:tl2br w:val="nil"/>
              <w:tr2bl w:val="nil"/>
            </w:tcBorders>
            <w:vAlign w:val="center"/>
          </w:tcPr>
          <w:p>
            <w:pPr>
              <w:pStyle w:val="42"/>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支护、回填、采空区加强管理；场区周边绿化；边坡加固；各场地周边设截排水沟</w:t>
            </w:r>
          </w:p>
        </w:tc>
        <w:tc>
          <w:tcPr>
            <w:tcW w:w="1502"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val="en-US" w:eastAsia="zh-CN"/>
              </w:rPr>
              <w:t>/</w:t>
            </w:r>
          </w:p>
        </w:tc>
        <w:tc>
          <w:tcPr>
            <w:tcW w:w="2759" w:type="dxa"/>
            <w:tcBorders>
              <w:tl2br w:val="nil"/>
              <w:tr2bl w:val="nil"/>
            </w:tcBorders>
            <w:vAlign w:val="center"/>
          </w:tcPr>
          <w:p>
            <w:pPr>
              <w:pStyle w:val="42"/>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除工业场地、废石场等区域，无裸露地面；采空区无塌陷现象等。</w:t>
            </w:r>
          </w:p>
        </w:tc>
      </w:tr>
    </w:tbl>
    <w:p>
      <w:pPr>
        <w:pStyle w:val="4"/>
        <w:rPr>
          <w:rFonts w:hint="eastAsia"/>
          <w:color w:val="000000" w:themeColor="text1"/>
          <w:lang w:val="en-US" w:eastAsia="zh-CN"/>
        </w:rPr>
      </w:pPr>
      <w:r>
        <w:rPr>
          <w:rFonts w:hint="eastAsia"/>
          <w:color w:val="000000" w:themeColor="text1"/>
          <w:lang w:val="en-US" w:eastAsia="zh-CN"/>
        </w:rPr>
        <w:t>排污许可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根据《固定污染源排污许可分类管理名录》（2019年版），本项目属于</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六、非金属矿采选业7、化学矿开采</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，本项目不涉及通用工序重点管理和简化管理，属于</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其他</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，应该进行登记管理</w:t>
      </w:r>
      <w:r>
        <w:rPr>
          <w:rFonts w:hint="eastAsia" w:ascii="Times New Roman" w:hAnsi="Times New Roman" w:eastAsia="宋体" w:cs="Times New Roman"/>
          <w:color w:val="000000" w:themeColor="text1"/>
          <w:sz w:val="24"/>
          <w:szCs w:val="24"/>
          <w:lang w:val="en-US" w:eastAsia="zh-CN"/>
        </w:rPr>
        <w:t>，现有项目的固定污染源排污登记回执见附件12</w:t>
      </w:r>
      <w:r>
        <w:rPr>
          <w:rFonts w:hint="default" w:ascii="Times New Roman" w:hAnsi="Times New Roman" w:eastAsia="宋体" w:cs="Times New Roman"/>
          <w:color w:val="000000" w:themeColor="text1"/>
          <w:sz w:val="24"/>
          <w:szCs w:val="24"/>
          <w:lang w:val="en-US" w:eastAsia="zh-CN"/>
        </w:rPr>
        <w:t>。</w:t>
      </w:r>
    </w:p>
    <w:p>
      <w:pPr>
        <w:pStyle w:val="4"/>
        <w:rPr>
          <w:rFonts w:hint="eastAsia"/>
          <w:color w:val="000000" w:themeColor="text1"/>
          <w:lang w:val="en-US" w:eastAsia="zh-CN"/>
        </w:rPr>
      </w:pPr>
      <w:r>
        <w:rPr>
          <w:rFonts w:hint="eastAsia"/>
          <w:color w:val="000000" w:themeColor="text1"/>
          <w:lang w:val="en-US" w:eastAsia="zh-CN"/>
        </w:rPr>
        <w:t>总量控制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color w:val="000000" w:themeColor="text1"/>
          <w:lang w:val="en-US" w:eastAsia="zh-CN"/>
        </w:rPr>
      </w:pPr>
      <w:r>
        <w:rPr>
          <w:rFonts w:hint="eastAsia" w:ascii="Times New Roman" w:hAnsi="Times New Roman" w:eastAsia="宋体" w:cs="Times New Roman"/>
          <w:color w:val="000000" w:themeColor="text1"/>
          <w:sz w:val="24"/>
          <w:szCs w:val="24"/>
          <w:lang w:val="en-US" w:eastAsia="zh-CN"/>
        </w:rPr>
        <w:t>本项目废水不排放，排放的无组织废气的主要污染因子为颗粒物，不含氮氧化物、二氧化硫、挥发性有机物，故本项目不需要申请总量控制指标。</w:t>
      </w:r>
    </w:p>
    <w:p>
      <w:pPr>
        <w:tabs>
          <w:tab w:val="left" w:pos="1331"/>
        </w:tabs>
        <w:ind w:firstLine="480"/>
        <w:jc w:val="center"/>
        <w:rPr>
          <w:rFonts w:eastAsia="黑体"/>
          <w:color w:val="000000" w:themeColor="text1"/>
        </w:rPr>
      </w:pPr>
    </w:p>
    <w:p>
      <w:pPr>
        <w:pStyle w:val="55"/>
        <w:rPr>
          <w:rFonts w:ascii="Times New Roman" w:hAnsi="Times New Roman"/>
          <w:color w:val="000000" w:themeColor="text1"/>
          <w:szCs w:val="21"/>
        </w:rPr>
        <w:sectPr>
          <w:headerReference r:id="rId12" w:type="default"/>
          <w:pgSz w:w="11906" w:h="16838"/>
          <w:pgMar w:top="1134" w:right="1418" w:bottom="1134" w:left="1418" w:header="850" w:footer="567" w:gutter="0"/>
          <w:pgBorders>
            <w:top w:val="none" w:sz="0" w:space="0"/>
            <w:left w:val="none" w:sz="0" w:space="0"/>
            <w:bottom w:val="none" w:sz="0" w:space="0"/>
            <w:right w:val="none" w:sz="0" w:space="0"/>
          </w:pgBorders>
          <w:pgNumType w:fmt="decimal"/>
          <w:cols w:space="720" w:num="1"/>
          <w:docGrid w:linePitch="326" w:charSpace="0"/>
        </w:sectPr>
      </w:pPr>
    </w:p>
    <w:p>
      <w:pPr>
        <w:pStyle w:val="3"/>
        <w:keepNext/>
        <w:keepLines/>
        <w:pageBreakBefore w:val="0"/>
        <w:widowControl w:val="0"/>
        <w:kinsoku/>
        <w:wordWrap/>
        <w:overflowPunct/>
        <w:topLinePunct w:val="0"/>
        <w:autoSpaceDE/>
        <w:autoSpaceDN/>
        <w:bidi w:val="0"/>
        <w:adjustRightInd/>
        <w:snapToGrid/>
        <w:spacing w:before="0"/>
        <w:ind w:left="431" w:hanging="431"/>
        <w:textAlignment w:val="auto"/>
        <w:outlineLvl w:val="0"/>
        <w:rPr>
          <w:rFonts w:hint="default"/>
          <w:color w:val="000000" w:themeColor="text1"/>
        </w:rPr>
      </w:pPr>
      <w:bookmarkStart w:id="857" w:name="_Toc16924_WPSOffice_Level3"/>
      <w:bookmarkStart w:id="858" w:name="_Toc29529"/>
      <w:r>
        <w:rPr>
          <w:rFonts w:hint="default"/>
          <w:color w:val="000000" w:themeColor="text1"/>
        </w:rPr>
        <w:t>环境影响评价结论</w:t>
      </w:r>
      <w:bookmarkEnd w:id="857"/>
      <w:bookmarkEnd w:id="858"/>
    </w:p>
    <w:p>
      <w:pPr>
        <w:pStyle w:val="4"/>
        <w:rPr>
          <w:color w:val="000000" w:themeColor="text1"/>
        </w:rPr>
      </w:pPr>
      <w:bookmarkStart w:id="859" w:name="_Toc17437"/>
      <w:r>
        <w:rPr>
          <w:color w:val="000000" w:themeColor="text1"/>
        </w:rPr>
        <w:t>建设项目概况</w:t>
      </w:r>
      <w:bookmarkEnd w:id="85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旬阳县恒欣矿业有限公司旬阳县赤岩镇水磨河口构皮沟毒重石（重晶石及伴生毒重石）矿扩建项目</w:t>
      </w:r>
      <w:r>
        <w:rPr>
          <w:rFonts w:hint="default" w:ascii="Times New Roman" w:hAnsi="Times New Roman" w:eastAsia="宋体" w:cs="Times New Roman"/>
          <w:color w:val="000000" w:themeColor="text1"/>
          <w:spacing w:val="-2"/>
          <w:sz w:val="24"/>
          <w:szCs w:val="24"/>
        </w:rPr>
        <w:t>位于</w:t>
      </w:r>
      <w:r>
        <w:rPr>
          <w:rFonts w:hint="default" w:ascii="Times New Roman" w:hAnsi="Times New Roman" w:eastAsia="宋体" w:cs="Times New Roman"/>
          <w:bCs/>
          <w:color w:val="000000" w:themeColor="text1"/>
          <w:spacing w:val="-2"/>
          <w:sz w:val="24"/>
          <w:szCs w:val="24"/>
        </w:rPr>
        <w:t>旬阳</w:t>
      </w:r>
      <w:r>
        <w:rPr>
          <w:rFonts w:hint="eastAsia" w:ascii="Times New Roman" w:hAnsi="Times New Roman" w:eastAsia="宋体" w:cs="Times New Roman"/>
          <w:bCs/>
          <w:color w:val="000000" w:themeColor="text1"/>
          <w:spacing w:val="-2"/>
          <w:sz w:val="24"/>
          <w:szCs w:val="24"/>
          <w:lang w:eastAsia="zh-CN"/>
        </w:rPr>
        <w:t>市</w:t>
      </w:r>
      <w:r>
        <w:rPr>
          <w:rFonts w:hint="default" w:ascii="Times New Roman" w:hAnsi="Times New Roman" w:eastAsia="宋体" w:cs="Times New Roman"/>
          <w:bCs/>
          <w:color w:val="000000" w:themeColor="text1"/>
          <w:spacing w:val="-2"/>
          <w:sz w:val="24"/>
          <w:szCs w:val="24"/>
        </w:rPr>
        <w:t>铜钱关镇</w:t>
      </w:r>
      <w:r>
        <w:rPr>
          <w:rFonts w:hint="eastAsia" w:ascii="Times New Roman" w:hAnsi="Times New Roman" w:eastAsia="宋体" w:cs="Times New Roman"/>
          <w:bCs/>
          <w:color w:val="000000" w:themeColor="text1"/>
          <w:spacing w:val="-2"/>
          <w:sz w:val="24"/>
          <w:szCs w:val="24"/>
          <w:lang w:eastAsia="zh-CN"/>
        </w:rPr>
        <w:t>天宝寨村</w:t>
      </w:r>
      <w:r>
        <w:rPr>
          <w:rFonts w:hint="eastAsia" w:ascii="Times New Roman" w:hAnsi="Times New Roman" w:eastAsia="宋体" w:cs="Times New Roman"/>
          <w:bCs/>
          <w:color w:val="000000" w:themeColor="text1"/>
          <w:spacing w:val="-2"/>
          <w:sz w:val="24"/>
          <w:szCs w:val="24"/>
          <w:lang w:val="en-US" w:eastAsia="zh-CN"/>
        </w:rPr>
        <w:t>6组</w:t>
      </w:r>
      <w:r>
        <w:rPr>
          <w:rFonts w:hint="default" w:ascii="Times New Roman" w:hAnsi="Times New Roman" w:eastAsia="宋体" w:cs="Times New Roman"/>
          <w:color w:val="000000" w:themeColor="text1"/>
          <w:spacing w:val="-2"/>
          <w:sz w:val="24"/>
          <w:szCs w:val="24"/>
        </w:rPr>
        <w:t>，</w:t>
      </w:r>
      <w:r>
        <w:rPr>
          <w:rFonts w:hint="eastAsia" w:ascii="Times New Roman" w:hAnsi="Times New Roman" w:eastAsia="宋体" w:cs="Times New Roman"/>
          <w:color w:val="000000" w:themeColor="text1"/>
          <w:spacing w:val="-2"/>
          <w:sz w:val="24"/>
          <w:szCs w:val="24"/>
          <w:lang w:val="en-US" w:eastAsia="zh-CN"/>
        </w:rPr>
        <w:t>矿区分为K1和K2矿体，K1场</w:t>
      </w:r>
      <w:r>
        <w:rPr>
          <w:rFonts w:hint="default" w:ascii="Times New Roman" w:hAnsi="Times New Roman" w:eastAsia="宋体" w:cs="Times New Roman"/>
          <w:color w:val="000000" w:themeColor="text1"/>
          <w:spacing w:val="-2"/>
          <w:sz w:val="24"/>
          <w:szCs w:val="24"/>
        </w:rPr>
        <w:t>区中心坐标为：</w:t>
      </w:r>
      <w:r>
        <w:rPr>
          <w:rFonts w:hint="eastAsia" w:ascii="Times New Roman" w:hAnsi="Times New Roman" w:eastAsia="宋体" w:cs="Times New Roman"/>
          <w:color w:val="000000" w:themeColor="text1"/>
          <w:spacing w:val="-2"/>
          <w:sz w:val="24"/>
          <w:szCs w:val="24"/>
          <w:lang w:eastAsia="zh-CN"/>
        </w:rPr>
        <w:t>东经</w:t>
      </w:r>
      <w:r>
        <w:rPr>
          <w:rFonts w:hint="default" w:ascii="Times New Roman" w:hAnsi="Times New Roman" w:eastAsia="宋体" w:cs="Times New Roman"/>
          <w:color w:val="000000" w:themeColor="text1"/>
          <w:spacing w:val="-2"/>
          <w:sz w:val="24"/>
          <w:szCs w:val="24"/>
        </w:rPr>
        <w:t>109°33′21.279″</w:t>
      </w:r>
      <w:r>
        <w:rPr>
          <w:rFonts w:hint="default" w:ascii="Times New Roman" w:hAnsi="Times New Roman" w:eastAsia="宋体" w:cs="Times New Roman"/>
          <w:color w:val="000000" w:themeColor="text1"/>
          <w:spacing w:val="-2"/>
          <w:sz w:val="24"/>
          <w:szCs w:val="24"/>
          <w:lang w:eastAsia="zh-CN"/>
        </w:rPr>
        <w:t>，北纬</w:t>
      </w:r>
      <w:r>
        <w:rPr>
          <w:rFonts w:hint="default" w:ascii="Times New Roman" w:hAnsi="Times New Roman" w:eastAsia="宋体" w:cs="Times New Roman"/>
          <w:color w:val="000000" w:themeColor="text1"/>
          <w:spacing w:val="-2"/>
          <w:sz w:val="24"/>
          <w:szCs w:val="24"/>
        </w:rPr>
        <w:t>32°37′3.855″</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pacing w:val="-2"/>
          <w:sz w:val="24"/>
          <w:szCs w:val="24"/>
          <w:lang w:val="en-US" w:eastAsia="zh-CN"/>
        </w:rPr>
        <w:t>K2场</w:t>
      </w:r>
      <w:r>
        <w:rPr>
          <w:rFonts w:hint="default" w:ascii="Times New Roman" w:hAnsi="Times New Roman" w:eastAsia="宋体" w:cs="Times New Roman"/>
          <w:color w:val="000000" w:themeColor="text1"/>
          <w:spacing w:val="-2"/>
          <w:sz w:val="24"/>
          <w:szCs w:val="24"/>
        </w:rPr>
        <w:t>区中心坐标为：</w:t>
      </w:r>
      <w:r>
        <w:rPr>
          <w:rFonts w:hint="default" w:ascii="Times New Roman" w:hAnsi="Times New Roman" w:eastAsia="宋体" w:cs="Times New Roman"/>
          <w:color w:val="000000" w:themeColor="text1"/>
          <w:spacing w:val="-2"/>
          <w:sz w:val="24"/>
          <w:szCs w:val="24"/>
          <w:lang w:eastAsia="zh-CN"/>
        </w:rPr>
        <w:t>东经109°32′4</w:t>
      </w:r>
      <w:r>
        <w:rPr>
          <w:rFonts w:hint="default" w:ascii="Times New Roman" w:hAnsi="Times New Roman" w:eastAsia="宋体" w:cs="Times New Roman"/>
          <w:color w:val="000000" w:themeColor="text1"/>
          <w:spacing w:val="-2"/>
          <w:sz w:val="24"/>
          <w:szCs w:val="24"/>
          <w:lang w:val="en-US" w:eastAsia="zh-CN"/>
        </w:rPr>
        <w:t>5</w:t>
      </w:r>
      <w:r>
        <w:rPr>
          <w:rFonts w:hint="default" w:ascii="Times New Roman" w:hAnsi="Times New Roman" w:eastAsia="宋体" w:cs="Times New Roman"/>
          <w:color w:val="000000" w:themeColor="text1"/>
          <w:spacing w:val="-2"/>
          <w:sz w:val="24"/>
          <w:szCs w:val="24"/>
          <w:lang w:eastAsia="zh-CN"/>
        </w:rPr>
        <w:t>.</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9</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″，北纬 32°37′</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3.</w:t>
      </w:r>
      <w:r>
        <w:rPr>
          <w:rFonts w:hint="default" w:ascii="Times New Roman" w:hAnsi="Times New Roman" w:eastAsia="宋体" w:cs="Times New Roman"/>
          <w:color w:val="000000" w:themeColor="text1"/>
          <w:spacing w:val="-2"/>
          <w:sz w:val="24"/>
          <w:szCs w:val="24"/>
          <w:lang w:val="en-US" w:eastAsia="zh-CN"/>
        </w:rPr>
        <w:t>735</w:t>
      </w:r>
      <w:r>
        <w:rPr>
          <w:rFonts w:hint="default" w:ascii="Times New Roman" w:hAnsi="Times New Roman" w:eastAsia="宋体" w:cs="Times New Roman"/>
          <w:color w:val="000000" w:themeColor="text1"/>
          <w:spacing w:val="-2"/>
          <w:sz w:val="24"/>
          <w:szCs w:val="24"/>
          <w:lang w:eastAsia="zh-CN"/>
        </w:rPr>
        <w:t>″。</w:t>
      </w:r>
      <w:r>
        <w:rPr>
          <w:rFonts w:hint="default" w:ascii="Times New Roman" w:hAnsi="Times New Roman" w:eastAsia="宋体" w:cs="Times New Roman"/>
          <w:color w:val="000000" w:themeColor="text1"/>
          <w:spacing w:val="-2"/>
          <w:sz w:val="24"/>
          <w:szCs w:val="24"/>
        </w:rPr>
        <w:t>建设</w:t>
      </w:r>
      <w:r>
        <w:rPr>
          <w:rFonts w:hint="default" w:ascii="Times New Roman" w:hAnsi="Times New Roman" w:eastAsia="宋体" w:cs="Times New Roman"/>
          <w:color w:val="000000" w:themeColor="text1"/>
          <w:sz w:val="24"/>
          <w:szCs w:val="24"/>
        </w:rPr>
        <w:t>年开采重晶石及伴生毒重石5万吨</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矿山采用地下开采方式，采矿方法为</w:t>
      </w:r>
      <w:r>
        <w:rPr>
          <w:rFonts w:hint="default" w:ascii="Times New Roman" w:hAnsi="Times New Roman" w:eastAsia="宋体" w:cs="Times New Roman"/>
          <w:color w:val="000000" w:themeColor="text1"/>
          <w:sz w:val="24"/>
          <w:szCs w:val="24"/>
        </w:rPr>
        <w:t>浅孔留矿采矿法。矿山设计采矿生产能力166.7t/d（50000t/a），矿山服务年限5.9a（不含基建期）。</w:t>
      </w:r>
      <w:r>
        <w:rPr>
          <w:rFonts w:hint="default" w:ascii="Times New Roman" w:hAnsi="Times New Roman" w:eastAsia="宋体" w:cs="Times New Roman"/>
          <w:color w:val="000000" w:themeColor="text1"/>
          <w:sz w:val="24"/>
          <w:szCs w:val="24"/>
          <w:lang w:eastAsia="zh-CN"/>
        </w:rPr>
        <w:t>资源总量</w:t>
      </w:r>
      <w:r>
        <w:rPr>
          <w:rFonts w:hint="default" w:ascii="Times New Roman" w:hAnsi="Times New Roman" w:eastAsia="宋体" w:cs="Times New Roman"/>
          <w:color w:val="000000" w:themeColor="text1"/>
          <w:sz w:val="24"/>
          <w:szCs w:val="24"/>
          <w:lang w:val="en-US" w:eastAsia="zh-CN"/>
        </w:rPr>
        <w:t>29.62万吨，目前已开采3.5万吨，</w:t>
      </w:r>
      <w:r>
        <w:rPr>
          <w:rFonts w:hint="default" w:ascii="Times New Roman" w:hAnsi="Times New Roman" w:eastAsia="宋体" w:cs="Times New Roman"/>
          <w:color w:val="000000" w:themeColor="text1"/>
          <w:sz w:val="24"/>
          <w:szCs w:val="24"/>
        </w:rPr>
        <w:t>项目建成后，矿山设计采矿生产能力166.7t/d（50000t/a），矿山</w:t>
      </w:r>
      <w:r>
        <w:rPr>
          <w:rFonts w:hint="eastAsia" w:ascii="Times New Roman" w:hAnsi="Times New Roman" w:eastAsia="宋体" w:cs="Times New Roman"/>
          <w:color w:val="000000" w:themeColor="text1"/>
          <w:sz w:val="24"/>
          <w:szCs w:val="24"/>
          <w:lang w:eastAsia="zh-CN"/>
        </w:rPr>
        <w:t>剩余</w:t>
      </w:r>
      <w:r>
        <w:rPr>
          <w:rFonts w:hint="default" w:ascii="Times New Roman" w:hAnsi="Times New Roman" w:eastAsia="宋体" w:cs="Times New Roman"/>
          <w:color w:val="000000" w:themeColor="text1"/>
          <w:sz w:val="24"/>
          <w:szCs w:val="24"/>
        </w:rPr>
        <w:t>服务年限5.</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a（不含基建期）</w:t>
      </w:r>
      <w:r>
        <w:rPr>
          <w:rFonts w:hint="eastAsia"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pacing w:val="-2"/>
          <w:sz w:val="24"/>
          <w:szCs w:val="24"/>
        </w:rPr>
      </w:pPr>
      <w:r>
        <w:rPr>
          <w:rFonts w:hint="default" w:ascii="Times New Roman" w:hAnsi="Times New Roman" w:eastAsia="宋体" w:cs="Times New Roman"/>
          <w:color w:val="000000" w:themeColor="text1"/>
          <w:sz w:val="24"/>
          <w:szCs w:val="24"/>
        </w:rPr>
        <w:t>总投资260万元，其中环保投资</w:t>
      </w:r>
      <w:r>
        <w:rPr>
          <w:rFonts w:hint="eastAsia" w:ascii="Times New Roman" w:hAnsi="Times New Roman" w:eastAsia="宋体" w:cs="Times New Roman"/>
          <w:color w:val="000000" w:themeColor="text1"/>
          <w:sz w:val="24"/>
          <w:szCs w:val="24"/>
          <w:lang w:val="en-US" w:eastAsia="zh-CN"/>
        </w:rPr>
        <w:t>142.5</w:t>
      </w:r>
      <w:r>
        <w:rPr>
          <w:rFonts w:hint="default" w:ascii="Times New Roman" w:hAnsi="Times New Roman" w:eastAsia="宋体" w:cs="Times New Roman"/>
          <w:color w:val="000000" w:themeColor="text1"/>
          <w:sz w:val="24"/>
          <w:szCs w:val="24"/>
        </w:rPr>
        <w:t>万元。</w:t>
      </w:r>
    </w:p>
    <w:p>
      <w:pPr>
        <w:pStyle w:val="4"/>
        <w:rPr>
          <w:rFonts w:hint="eastAsia"/>
          <w:color w:val="000000" w:themeColor="text1"/>
          <w:lang w:val="en-US" w:eastAsia="zh-CN"/>
        </w:rPr>
      </w:pPr>
      <w:bookmarkStart w:id="860" w:name="_Toc22166"/>
      <w:r>
        <w:rPr>
          <w:rFonts w:hint="eastAsia"/>
          <w:color w:val="000000" w:themeColor="text1"/>
          <w:lang w:val="en-US" w:eastAsia="zh-CN"/>
        </w:rPr>
        <w:t>环境质量现状</w:t>
      </w:r>
      <w:bookmarkEnd w:id="860"/>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（1）环境空气质量现状</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Cs/>
          <w:color w:val="000000" w:themeColor="text1"/>
          <w:kern w:val="44"/>
          <w:sz w:val="24"/>
          <w:szCs w:val="24"/>
        </w:rPr>
        <w:t>根据陕西省生态环境厅办公室发布的全省环境质量状况，20</w:t>
      </w:r>
      <w:r>
        <w:rPr>
          <w:rFonts w:hint="default" w:ascii="Times New Roman" w:hAnsi="Times New Roman" w:eastAsia="宋体" w:cs="Times New Roman"/>
          <w:bCs/>
          <w:color w:val="000000" w:themeColor="text1"/>
          <w:kern w:val="44"/>
          <w:sz w:val="24"/>
          <w:szCs w:val="24"/>
          <w:lang w:val="en-US" w:eastAsia="zh-CN"/>
        </w:rPr>
        <w:t>2</w:t>
      </w:r>
      <w:r>
        <w:rPr>
          <w:rFonts w:hint="eastAsia" w:ascii="Times New Roman" w:hAnsi="Times New Roman" w:eastAsia="宋体" w:cs="Times New Roman"/>
          <w:bCs/>
          <w:color w:val="000000" w:themeColor="text1"/>
          <w:kern w:val="44"/>
          <w:sz w:val="24"/>
          <w:szCs w:val="24"/>
          <w:lang w:val="en-US" w:eastAsia="zh-CN"/>
        </w:rPr>
        <w:t>1</w:t>
      </w:r>
      <w:r>
        <w:rPr>
          <w:rFonts w:hint="default" w:ascii="Times New Roman" w:hAnsi="Times New Roman" w:eastAsia="宋体" w:cs="Times New Roman"/>
          <w:bCs/>
          <w:color w:val="000000" w:themeColor="text1"/>
          <w:kern w:val="44"/>
          <w:sz w:val="24"/>
          <w:szCs w:val="24"/>
        </w:rPr>
        <w:t>年旬阳</w:t>
      </w:r>
      <w:r>
        <w:rPr>
          <w:rFonts w:hint="eastAsia" w:ascii="Times New Roman" w:hAnsi="Times New Roman" w:eastAsia="宋体" w:cs="Times New Roman"/>
          <w:bCs/>
          <w:color w:val="000000" w:themeColor="text1"/>
          <w:kern w:val="44"/>
          <w:sz w:val="24"/>
          <w:szCs w:val="24"/>
          <w:lang w:eastAsia="zh-CN"/>
        </w:rPr>
        <w:t>市</w:t>
      </w:r>
      <w:r>
        <w:rPr>
          <w:rFonts w:hint="default" w:ascii="Times New Roman" w:hAnsi="Times New Roman" w:eastAsia="宋体" w:cs="Times New Roman"/>
          <w:bCs/>
          <w:color w:val="000000" w:themeColor="text1"/>
          <w:kern w:val="44"/>
          <w:sz w:val="24"/>
          <w:szCs w:val="24"/>
        </w:rPr>
        <w:t>环境空气质量达到优良以上的天数为</w:t>
      </w:r>
      <w:r>
        <w:rPr>
          <w:rFonts w:hint="eastAsia" w:ascii="Times New Roman" w:hAnsi="Times New Roman" w:eastAsia="宋体" w:cs="Times New Roman"/>
          <w:bCs/>
          <w:color w:val="000000" w:themeColor="text1"/>
          <w:kern w:val="44"/>
          <w:sz w:val="24"/>
          <w:szCs w:val="24"/>
          <w:lang w:val="en-US" w:eastAsia="zh-CN"/>
        </w:rPr>
        <w:t>345</w:t>
      </w:r>
      <w:r>
        <w:rPr>
          <w:rFonts w:hint="default" w:ascii="Times New Roman" w:hAnsi="Times New Roman" w:eastAsia="宋体" w:cs="Times New Roman"/>
          <w:bCs/>
          <w:color w:val="000000" w:themeColor="text1"/>
          <w:kern w:val="44"/>
          <w:sz w:val="24"/>
          <w:szCs w:val="24"/>
        </w:rPr>
        <w:t>天。</w:t>
      </w:r>
      <w:r>
        <w:rPr>
          <w:rFonts w:hint="default" w:ascii="Times New Roman" w:hAnsi="Times New Roman" w:eastAsia="宋体" w:cs="Times New Roman"/>
          <w:color w:val="000000" w:themeColor="text1"/>
          <w:sz w:val="24"/>
          <w:szCs w:val="24"/>
        </w:rPr>
        <w:t>评价区域</w:t>
      </w:r>
      <w:r>
        <w:rPr>
          <w:rFonts w:hint="default" w:ascii="Times New Roman" w:hAnsi="Times New Roman" w:eastAsia="宋体" w:cs="Times New Roman"/>
          <w:color w:val="000000" w:themeColor="text1"/>
          <w:sz w:val="24"/>
          <w:szCs w:val="24"/>
          <w:lang w:eastAsia="zh-CN"/>
        </w:rPr>
        <w:t>各因子均</w:t>
      </w:r>
      <w:r>
        <w:rPr>
          <w:rFonts w:hint="default" w:ascii="Times New Roman" w:hAnsi="Times New Roman" w:eastAsia="宋体" w:cs="Times New Roman"/>
          <w:color w:val="000000" w:themeColor="text1"/>
          <w:sz w:val="24"/>
          <w:szCs w:val="24"/>
        </w:rPr>
        <w:t>满足</w:t>
      </w:r>
      <w:r>
        <w:rPr>
          <w:rFonts w:hint="default" w:ascii="Times New Roman" w:hAnsi="Times New Roman" w:eastAsia="宋体" w:cs="Times New Roman"/>
          <w:bCs/>
          <w:color w:val="000000" w:themeColor="text1"/>
          <w:kern w:val="44"/>
          <w:sz w:val="24"/>
          <w:szCs w:val="24"/>
        </w:rPr>
        <w:t>《环境空气质量标准》（GB3095-2012）的二级标准要求，属于达标区。</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根据环境空气现状补充监测结果，TSP</w:t>
      </w:r>
      <w:r>
        <w:rPr>
          <w:rFonts w:hint="eastAsia" w:ascii="Times New Roman" w:hAnsi="Times New Roman" w:eastAsia="宋体" w:cs="Times New Roman"/>
          <w:color w:val="000000" w:themeColor="text1"/>
          <w:sz w:val="24"/>
          <w:szCs w:val="24"/>
          <w:lang w:eastAsia="zh-CN"/>
        </w:rPr>
        <w:t>监测值</w:t>
      </w:r>
      <w:r>
        <w:rPr>
          <w:rFonts w:hint="default" w:ascii="Times New Roman" w:hAnsi="Times New Roman" w:eastAsia="宋体" w:cs="Times New Roman"/>
          <w:color w:val="000000" w:themeColor="text1"/>
          <w:sz w:val="24"/>
          <w:szCs w:val="24"/>
        </w:rPr>
        <w:t>符合《环境空气质量标准》（GB3095-2012）二级标准浓度限值。</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（2）地下水环境质量现状</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各监测因子均符合《地下水环境质量标准》（GB/T 14848-2017）中III类标准限值，说明项目区地下水水质较好。</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包气带环境质量现状</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eastAsia="zh-CN"/>
        </w:rPr>
        <w:t>通过对</w:t>
      </w:r>
      <w:r>
        <w:rPr>
          <w:rFonts w:hint="eastAsia" w:ascii="Times New Roman" w:hAnsi="Times New Roman" w:eastAsia="宋体" w:cs="Times New Roman"/>
          <w:color w:val="000000" w:themeColor="text1"/>
          <w:sz w:val="24"/>
          <w:szCs w:val="24"/>
          <w:lang w:val="en-US" w:eastAsia="zh-CN"/>
        </w:rPr>
        <w:t>K1工业场地和场地外地下水上游包气带的监测结果可知，现有工业场地的包气带环境质量较好。</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声环境质量现状</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项目现状监测点位昼间、夜间环境噪声均能满足《声环境质量标准》（GB3096-2008）</w:t>
      </w:r>
      <w:r>
        <w:rPr>
          <w:rFonts w:hint="eastAsia"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类标准要求，声环境质量现状较好。</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）土壤环境质量现状</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通过对</w:t>
      </w:r>
      <w:r>
        <w:rPr>
          <w:rFonts w:hint="eastAsia" w:ascii="Times New Roman" w:eastAsia="宋体" w:cs="Times New Roman"/>
          <w:color w:val="000000" w:themeColor="text1"/>
          <w:sz w:val="24"/>
          <w:szCs w:val="24"/>
          <w:lang w:val="en-US" w:eastAsia="zh-CN"/>
        </w:rPr>
        <w:t>K1和K2矿区的</w:t>
      </w:r>
      <w:r>
        <w:rPr>
          <w:rFonts w:hint="default" w:ascii="Times New Roman" w:hAnsi="Times New Roman" w:eastAsia="宋体" w:cs="Times New Roman"/>
          <w:color w:val="000000" w:themeColor="text1"/>
          <w:sz w:val="24"/>
          <w:szCs w:val="24"/>
        </w:rPr>
        <w:t>监测</w:t>
      </w:r>
      <w:r>
        <w:rPr>
          <w:rFonts w:hint="eastAsia" w:ascii="Times New Roman" w:eastAsia="宋体" w:cs="Times New Roman"/>
          <w:color w:val="000000" w:themeColor="text1"/>
          <w:sz w:val="24"/>
          <w:szCs w:val="24"/>
          <w:lang w:eastAsia="zh-CN"/>
        </w:rPr>
        <w:t>可知</w:t>
      </w:r>
      <w:r>
        <w:rPr>
          <w:rFonts w:hint="default" w:ascii="Times New Roman" w:hAnsi="Times New Roman" w:eastAsia="宋体" w:cs="Times New Roman"/>
          <w:color w:val="000000" w:themeColor="text1"/>
          <w:sz w:val="24"/>
          <w:szCs w:val="24"/>
        </w:rPr>
        <w:t>，各监测因子监测值均符合《土壤环境质量 建设用地土壤污染风险管控标准》（试行）（GB36600-2018）筛选值第二类用地标准限值，说明土壤环境质量较好。</w:t>
      </w:r>
    </w:p>
    <w:p>
      <w:pPr>
        <w:pStyle w:val="4"/>
        <w:keepNext w:val="0"/>
        <w:keepLines w:val="0"/>
        <w:pageBreakBefore w:val="0"/>
        <w:widowControl w:val="0"/>
        <w:kinsoku/>
        <w:wordWrap/>
        <w:overflowPunct/>
        <w:topLinePunct w:val="0"/>
        <w:autoSpaceDE/>
        <w:autoSpaceDN/>
        <w:bidi w:val="0"/>
        <w:adjustRightInd/>
        <w:snapToGrid/>
        <w:textAlignment w:val="auto"/>
        <w:rPr>
          <w:rFonts w:hint="default"/>
          <w:color w:val="000000" w:themeColor="text1"/>
          <w:lang w:val="en-US" w:eastAsia="zh-CN"/>
        </w:rPr>
      </w:pPr>
      <w:bookmarkStart w:id="861" w:name="_Toc397"/>
      <w:r>
        <w:rPr>
          <w:rFonts w:hint="default"/>
          <w:color w:val="000000" w:themeColor="text1"/>
          <w:lang w:val="en-US" w:eastAsia="zh-CN"/>
        </w:rPr>
        <w:t>污染物排放情况</w:t>
      </w:r>
      <w:bookmarkEnd w:id="861"/>
    </w:p>
    <w:p>
      <w:pPr>
        <w:pStyle w:val="5"/>
        <w:keepNext w:val="0"/>
        <w:keepLines w:val="0"/>
        <w:pageBreakBefore w:val="0"/>
        <w:widowControl w:val="0"/>
        <w:kinsoku/>
        <w:wordWrap/>
        <w:overflowPunct/>
        <w:topLinePunct w:val="0"/>
        <w:autoSpaceDE/>
        <w:autoSpaceDN/>
        <w:bidi w:val="0"/>
        <w:adjustRightInd/>
        <w:snapToGrid/>
        <w:textAlignment w:val="auto"/>
        <w:rPr>
          <w:rFonts w:hint="default"/>
          <w:color w:val="000000" w:themeColor="text1"/>
          <w:lang w:val="en-US" w:eastAsia="zh-CN"/>
        </w:rPr>
      </w:pPr>
      <w:bookmarkStart w:id="862" w:name="_Toc18289"/>
      <w:r>
        <w:rPr>
          <w:rFonts w:hint="default"/>
          <w:color w:val="000000" w:themeColor="text1"/>
          <w:lang w:val="en-US" w:eastAsia="zh-CN"/>
        </w:rPr>
        <w:t>施工期</w:t>
      </w:r>
      <w:bookmarkEnd w:id="862"/>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（1）废气</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施工过程中废</w:t>
      </w:r>
      <w:r>
        <w:rPr>
          <w:rFonts w:hint="eastAsia" w:ascii="Times New Roman" w:hAnsi="Times New Roman" w:eastAsia="宋体" w:cs="Times New Roman"/>
          <w:color w:val="000000" w:themeColor="text1"/>
          <w:sz w:val="24"/>
          <w:lang w:eastAsia="zh-CN"/>
        </w:rPr>
        <w:t>气</w:t>
      </w:r>
      <w:r>
        <w:rPr>
          <w:rFonts w:ascii="Times New Roman" w:hAnsi="Times New Roman" w:eastAsia="宋体" w:cs="Times New Roman"/>
          <w:color w:val="000000" w:themeColor="text1"/>
          <w:sz w:val="24"/>
        </w:rPr>
        <w:t>主要污染来自施工扬尘、</w:t>
      </w:r>
      <w:r>
        <w:rPr>
          <w:rFonts w:hint="eastAsia" w:ascii="Times New Roman" w:hAnsi="Times New Roman" w:eastAsia="宋体" w:cs="Times New Roman"/>
          <w:color w:val="000000" w:themeColor="text1"/>
          <w:sz w:val="24"/>
          <w:lang w:val="en-US" w:eastAsia="zh-CN"/>
        </w:rPr>
        <w:t>施工机械废气</w:t>
      </w: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餐饮油烟</w:t>
      </w:r>
      <w:r>
        <w:rPr>
          <w:rFonts w:ascii="Times New Roman" w:hAnsi="Times New Roman" w:eastAsia="宋体" w:cs="Times New Roman"/>
          <w:color w:val="000000" w:themeColor="text1"/>
          <w:sz w:val="24"/>
        </w:rPr>
        <w:t>等。</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ascii="Times New Roman" w:hAnsi="Times New Roman" w:eastAsia="宋体" w:cs="Times New Roman"/>
          <w:color w:val="000000" w:themeColor="text1"/>
          <w:sz w:val="24"/>
        </w:rPr>
        <w:t>（2）</w:t>
      </w:r>
      <w:r>
        <w:rPr>
          <w:rFonts w:hint="eastAsia" w:ascii="Times New Roman" w:hAnsi="Times New Roman" w:eastAsia="宋体" w:cs="Times New Roman"/>
          <w:color w:val="000000" w:themeColor="text1"/>
          <w:sz w:val="24"/>
          <w:lang w:val="en-US" w:eastAsia="zh-CN"/>
        </w:rPr>
        <w:t>废水</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ascii="Times New Roman" w:hAnsi="Times New Roman" w:eastAsia="宋体" w:cs="Times New Roman"/>
          <w:color w:val="000000" w:themeColor="text1"/>
          <w:sz w:val="24"/>
        </w:rPr>
        <w:t>本项目</w:t>
      </w:r>
      <w:r>
        <w:rPr>
          <w:rFonts w:hint="eastAsia" w:ascii="Times New Roman" w:hAnsi="Times New Roman" w:eastAsia="宋体" w:cs="Times New Roman"/>
          <w:color w:val="000000" w:themeColor="text1"/>
          <w:sz w:val="24"/>
          <w:lang w:val="en-US" w:eastAsia="zh-CN"/>
        </w:rPr>
        <w:t>施工期噪声有施工废水、矿坑涌水和生活废水</w:t>
      </w:r>
      <w:r>
        <w:rPr>
          <w:rFonts w:hint="eastAsia" w:ascii="Times New Roman" w:hAnsi="Times New Roman" w:eastAsia="宋体" w:cs="Times New Roman"/>
          <w:color w:val="000000" w:themeColor="text1"/>
          <w:sz w:val="24"/>
          <w:lang w:eastAsia="zh-CN"/>
        </w:rPr>
        <w:t>。</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（3）噪声</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施工过程中的噪声影响主要为施工机械产生的噪声。</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（4）固体废弃物</w:t>
      </w:r>
    </w:p>
    <w:p>
      <w:pPr>
        <w:keepNext/>
        <w:keepLines/>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lang w:val="en-US" w:eastAsia="zh-CN"/>
        </w:rPr>
        <w:t>施工期</w:t>
      </w:r>
      <w:r>
        <w:rPr>
          <w:rFonts w:hint="eastAsia" w:ascii="Times New Roman" w:hAnsi="Times New Roman" w:eastAsia="宋体" w:cs="Times New Roman"/>
          <w:color w:val="000000" w:themeColor="text1"/>
          <w:sz w:val="24"/>
          <w:lang w:eastAsia="zh-CN"/>
        </w:rPr>
        <w:t>固废主要有</w:t>
      </w:r>
      <w:r>
        <w:rPr>
          <w:rFonts w:hint="eastAsia" w:ascii="Times New Roman" w:hAnsi="Times New Roman" w:eastAsia="宋体" w:cs="Times New Roman"/>
          <w:color w:val="000000" w:themeColor="text1"/>
          <w:sz w:val="24"/>
          <w:lang w:val="en-US" w:eastAsia="zh-CN"/>
        </w:rPr>
        <w:t>废石、</w:t>
      </w:r>
      <w:r>
        <w:rPr>
          <w:rFonts w:hint="eastAsia" w:ascii="Times New Roman" w:hAnsi="Times New Roman" w:eastAsia="宋体" w:cs="Times New Roman"/>
          <w:color w:val="000000" w:themeColor="text1"/>
          <w:sz w:val="24"/>
          <w:lang w:eastAsia="zh-CN"/>
        </w:rPr>
        <w:t>建筑垃圾、生活垃圾。</w:t>
      </w:r>
    </w:p>
    <w:p>
      <w:pPr>
        <w:pStyle w:val="5"/>
        <w:rPr>
          <w:rFonts w:hint="default"/>
          <w:color w:val="000000" w:themeColor="text1"/>
          <w:lang w:val="en-US" w:eastAsia="zh-CN"/>
        </w:rPr>
      </w:pPr>
      <w:bookmarkStart w:id="863" w:name="_Toc6045"/>
      <w:r>
        <w:rPr>
          <w:rFonts w:hint="default"/>
          <w:color w:val="000000" w:themeColor="text1"/>
          <w:lang w:val="en-US" w:eastAsia="zh-CN"/>
        </w:rPr>
        <w:t>运营期</w:t>
      </w:r>
      <w:bookmarkEnd w:id="863"/>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（1）废气</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ascii="Times New Roman" w:hAnsi="Times New Roman" w:eastAsia="宋体" w:cs="Times New Roman"/>
          <w:color w:val="000000" w:themeColor="text1"/>
          <w:sz w:val="24"/>
        </w:rPr>
        <w:t>运行期项目产生的废气主要有</w:t>
      </w:r>
      <w:r>
        <w:rPr>
          <w:rFonts w:hint="eastAsia" w:ascii="Times New Roman" w:hAnsi="Times New Roman" w:eastAsia="宋体" w:cs="Times New Roman"/>
          <w:color w:val="000000" w:themeColor="text1"/>
          <w:sz w:val="24"/>
          <w:lang w:val="en-US" w:eastAsia="zh-CN"/>
        </w:rPr>
        <w:t>矿井污风、矿石堆场扬尘、运输道路扬尘、机械车辆尾气、餐饮油烟等。</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ascii="Times New Roman" w:hAnsi="Times New Roman" w:eastAsia="宋体" w:cs="Times New Roman"/>
          <w:color w:val="000000" w:themeColor="text1"/>
          <w:sz w:val="24"/>
        </w:rPr>
        <w:t>（2）</w:t>
      </w:r>
      <w:r>
        <w:rPr>
          <w:rFonts w:hint="eastAsia" w:ascii="Times New Roman" w:hAnsi="Times New Roman" w:eastAsia="宋体" w:cs="Times New Roman"/>
          <w:color w:val="000000" w:themeColor="text1"/>
          <w:sz w:val="24"/>
          <w:lang w:eastAsia="zh-CN"/>
        </w:rPr>
        <w:t>废水</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运行期废水有生产废水、矿坑涌水以及生活废水。</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（3）噪声</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eastAsia="zh-CN"/>
        </w:rPr>
        <w:t>项目产生的噪声主要为</w:t>
      </w:r>
      <w:r>
        <w:rPr>
          <w:rFonts w:hint="eastAsia" w:ascii="Times New Roman" w:hAnsi="Times New Roman" w:eastAsia="宋体" w:cs="Times New Roman"/>
          <w:color w:val="000000" w:themeColor="text1"/>
          <w:sz w:val="24"/>
          <w:lang w:val="en-US" w:eastAsia="zh-CN"/>
        </w:rPr>
        <w:t>井下采矿机械噪声以及爆破噪声、地表噪声主要为空压机和通风机噪声以及运输噪声。</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（4）固体废弃物</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ascii="Times New Roman" w:hAnsi="Times New Roman" w:eastAsia="宋体" w:cs="Times New Roman"/>
          <w:color w:val="000000" w:themeColor="text1"/>
          <w:sz w:val="24"/>
          <w:szCs w:val="24"/>
        </w:rPr>
        <w:t>本项目</w:t>
      </w:r>
      <w:r>
        <w:rPr>
          <w:rFonts w:hint="eastAsia" w:ascii="Times New Roman" w:eastAsia="宋体" w:cs="Times New Roman"/>
          <w:color w:val="000000" w:themeColor="text1"/>
          <w:sz w:val="24"/>
          <w:szCs w:val="24"/>
          <w:lang w:val="en-US" w:eastAsia="zh-CN"/>
        </w:rPr>
        <w:t>产生的固体废物有废矿石、废机油和生活垃圾。</w:t>
      </w:r>
    </w:p>
    <w:p>
      <w:pPr>
        <w:pStyle w:val="4"/>
        <w:rPr>
          <w:rFonts w:hint="eastAsia"/>
          <w:color w:val="000000" w:themeColor="text1"/>
          <w:lang w:val="en-US" w:eastAsia="zh-CN"/>
        </w:rPr>
      </w:pPr>
      <w:bookmarkStart w:id="864" w:name="_Toc7934"/>
      <w:r>
        <w:rPr>
          <w:rFonts w:hint="eastAsia"/>
          <w:color w:val="000000" w:themeColor="text1"/>
          <w:lang w:val="en-US" w:eastAsia="zh-CN"/>
        </w:rPr>
        <w:t>主要环境影响及环境保护措施</w:t>
      </w:r>
      <w:bookmarkEnd w:id="864"/>
    </w:p>
    <w:p>
      <w:pPr>
        <w:pStyle w:val="5"/>
        <w:rPr>
          <w:rFonts w:hint="eastAsia"/>
          <w:color w:val="000000" w:themeColor="text1"/>
          <w:lang w:val="en-US" w:eastAsia="zh-CN"/>
        </w:rPr>
      </w:pPr>
      <w:bookmarkStart w:id="865" w:name="_Toc18650"/>
      <w:r>
        <w:rPr>
          <w:rFonts w:hint="eastAsia"/>
          <w:color w:val="000000" w:themeColor="text1"/>
          <w:lang w:val="en-US" w:eastAsia="zh-CN"/>
        </w:rPr>
        <w:t>施工期</w:t>
      </w:r>
      <w:bookmarkEnd w:id="865"/>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（1）废气</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施工期废气主要为施工场地扬尘，施工机械尾气和施工期餐饮油烟。主要采取的环境保护措施有：物料苫盖、运输车辆全封闭、洒水降尘等防止施工扬尘的措施。餐饮油烟采用油烟净化器净化后达标排放。</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（2）噪声</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施工期噪声主要为施工期机械产生的噪声。主要环境保护措施有：选用低噪声设备，合理安排作业时间，不在夜间和午间休息时间施工，运输车辆减速慢行，禁止鸣笛</w:t>
      </w:r>
      <w:r>
        <w:rPr>
          <w:rFonts w:hint="eastAsia" w:ascii="Times New Roman" w:eastAsia="宋体" w:cs="Times New Roman"/>
          <w:b w:val="0"/>
          <w:bCs w:val="0"/>
          <w:color w:val="000000" w:themeColor="text1"/>
          <w:sz w:val="24"/>
          <w:szCs w:val="24"/>
          <w:lang w:val="en-US" w:eastAsia="zh-CN"/>
        </w:rPr>
        <w:t>，道路施工时在临近居民侧建设隔声屏障</w:t>
      </w:r>
      <w:r>
        <w:rPr>
          <w:rFonts w:hint="eastAsia" w:ascii="Times New Roman" w:hAnsi="Times New Roman" w:eastAsia="宋体" w:cs="Times New Roman"/>
          <w:b w:val="0"/>
          <w:bCs w:val="0"/>
          <w:color w:val="000000" w:themeColor="text1"/>
          <w:sz w:val="24"/>
          <w:szCs w:val="24"/>
          <w:lang w:val="en-US" w:eastAsia="zh-CN"/>
        </w:rPr>
        <w:t>等。</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（3）废水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superscript"/>
          <w:lang w:val="en-US" w:eastAsia="zh-CN"/>
        </w:rPr>
      </w:pPr>
      <w:r>
        <w:rPr>
          <w:rFonts w:hint="eastAsia" w:ascii="Times New Roman" w:hAnsi="Times New Roman" w:eastAsia="宋体" w:cs="Times New Roman"/>
          <w:b w:val="0"/>
          <w:bCs w:val="0"/>
          <w:color w:val="000000" w:themeColor="text1"/>
          <w:sz w:val="24"/>
          <w:szCs w:val="24"/>
          <w:lang w:val="en-US" w:eastAsia="zh-CN"/>
        </w:rPr>
        <w:t>施工期废水有生产废水，矿坑涌水和生活污水。主要环境保护措施有：生产废水经沉淀池沉淀后回用，不外排。</w:t>
      </w:r>
      <w:r>
        <w:rPr>
          <w:rFonts w:hint="eastAsia" w:ascii="Times New Roman" w:hAnsi="Times New Roman" w:eastAsia="宋体" w:cs="Times New Roman"/>
          <w:color w:val="000000" w:themeColor="text1"/>
          <w:sz w:val="24"/>
          <w:szCs w:val="24"/>
          <w:lang w:val="en-US" w:eastAsia="zh-CN"/>
        </w:rPr>
        <w:t>根据最不利因素考虑，</w:t>
      </w:r>
      <w:r>
        <w:rPr>
          <w:rFonts w:hint="default" w:ascii="Times New Roman" w:hAnsi="Times New Roman" w:eastAsia="宋体" w:cs="Times New Roman"/>
          <w:color w:val="000000" w:themeColor="text1"/>
          <w:sz w:val="24"/>
          <w:szCs w:val="24"/>
        </w:rPr>
        <w:t>评价要求</w:t>
      </w:r>
      <w:r>
        <w:rPr>
          <w:rFonts w:hint="eastAsia" w:ascii="Times New Roman" w:hAnsi="Times New Roman" w:eastAsia="宋体" w:cs="Times New Roman"/>
          <w:color w:val="000000" w:themeColor="text1"/>
          <w:sz w:val="24"/>
          <w:szCs w:val="24"/>
          <w:lang w:val="en-US" w:eastAsia="zh-CN"/>
        </w:rPr>
        <w:t>K2</w:t>
      </w:r>
      <w:r>
        <w:rPr>
          <w:rFonts w:hint="default" w:ascii="Times New Roman" w:hAnsi="Times New Roman" w:eastAsia="宋体" w:cs="Times New Roman"/>
          <w:color w:val="000000" w:themeColor="text1"/>
          <w:sz w:val="24"/>
          <w:szCs w:val="24"/>
        </w:rPr>
        <w:t>主平硐沉淀池提前建设，用于处理基建施工时的</w:t>
      </w:r>
      <w:r>
        <w:rPr>
          <w:rFonts w:hint="eastAsia" w:ascii="Times New Roman" w:hAnsi="Times New Roman" w:eastAsia="宋体" w:cs="Times New Roman"/>
          <w:color w:val="000000" w:themeColor="text1"/>
          <w:sz w:val="24"/>
          <w:szCs w:val="24"/>
          <w:lang w:val="en-US" w:eastAsia="zh-CN"/>
        </w:rPr>
        <w:t>可能产生的</w:t>
      </w:r>
      <w:r>
        <w:rPr>
          <w:rFonts w:hint="default" w:ascii="Times New Roman" w:hAnsi="Times New Roman" w:eastAsia="宋体" w:cs="Times New Roman"/>
          <w:color w:val="000000" w:themeColor="text1"/>
          <w:sz w:val="24"/>
          <w:szCs w:val="24"/>
        </w:rPr>
        <w:t>矿坑涌水</w:t>
      </w:r>
      <w:r>
        <w:rPr>
          <w:rFonts w:hint="eastAsia" w:ascii="Times New Roman" w:hAnsi="Times New Roman" w:eastAsia="宋体" w:cs="Times New Roman"/>
          <w:color w:val="000000" w:themeColor="text1"/>
          <w:sz w:val="24"/>
          <w:szCs w:val="24"/>
          <w:lang w:val="en-US" w:eastAsia="zh-CN"/>
        </w:rPr>
        <w:t>和井下施工废水</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废水</w:t>
      </w:r>
      <w:r>
        <w:rPr>
          <w:rFonts w:hint="default" w:ascii="Times New Roman" w:hAnsi="Times New Roman" w:eastAsia="宋体" w:cs="Times New Roman"/>
          <w:color w:val="000000" w:themeColor="text1"/>
          <w:sz w:val="24"/>
          <w:szCs w:val="24"/>
        </w:rPr>
        <w:t>经沉淀处理后用于防尘洒水，不外排。</w:t>
      </w:r>
      <w:r>
        <w:rPr>
          <w:rFonts w:hint="eastAsia" w:ascii="Times New Roman" w:hAnsi="Times New Roman" w:eastAsia="宋体" w:cs="Times New Roman"/>
          <w:color w:val="000000" w:themeColor="text1"/>
          <w:sz w:val="24"/>
          <w:szCs w:val="24"/>
          <w:lang w:val="en-US" w:eastAsia="zh-CN"/>
        </w:rPr>
        <w:t>生活污水经化粪池处理后用于肥田</w:t>
      </w:r>
      <w:r>
        <w:rPr>
          <w:rFonts w:hint="default" w:ascii="Times New Roman" w:hAnsi="Times New Roman" w:eastAsia="宋体" w:cs="Times New Roman"/>
          <w:color w:val="000000" w:themeColor="text1"/>
          <w:sz w:val="24"/>
          <w:szCs w:val="24"/>
        </w:rPr>
        <w:t>。</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施工期固体废物主要有废石，建筑垃圾，生活垃圾。主要环境保护措施有：</w:t>
      </w:r>
      <w:r>
        <w:rPr>
          <w:rFonts w:hint="eastAsia" w:ascii="Times New Roman" w:eastAsia="宋体" w:cs="Times New Roman"/>
          <w:b w:val="0"/>
          <w:bCs w:val="0"/>
          <w:color w:val="000000" w:themeColor="text1"/>
          <w:sz w:val="24"/>
          <w:szCs w:val="24"/>
          <w:lang w:val="en-US" w:eastAsia="zh-CN"/>
        </w:rPr>
        <w:t>废石一部分用于</w:t>
      </w:r>
      <w:r>
        <w:rPr>
          <w:rFonts w:hint="eastAsia" w:ascii="Times New Roman" w:hAnsi="Times New Roman" w:eastAsia="宋体" w:cs="Times New Roman"/>
          <w:color w:val="000000" w:themeColor="text1"/>
          <w:sz w:val="24"/>
          <w:szCs w:val="24"/>
          <w:lang w:val="en-US" w:eastAsia="zh-CN"/>
        </w:rPr>
        <w:t>修筑道路和场区基建，其余全部在井下回填，废石不外排</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建筑垃圾产生量较少，</w:t>
      </w:r>
      <w:r>
        <w:rPr>
          <w:rFonts w:hint="eastAsia" w:ascii="Times New Roman" w:hAnsi="Times New Roman" w:eastAsia="宋体" w:cs="Times New Roman"/>
          <w:color w:val="000000" w:themeColor="text1"/>
          <w:sz w:val="24"/>
          <w:szCs w:val="24"/>
          <w:vertAlign w:val="baseline"/>
          <w:lang w:val="en-US" w:eastAsia="zh-CN"/>
        </w:rPr>
        <w:t>作为填料修筑道路，不外排。生活垃圾分类收集，交由环卫部门处置。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（5）对土壤的影响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对土壤的影响主要体现在</w:t>
      </w:r>
      <w:r>
        <w:rPr>
          <w:rFonts w:hint="eastAsia" w:ascii="Times New Roman" w:hAnsi="Times New Roman" w:eastAsia="宋体" w:cs="Times New Roman"/>
          <w:color w:val="000000" w:themeColor="text1"/>
          <w:sz w:val="24"/>
          <w:szCs w:val="24"/>
          <w:lang w:val="en-US" w:eastAsia="zh-CN"/>
        </w:rPr>
        <w:t>工程</w:t>
      </w:r>
      <w:r>
        <w:rPr>
          <w:rFonts w:hint="default" w:ascii="Times New Roman" w:hAnsi="Times New Roman" w:eastAsia="宋体" w:cs="Times New Roman"/>
          <w:color w:val="000000" w:themeColor="text1"/>
          <w:sz w:val="24"/>
          <w:szCs w:val="24"/>
        </w:rPr>
        <w:t>的</w:t>
      </w:r>
      <w:r>
        <w:rPr>
          <w:rFonts w:hint="eastAsia" w:ascii="Times New Roman" w:hAnsi="Times New Roman" w:eastAsia="宋体" w:cs="Times New Roman"/>
          <w:color w:val="000000" w:themeColor="text1"/>
          <w:sz w:val="24"/>
          <w:szCs w:val="24"/>
          <w:lang w:val="en-US" w:eastAsia="zh-CN"/>
        </w:rPr>
        <w:t>废水、废气、固废等</w:t>
      </w:r>
      <w:r>
        <w:rPr>
          <w:rFonts w:hint="default" w:ascii="Times New Roman" w:hAnsi="Times New Roman" w:eastAsia="宋体" w:cs="Times New Roman"/>
          <w:color w:val="000000" w:themeColor="text1"/>
          <w:sz w:val="24"/>
          <w:szCs w:val="24"/>
        </w:rPr>
        <w:t>对土壤环境的</w:t>
      </w:r>
      <w:r>
        <w:rPr>
          <w:rFonts w:hint="eastAsia" w:ascii="Times New Roman" w:hAnsi="Times New Roman" w:eastAsia="宋体" w:cs="Times New Roman"/>
          <w:color w:val="000000" w:themeColor="text1"/>
          <w:sz w:val="24"/>
          <w:szCs w:val="24"/>
          <w:lang w:val="en-US" w:eastAsia="zh-CN"/>
        </w:rPr>
        <w:t>污染</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b w:val="0"/>
          <w:bCs w:val="0"/>
          <w:color w:val="000000" w:themeColor="text1"/>
          <w:sz w:val="24"/>
          <w:szCs w:val="24"/>
          <w:lang w:val="en-US" w:eastAsia="zh-CN"/>
        </w:rPr>
        <w:t>主要环境保护措施有：优化施工方案，减少占地，进而减少对土壤的影响。对“废水、固废、废气”加强管理，防止其进入土壤环境等措施。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（6）对生态的影响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rPr>
      </w:pPr>
      <w:r>
        <w:rPr>
          <w:rFonts w:hint="eastAsia" w:ascii="Times New Roman" w:hAnsi="Times New Roman" w:eastAsia="宋体" w:cs="Times New Roman"/>
          <w:b w:val="0"/>
          <w:bCs w:val="0"/>
          <w:color w:val="000000" w:themeColor="text1"/>
          <w:sz w:val="24"/>
          <w:szCs w:val="24"/>
          <w:lang w:val="en-US" w:eastAsia="zh-CN"/>
        </w:rPr>
        <w:t>生态环境影响主要为工程占地，对动植物的影响，水土流失等。主要环境保护措施有：减少占地，表土保存，树木移栽，加强管理；禁止人员施工车辆在施工区域外活动；减少高噪声排放，控制噪声传播，减少对野生动物的影响；设置截排水沟，场地硬化、物料苫盖，防止水土流失等措施。</w:t>
      </w:r>
    </w:p>
    <w:p>
      <w:pPr>
        <w:pStyle w:val="5"/>
        <w:rPr>
          <w:rFonts w:hint="default"/>
          <w:color w:val="000000" w:themeColor="text1"/>
          <w:lang w:val="en-US" w:eastAsia="zh-CN"/>
        </w:rPr>
      </w:pPr>
      <w:bookmarkStart w:id="866" w:name="_Toc21566"/>
      <w:r>
        <w:rPr>
          <w:rFonts w:hint="eastAsia"/>
          <w:color w:val="000000" w:themeColor="text1"/>
          <w:lang w:val="en-US" w:eastAsia="zh-CN"/>
        </w:rPr>
        <w:t>运营期</w:t>
      </w:r>
      <w:bookmarkEnd w:id="866"/>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（1）废气</w:t>
      </w:r>
    </w:p>
    <w:p>
      <w:pPr>
        <w:pStyle w:val="12"/>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rPr>
        <w:t>运行期项目产生的废气主要有</w:t>
      </w:r>
      <w:r>
        <w:rPr>
          <w:rFonts w:hint="eastAsia" w:ascii="Times New Roman" w:hAnsi="Times New Roman" w:eastAsia="宋体" w:cs="Times New Roman"/>
          <w:color w:val="000000" w:themeColor="text1"/>
          <w:sz w:val="24"/>
          <w:lang w:val="en-US" w:eastAsia="zh-CN"/>
        </w:rPr>
        <w:t>矿井污风，矿石堆场扬尘，运输道路扬尘，机械车辆尾气，餐饮油烟等。</w:t>
      </w:r>
      <w:r>
        <w:rPr>
          <w:rFonts w:hint="eastAsia" w:ascii="Times New Roman" w:hAnsi="Times New Roman" w:eastAsia="宋体" w:cs="Times New Roman"/>
          <w:b w:val="0"/>
          <w:bCs w:val="0"/>
          <w:color w:val="000000" w:themeColor="text1"/>
          <w:sz w:val="24"/>
          <w:szCs w:val="24"/>
          <w:lang w:val="en-US" w:eastAsia="zh-CN"/>
        </w:rPr>
        <w:t>主要环境保护措施有：</w:t>
      </w:r>
      <w:r>
        <w:rPr>
          <w:rFonts w:hint="default" w:ascii="Times New Roman" w:hAnsi="Times New Roman" w:eastAsia="宋体" w:cs="Times New Roman"/>
          <w:color w:val="000000" w:themeColor="text1"/>
          <w:sz w:val="24"/>
          <w:szCs w:val="24"/>
        </w:rPr>
        <w:t>采矿工作面采用湿式凿岩、喷雾洒水除尘的湿式作业</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采用机械与自然通风输送新鲜风的进一步稀释方式。</w:t>
      </w:r>
      <w:r>
        <w:rPr>
          <w:rFonts w:hint="eastAsia" w:ascii="Times New Roman" w:hAnsi="Times New Roman" w:eastAsia="宋体" w:cs="Times New Roman"/>
          <w:color w:val="000000" w:themeColor="text1"/>
          <w:sz w:val="24"/>
          <w:szCs w:val="24"/>
          <w:lang w:val="en-US" w:eastAsia="zh-CN"/>
        </w:rPr>
        <w:t>在矿石临时转运场建设矿石堆棚，喷淋降尘</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b w:val="0"/>
          <w:bCs w:val="0"/>
          <w:color w:val="000000" w:themeColor="text1"/>
          <w:sz w:val="24"/>
          <w:szCs w:val="24"/>
          <w:lang w:val="en-US" w:eastAsia="zh-CN"/>
        </w:rPr>
        <w:t>加强道路清扫增加道路清洁程度，定期洒水降尘。运输车辆减速慢行，车辆全覆盖，防止矿石散落。</w:t>
      </w:r>
      <w:r>
        <w:rPr>
          <w:rFonts w:hint="default" w:ascii="Times New Roman" w:hAnsi="Times New Roman" w:eastAsia="宋体" w:cs="Times New Roman"/>
          <w:color w:val="000000" w:themeColor="text1"/>
          <w:sz w:val="24"/>
          <w:szCs w:val="24"/>
        </w:rPr>
        <w:t>食堂油烟经过油烟净化器处理后可达标排放，对环境影响较小。</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eastAsia="zh-CN"/>
        </w:rPr>
      </w:pPr>
      <w:r>
        <w:rPr>
          <w:rFonts w:ascii="Times New Roman" w:hAnsi="Times New Roman" w:eastAsia="宋体" w:cs="Times New Roman"/>
          <w:color w:val="000000" w:themeColor="text1"/>
          <w:sz w:val="24"/>
        </w:rPr>
        <w:t>（2）</w:t>
      </w:r>
      <w:r>
        <w:rPr>
          <w:rFonts w:hint="eastAsia" w:ascii="Times New Roman" w:hAnsi="Times New Roman" w:eastAsia="宋体" w:cs="Times New Roman"/>
          <w:color w:val="000000" w:themeColor="text1"/>
          <w:sz w:val="24"/>
          <w:lang w:eastAsia="zh-CN"/>
        </w:rPr>
        <w:t>废水</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运行期废水有生产废水，矿坑涌水以及生活废水。</w:t>
      </w:r>
      <w:r>
        <w:rPr>
          <w:rFonts w:hint="eastAsia" w:ascii="Times New Roman" w:hAnsi="Times New Roman" w:eastAsia="宋体" w:cs="Times New Roman"/>
          <w:b w:val="0"/>
          <w:bCs w:val="0"/>
          <w:color w:val="000000" w:themeColor="text1"/>
          <w:sz w:val="24"/>
          <w:szCs w:val="24"/>
          <w:lang w:val="en-US" w:eastAsia="zh-CN"/>
        </w:rPr>
        <w:t>主要环境保护措施有：生产废水全部经沉淀池沉淀后回用。生活废水经化粪池处理后用于肥田</w:t>
      </w:r>
      <w:r>
        <w:rPr>
          <w:rFonts w:hint="default" w:ascii="Times New Roman" w:hAnsi="Times New Roman" w:eastAsia="宋体" w:cs="Times New Roman"/>
          <w:color w:val="000000" w:themeColor="text1"/>
          <w:sz w:val="24"/>
          <w:szCs w:val="24"/>
        </w:rPr>
        <w:t>。</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lang w:eastAsia="zh-CN"/>
        </w:rPr>
        <w:t>项目产生的噪声主要为</w:t>
      </w:r>
      <w:r>
        <w:rPr>
          <w:rFonts w:hint="eastAsia" w:ascii="Times New Roman" w:hAnsi="Times New Roman" w:eastAsia="宋体" w:cs="Times New Roman"/>
          <w:color w:val="000000" w:themeColor="text1"/>
          <w:sz w:val="24"/>
          <w:lang w:val="en-US" w:eastAsia="zh-CN"/>
        </w:rPr>
        <w:t>井下采矿机械噪声以及爆破噪声；地表噪声主要为空压机和通风机噪声，以及运输噪声。</w:t>
      </w:r>
      <w:r>
        <w:rPr>
          <w:rFonts w:hint="eastAsia" w:ascii="Times New Roman" w:hAnsi="Times New Roman" w:eastAsia="宋体" w:cs="Times New Roman"/>
          <w:b w:val="0"/>
          <w:bCs w:val="0"/>
          <w:color w:val="000000" w:themeColor="text1"/>
          <w:sz w:val="24"/>
          <w:szCs w:val="24"/>
          <w:lang w:val="en-US" w:eastAsia="zh-CN"/>
        </w:rPr>
        <w:t>主要环境保护措施有：选用低噪声设备，合理设计爆破工艺，降低爆破噪声产生量，加上井下地层阻挡，距离衰减，井下施工对环境的影响极小；</w:t>
      </w:r>
      <w:r>
        <w:rPr>
          <w:rFonts w:hint="default" w:ascii="Times New Roman" w:hAnsi="Times New Roman" w:eastAsia="宋体" w:cs="Times New Roman"/>
          <w:color w:val="000000" w:themeColor="text1"/>
          <w:sz w:val="24"/>
          <w:szCs w:val="24"/>
        </w:rPr>
        <w:t>通风机采用消声、减振措施，降低声源危害</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采矿区空压机安装在室内，安装基础上加装</w:t>
      </w:r>
      <w:r>
        <w:rPr>
          <w:rFonts w:hint="eastAsia" w:ascii="Times New Roman" w:hAnsi="Times New Roman" w:eastAsia="宋体" w:cs="Times New Roman"/>
          <w:color w:val="000000" w:themeColor="text1"/>
          <w:sz w:val="24"/>
          <w:szCs w:val="24"/>
          <w:lang w:eastAsia="zh-CN"/>
        </w:rPr>
        <w:t>减振措施</w:t>
      </w:r>
      <w:r>
        <w:rPr>
          <w:rFonts w:hint="default" w:ascii="Times New Roman" w:hAnsi="Times New Roman" w:eastAsia="宋体" w:cs="Times New Roman"/>
          <w:color w:val="000000" w:themeColor="text1"/>
          <w:sz w:val="24"/>
          <w:szCs w:val="24"/>
        </w:rPr>
        <w:t>，并安装消声器</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运输车辆减速慢行，禁止鸣笛，定期车辆维修保养。</w:t>
      </w:r>
    </w:p>
    <w:p>
      <w:pPr>
        <w:adjustRightInd w:val="0"/>
        <w:snapToGrid w:val="0"/>
        <w:spacing w:line="360" w:lineRule="auto"/>
        <w:ind w:firstLine="480" w:firstLineChars="200"/>
        <w:jc w:val="left"/>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（4）固体废弃物</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ascii="Times New Roman" w:hAnsi="Times New Roman" w:eastAsia="宋体" w:cs="Times New Roman"/>
          <w:color w:val="000000" w:themeColor="text1"/>
          <w:sz w:val="24"/>
          <w:szCs w:val="24"/>
        </w:rPr>
        <w:t>本项目</w:t>
      </w:r>
      <w:r>
        <w:rPr>
          <w:rFonts w:hint="eastAsia" w:ascii="Times New Roman" w:eastAsia="宋体" w:cs="Times New Roman"/>
          <w:color w:val="000000" w:themeColor="text1"/>
          <w:sz w:val="24"/>
          <w:szCs w:val="24"/>
          <w:lang w:val="en-US" w:eastAsia="zh-CN"/>
        </w:rPr>
        <w:t>产生的固体废物有废矿石、废机油和生活垃圾。</w:t>
      </w:r>
      <w:r>
        <w:rPr>
          <w:rFonts w:hint="eastAsia" w:ascii="Times New Roman" w:hAnsi="Times New Roman" w:eastAsia="宋体" w:cs="Times New Roman"/>
          <w:b w:val="0"/>
          <w:bCs w:val="0"/>
          <w:color w:val="000000" w:themeColor="text1"/>
          <w:sz w:val="24"/>
          <w:szCs w:val="24"/>
          <w:lang w:val="en-US" w:eastAsia="zh-CN"/>
        </w:rPr>
        <w:t>主要环境保护措施有：扩建项目</w:t>
      </w:r>
      <w:r>
        <w:rPr>
          <w:rFonts w:hint="eastAsia" w:ascii="Times New Roman" w:eastAsia="宋体" w:cs="Times New Roman"/>
          <w:b w:val="0"/>
          <w:bCs w:val="0"/>
          <w:color w:val="000000" w:themeColor="text1"/>
          <w:sz w:val="24"/>
          <w:szCs w:val="24"/>
          <w:lang w:val="en-US" w:eastAsia="zh-CN"/>
        </w:rPr>
        <w:t>采矿废石一部分用于矿区基础建设，剩余全部</w:t>
      </w:r>
      <w:r>
        <w:rPr>
          <w:rFonts w:hint="default" w:ascii="Times New Roman" w:hAnsi="Times New Roman" w:eastAsia="宋体" w:cs="Times New Roman"/>
          <w:color w:val="000000" w:themeColor="text1"/>
          <w:sz w:val="24"/>
          <w:szCs w:val="24"/>
        </w:rPr>
        <w:t>在井下用来填充硐室和废弃巷道等</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采矿废石不外排</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危险废物贮存于危险废物暂存间，定期交由有资质单位处置。生活垃圾分类收集，交由环卫部门处置。</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eastAsia="宋体" w:cs="Times New Roman"/>
          <w:color w:val="000000" w:themeColor="text1"/>
          <w:sz w:val="24"/>
          <w:szCs w:val="24"/>
          <w:lang w:val="en-US" w:eastAsia="zh-CN"/>
        </w:rPr>
      </w:pPr>
      <w:r>
        <w:rPr>
          <w:rFonts w:hint="eastAsia" w:ascii="Times New Roman" w:eastAsia="宋体" w:cs="Times New Roman"/>
          <w:color w:val="000000" w:themeColor="text1"/>
          <w:sz w:val="24"/>
          <w:szCs w:val="24"/>
          <w:lang w:val="en-US" w:eastAsia="zh-CN"/>
        </w:rPr>
        <w:t>（5）对土壤环境的影响</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eastAsia="宋体" w:cs="Times New Roman"/>
          <w:b w:val="0"/>
          <w:bCs w:val="0"/>
          <w:color w:val="000000" w:themeColor="text1"/>
          <w:sz w:val="24"/>
          <w:szCs w:val="24"/>
          <w:lang w:val="en-US" w:eastAsia="zh-CN"/>
        </w:rPr>
        <w:t>本项目运营期对土壤环境的影响主要有粉尘，废水、固废和地质灾害。</w:t>
      </w:r>
      <w:r>
        <w:rPr>
          <w:rFonts w:hint="eastAsia" w:ascii="Times New Roman" w:hAnsi="Times New Roman" w:eastAsia="宋体" w:cs="Times New Roman"/>
          <w:b w:val="0"/>
          <w:bCs w:val="0"/>
          <w:color w:val="000000" w:themeColor="text1"/>
          <w:sz w:val="24"/>
          <w:szCs w:val="24"/>
          <w:lang w:val="en-US" w:eastAsia="zh-CN"/>
        </w:rPr>
        <w:t>主要环境保护措施有：</w:t>
      </w:r>
      <w:r>
        <w:rPr>
          <w:rFonts w:hint="eastAsia" w:ascii="Times New Roman" w:eastAsia="宋体" w:cs="Times New Roman"/>
          <w:b w:val="0"/>
          <w:bCs w:val="0"/>
          <w:color w:val="000000" w:themeColor="text1"/>
          <w:sz w:val="24"/>
          <w:szCs w:val="24"/>
          <w:lang w:val="en-US" w:eastAsia="zh-CN"/>
        </w:rPr>
        <w:t>加强“三废”管理，杜绝其进入土壤环境；</w:t>
      </w:r>
      <w:r>
        <w:rPr>
          <w:rFonts w:hint="default" w:ascii="Times New Roman" w:hAnsi="Times New Roman" w:eastAsia="宋体" w:cs="Times New Roman"/>
          <w:color w:val="000000" w:themeColor="text1"/>
          <w:sz w:val="24"/>
          <w:szCs w:val="24"/>
        </w:rPr>
        <w:t>严格按照操作流程进行采空区的回填</w:t>
      </w:r>
      <w:r>
        <w:rPr>
          <w:rFonts w:hint="eastAsia" w:ascii="Times New Roman" w:eastAsia="宋体" w:cs="Times New Roman"/>
          <w:color w:val="000000" w:themeColor="text1"/>
          <w:sz w:val="24"/>
          <w:szCs w:val="24"/>
          <w:lang w:eastAsia="zh-CN"/>
        </w:rPr>
        <w:t>与支护</w:t>
      </w:r>
      <w:r>
        <w:rPr>
          <w:rFonts w:hint="default" w:ascii="Times New Roman" w:hAnsi="Times New Roman" w:eastAsia="宋体" w:cs="Times New Roman"/>
          <w:color w:val="000000" w:themeColor="text1"/>
          <w:sz w:val="24"/>
          <w:szCs w:val="24"/>
        </w:rPr>
        <w:t>，间接减少</w:t>
      </w:r>
      <w:r>
        <w:rPr>
          <w:rFonts w:hint="eastAsia" w:ascii="Times New Roman" w:hAnsi="Times New Roman" w:eastAsia="宋体" w:cs="Times New Roman"/>
          <w:color w:val="000000" w:themeColor="text1"/>
          <w:sz w:val="24"/>
          <w:szCs w:val="24"/>
          <w:lang w:val="en-US" w:eastAsia="zh-CN"/>
        </w:rPr>
        <w:t>采空区塌陷产生的地表塌陷</w:t>
      </w:r>
      <w:r>
        <w:rPr>
          <w:rFonts w:hint="default" w:ascii="Times New Roman" w:hAnsi="Times New Roman" w:eastAsia="宋体" w:cs="Times New Roman"/>
          <w:color w:val="000000" w:themeColor="text1"/>
          <w:sz w:val="24"/>
          <w:szCs w:val="24"/>
        </w:rPr>
        <w:t>对</w:t>
      </w:r>
      <w:r>
        <w:rPr>
          <w:rFonts w:hint="eastAsia" w:ascii="Times New Roman" w:eastAsia="宋体" w:cs="Times New Roman"/>
          <w:color w:val="000000" w:themeColor="text1"/>
          <w:sz w:val="24"/>
          <w:szCs w:val="24"/>
          <w:lang w:val="en-US" w:eastAsia="zh-CN"/>
        </w:rPr>
        <w:t>其上层</w:t>
      </w:r>
      <w:r>
        <w:rPr>
          <w:rFonts w:hint="default" w:ascii="Times New Roman" w:hAnsi="Times New Roman" w:eastAsia="宋体" w:cs="Times New Roman"/>
          <w:color w:val="000000" w:themeColor="text1"/>
          <w:sz w:val="24"/>
          <w:szCs w:val="24"/>
        </w:rPr>
        <w:t>土壤的影响。</w:t>
      </w:r>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rPr>
        <w:t>（6）对生态环境的影响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hint="eastAsia" w:ascii="Times New Roman" w:eastAsia="宋体" w:cs="Times New Roman"/>
          <w:b w:val="0"/>
          <w:bCs w:val="0"/>
          <w:color w:val="000000" w:themeColor="text1"/>
          <w:sz w:val="24"/>
          <w:szCs w:val="24"/>
          <w:lang w:val="en-US" w:eastAsia="zh-CN"/>
        </w:rPr>
        <w:t>运行期对生态环境的影响主要有对地下水环境的影响，采空区岩移地表错动，对动植物以及景观的影响和水土流失。</w:t>
      </w:r>
      <w:r>
        <w:rPr>
          <w:rFonts w:hint="eastAsia" w:ascii="Times New Roman" w:hAnsi="Times New Roman" w:eastAsia="宋体" w:cs="Times New Roman"/>
          <w:b w:val="0"/>
          <w:bCs w:val="0"/>
          <w:color w:val="000000" w:themeColor="text1"/>
          <w:sz w:val="24"/>
          <w:szCs w:val="24"/>
          <w:lang w:val="en-US" w:eastAsia="zh-CN"/>
        </w:rPr>
        <w:t>主要环境保护措施有：</w:t>
      </w:r>
      <w:r>
        <w:rPr>
          <w:rFonts w:hint="eastAsia" w:ascii="Times New Roman" w:eastAsia="宋体" w:cs="Times New Roman"/>
          <w:b w:val="0"/>
          <w:bCs w:val="0"/>
          <w:color w:val="000000" w:themeColor="text1"/>
          <w:sz w:val="24"/>
          <w:szCs w:val="24"/>
          <w:lang w:val="en-US" w:eastAsia="zh-CN"/>
        </w:rPr>
        <w:t>为防止生产废水沉淀池泄露，废水进入土壤和地下水，要求定期对沉淀池进行检修；为减少对地下水的影响，场区分区防渗；</w:t>
      </w:r>
      <w:r>
        <w:rPr>
          <w:rFonts w:hint="default" w:ascii="Times New Roman" w:hAnsi="Times New Roman" w:eastAsia="宋体" w:cs="Times New Roman"/>
          <w:color w:val="000000" w:themeColor="text1"/>
          <w:sz w:val="24"/>
          <w:szCs w:val="24"/>
        </w:rPr>
        <w:t>采矿活动可能引起的地质灾害通过选择合理可行的开采方法和支护措施，以及严格按照《陕西省旬阳县赤岩镇水磨河口构皮沟毒重石矿矿产资源开发利用方案》中提出的相关要求实施，地址灾害影响在可控范围内。</w:t>
      </w:r>
    </w:p>
    <w:p>
      <w:pPr>
        <w:pStyle w:val="4"/>
        <w:rPr>
          <w:rStyle w:val="63"/>
          <w:rFonts w:hint="eastAsia"/>
          <w:b/>
          <w:bCs/>
          <w:color w:val="000000" w:themeColor="text1"/>
          <w:lang w:val="en-US" w:eastAsia="zh-CN"/>
        </w:rPr>
      </w:pPr>
      <w:bookmarkStart w:id="867" w:name="_Toc31835"/>
      <w:r>
        <w:rPr>
          <w:rFonts w:hint="eastAsia"/>
          <w:color w:val="000000" w:themeColor="text1"/>
          <w:lang w:val="en-US" w:eastAsia="zh-CN"/>
        </w:rPr>
        <w:t>公众意见采纳情况</w:t>
      </w:r>
      <w:bookmarkEnd w:id="867"/>
    </w:p>
    <w:p>
      <w:pPr>
        <w:adjustRightInd w:val="0"/>
        <w:snapToGrid w:val="0"/>
        <w:spacing w:line="360" w:lineRule="auto"/>
        <w:ind w:firstLine="480" w:firstLineChars="200"/>
        <w:jc w:val="left"/>
        <w:rPr>
          <w:color w:val="000000" w:themeColor="text1"/>
          <w:sz w:val="24"/>
        </w:rPr>
      </w:pPr>
      <w:r>
        <w:rPr>
          <w:rFonts w:hint="eastAsia"/>
          <w:color w:val="000000" w:themeColor="text1"/>
          <w:sz w:val="24"/>
        </w:rPr>
        <w:t>环境影响评价文件编制期间，建设单位首次公示在“环评互联网”采用网上公示</w:t>
      </w:r>
      <w:r>
        <w:rPr>
          <w:rFonts w:hint="eastAsia"/>
          <w:color w:val="000000" w:themeColor="text1"/>
          <w:sz w:val="24"/>
          <w:lang w:eastAsia="zh-CN"/>
        </w:rPr>
        <w:t>，公示链接为：http://www.eiabbs.net/forum.php?mod=viewthread&amp;tid=534336&amp;extra=</w:t>
      </w:r>
      <w:r>
        <w:rPr>
          <w:rFonts w:hint="eastAsia"/>
          <w:color w:val="000000" w:themeColor="text1"/>
          <w:sz w:val="24"/>
        </w:rPr>
        <w:t>。征求意见稿在“</w:t>
      </w:r>
      <w:r>
        <w:rPr>
          <w:rFonts w:hint="eastAsia"/>
          <w:color w:val="000000" w:themeColor="text1"/>
          <w:sz w:val="24"/>
          <w:lang w:eastAsia="zh-CN"/>
        </w:rPr>
        <w:t>全国建设项目环境信息公示平台</w:t>
      </w:r>
      <w:r>
        <w:rPr>
          <w:rFonts w:hint="eastAsia"/>
          <w:color w:val="000000" w:themeColor="text1"/>
          <w:sz w:val="24"/>
        </w:rPr>
        <w:t>”采用网上公示</w:t>
      </w:r>
      <w:r>
        <w:rPr>
          <w:rFonts w:hint="eastAsia"/>
          <w:color w:val="000000" w:themeColor="text1"/>
          <w:sz w:val="24"/>
          <w:lang w:eastAsia="zh-CN"/>
        </w:rPr>
        <w:t>，公示链接为https://www.eiacloud.com/gs/detail/1?id=20606XDOMT</w:t>
      </w:r>
      <w:r>
        <w:rPr>
          <w:rFonts w:hint="eastAsia"/>
          <w:color w:val="000000" w:themeColor="text1"/>
          <w:sz w:val="24"/>
        </w:rPr>
        <w:t>；期间在“</w:t>
      </w:r>
      <w:r>
        <w:rPr>
          <w:rFonts w:hint="eastAsia"/>
          <w:color w:val="000000" w:themeColor="text1"/>
          <w:sz w:val="24"/>
          <w:lang w:eastAsia="zh-CN"/>
        </w:rPr>
        <w:t>西北信息报</w:t>
      </w:r>
      <w:r>
        <w:rPr>
          <w:rFonts w:hint="eastAsia"/>
          <w:color w:val="000000" w:themeColor="text1"/>
          <w:sz w:val="24"/>
        </w:rPr>
        <w:t>”上进行登报两次进行公示；采用张贴的形式在</w:t>
      </w:r>
      <w:r>
        <w:rPr>
          <w:rFonts w:hint="eastAsia"/>
          <w:color w:val="000000" w:themeColor="text1"/>
          <w:sz w:val="24"/>
          <w:lang w:eastAsia="zh-CN"/>
        </w:rPr>
        <w:t>项目地附近</w:t>
      </w:r>
      <w:r>
        <w:rPr>
          <w:rFonts w:hint="eastAsia"/>
          <w:color w:val="000000" w:themeColor="text1"/>
          <w:sz w:val="24"/>
        </w:rPr>
        <w:t>进行</w:t>
      </w:r>
      <w:r>
        <w:rPr>
          <w:rFonts w:hint="eastAsia"/>
          <w:color w:val="000000" w:themeColor="text1"/>
          <w:sz w:val="24"/>
          <w:lang w:eastAsia="zh-CN"/>
        </w:rPr>
        <w:t>了</w:t>
      </w:r>
      <w:r>
        <w:rPr>
          <w:rFonts w:hint="eastAsia"/>
          <w:color w:val="000000" w:themeColor="text1"/>
          <w:sz w:val="24"/>
        </w:rPr>
        <w:t>公示。</w:t>
      </w:r>
      <w:r>
        <w:rPr>
          <w:rFonts w:hint="eastAsia"/>
          <w:snapToGrid w:val="0"/>
          <w:kern w:val="0"/>
          <w:sz w:val="24"/>
          <w:lang w:val="en-US" w:eastAsia="zh-CN"/>
        </w:rPr>
        <w:t>报批环境影响报告书前，在“环评互联网”公开拟报批的环境影响报告书全文和公众参与说明，</w:t>
      </w:r>
      <w:r>
        <w:rPr>
          <w:rFonts w:hint="eastAsia"/>
          <w:snapToGrid w:val="0"/>
          <w:kern w:val="0"/>
          <w:sz w:val="24"/>
          <w:lang w:eastAsia="zh-CN"/>
        </w:rPr>
        <w:t>公示网址为：</w:t>
      </w:r>
      <w:r>
        <w:rPr>
          <w:rFonts w:hint="eastAsia"/>
          <w:color w:val="000000" w:themeColor="text1"/>
          <w:sz w:val="24"/>
          <w:lang w:eastAsia="zh-CN"/>
        </w:rPr>
        <w:t>http://www.eiabbs.net/forum.php?mod=viewthread&amp;tid=574408&amp;extra=</w:t>
      </w:r>
      <w:bookmarkStart w:id="871" w:name="_GoBack"/>
      <w:bookmarkEnd w:id="871"/>
      <w:r>
        <w:rPr>
          <w:rFonts w:hint="eastAsia"/>
          <w:snapToGrid w:val="0"/>
          <w:kern w:val="0"/>
          <w:sz w:val="24"/>
          <w:lang w:val="en-US" w:eastAsia="zh-CN"/>
        </w:rPr>
        <w:t>。</w:t>
      </w:r>
      <w:r>
        <w:rPr>
          <w:rFonts w:hint="eastAsia"/>
          <w:color w:val="000000" w:themeColor="text1"/>
          <w:sz w:val="24"/>
        </w:rPr>
        <w:t>公示期间未收到公众的反馈意见。</w:t>
      </w:r>
    </w:p>
    <w:p>
      <w:pPr>
        <w:pStyle w:val="4"/>
        <w:rPr>
          <w:rFonts w:hint="eastAsia"/>
          <w:color w:val="000000" w:themeColor="text1"/>
          <w:lang w:val="en-US" w:eastAsia="zh-CN"/>
        </w:rPr>
      </w:pPr>
      <w:bookmarkStart w:id="868" w:name="_Toc13719"/>
      <w:r>
        <w:rPr>
          <w:rFonts w:hint="eastAsia"/>
          <w:color w:val="000000" w:themeColor="text1"/>
          <w:lang w:val="en-US" w:eastAsia="zh-CN"/>
        </w:rPr>
        <w:t>环境影响经济损益分析</w:t>
      </w:r>
      <w:bookmarkEnd w:id="868"/>
    </w:p>
    <w:p>
      <w:pPr>
        <w:pStyle w:val="6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eastAsia="zh-CN"/>
        </w:rPr>
        <w:t>本项目建设过程中，对环境产生的直接影响为临时占地</w:t>
      </w:r>
      <w:r>
        <w:rPr>
          <w:rFonts w:hint="eastAsia"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造成植被减少</w:t>
      </w:r>
      <w:r>
        <w:rPr>
          <w:rFonts w:hint="eastAsia" w:ascii="Times New Roman" w:eastAsia="宋体" w:cs="Times New Roman"/>
          <w:b w:val="0"/>
          <w:bCs w:val="0"/>
          <w:color w:val="000000" w:themeColor="text1"/>
          <w:sz w:val="24"/>
          <w:szCs w:val="24"/>
          <w:lang w:val="en-US" w:eastAsia="zh-CN"/>
        </w:rPr>
        <w:t>等生态破坏</w:t>
      </w:r>
      <w:r>
        <w:rPr>
          <w:rFonts w:hint="eastAsia" w:ascii="Times New Roman" w:hAnsi="Times New Roman" w:eastAsia="宋体" w:cs="Times New Roman"/>
          <w:b w:val="0"/>
          <w:bCs w:val="0"/>
          <w:color w:val="000000" w:themeColor="text1"/>
          <w:sz w:val="24"/>
          <w:szCs w:val="24"/>
          <w:lang w:val="en-US" w:eastAsia="zh-CN"/>
        </w:rPr>
        <w:t>；间接影响为</w:t>
      </w:r>
      <w:r>
        <w:rPr>
          <w:rFonts w:hint="default" w:ascii="Times New Roman" w:hAnsi="Times New Roman" w:eastAsia="宋体" w:cs="Times New Roman"/>
          <w:b w:val="0"/>
          <w:bCs w:val="0"/>
          <w:color w:val="000000" w:themeColor="text1"/>
          <w:sz w:val="24"/>
          <w:szCs w:val="24"/>
          <w:lang w:eastAsia="zh-CN"/>
        </w:rPr>
        <w:t>破坏动物的生境，进而可能导致动物数量的下降。不利影响是项目的建设占用一定的土地资源，水资源和电力资源等。有利影响为本项目为</w:t>
      </w:r>
      <w:r>
        <w:rPr>
          <w:rFonts w:hint="eastAsia" w:ascii="Times New Roman" w:hAnsi="Times New Roman" w:eastAsia="宋体" w:cs="Times New Roman"/>
          <w:b w:val="0"/>
          <w:bCs w:val="0"/>
          <w:color w:val="000000" w:themeColor="text1"/>
          <w:sz w:val="24"/>
          <w:szCs w:val="24"/>
          <w:lang w:val="en-US" w:eastAsia="zh-CN"/>
        </w:rPr>
        <w:t>本项目的建设可带动当地经济发展，增加就业岗位，提高居民收入，本项目的产品可广泛应用于油气钻探、化工等行业，前景广阔</w:t>
      </w:r>
      <w:r>
        <w:rPr>
          <w:rFonts w:hint="default" w:ascii="Times New Roman" w:hAnsi="Times New Roman" w:eastAsia="宋体" w:cs="Times New Roman"/>
          <w:b w:val="0"/>
          <w:bCs w:val="0"/>
          <w:color w:val="000000" w:themeColor="text1"/>
          <w:sz w:val="24"/>
          <w:szCs w:val="24"/>
          <w:lang w:eastAsia="zh-CN"/>
        </w:rPr>
        <w:t>。</w:t>
      </w:r>
      <w:r>
        <w:rPr>
          <w:rFonts w:hint="eastAsia" w:ascii="Times New Roman" w:hAnsi="Times New Roman" w:eastAsia="宋体" w:cs="Times New Roman"/>
          <w:b w:val="0"/>
          <w:bCs w:val="0"/>
          <w:color w:val="000000" w:themeColor="text1"/>
          <w:sz w:val="24"/>
          <w:szCs w:val="24"/>
          <w:lang w:val="en-US" w:eastAsia="zh-CN"/>
        </w:rPr>
        <w:t>总体来说，本项目综合收益大于经济损失，环境损益分析结果可行。</w:t>
      </w:r>
    </w:p>
    <w:p>
      <w:pPr>
        <w:pStyle w:val="4"/>
        <w:rPr>
          <w:rFonts w:hint="eastAsia" w:ascii="Times New Roman" w:hAnsi="Times New Roman"/>
          <w:color w:val="000000" w:themeColor="text1"/>
          <w:lang w:val="en-US" w:eastAsia="zh-CN"/>
        </w:rPr>
      </w:pPr>
      <w:bookmarkStart w:id="869" w:name="_Toc985"/>
      <w:r>
        <w:rPr>
          <w:rFonts w:hint="eastAsia" w:ascii="Times New Roman" w:hAnsi="Times New Roman"/>
          <w:color w:val="000000" w:themeColor="text1"/>
          <w:lang w:val="en-US" w:eastAsia="zh-CN"/>
        </w:rPr>
        <w:t>环境监理与监测计划</w:t>
      </w:r>
      <w:bookmarkEnd w:id="86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jc w:val="left"/>
        <w:textAlignment w:val="auto"/>
        <w:rPr>
          <w:rFonts w:hint="eastAsia"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color w:val="000000" w:themeColor="text1"/>
          <w:sz w:val="24"/>
          <w:szCs w:val="24"/>
        </w:rPr>
        <w:t>为了及时掌握项目建成后的污染状况和污染物对周围环境的影响，必须对产生的污染物和污染防治设施进行日常监测，其目的是提供可靠的监测分析数据，以便根据污染物浓度及其变化规律，采取必要、合理的防治措施。</w:t>
      </w:r>
      <w:r>
        <w:rPr>
          <w:rFonts w:hint="default" w:ascii="Times New Roman" w:hAnsi="Times New Roman" w:eastAsia="宋体" w:cs="Times New Roman"/>
          <w:color w:val="000000" w:themeColor="text1"/>
          <w:sz w:val="24"/>
          <w:szCs w:val="24"/>
          <w:lang w:val="en-US" w:eastAsia="zh-CN"/>
        </w:rPr>
        <w:t>针对本项目的实际情况，</w:t>
      </w:r>
      <w:r>
        <w:rPr>
          <w:rFonts w:hint="eastAsia" w:ascii="Times New Roman" w:eastAsia="宋体" w:cs="Times New Roman"/>
          <w:color w:val="000000" w:themeColor="text1"/>
          <w:sz w:val="24"/>
          <w:szCs w:val="24"/>
          <w:lang w:val="en-US" w:eastAsia="zh-CN"/>
        </w:rPr>
        <w:t>提出了运行期污染源监测计划以及环境质量监测计划。</w:t>
      </w:r>
    </w:p>
    <w:p>
      <w:pPr>
        <w:pStyle w:val="4"/>
        <w:rPr>
          <w:rFonts w:hint="default" w:ascii="Times New Roman" w:hAnsi="Times New Roman"/>
          <w:color w:val="000000" w:themeColor="text1"/>
          <w:lang w:val="en-US" w:eastAsia="zh-CN"/>
        </w:rPr>
      </w:pPr>
      <w:bookmarkStart w:id="870" w:name="_Toc16164"/>
      <w:r>
        <w:rPr>
          <w:rFonts w:hint="eastAsia" w:ascii="Times New Roman" w:hAnsi="Times New Roman"/>
          <w:color w:val="000000" w:themeColor="text1"/>
          <w:lang w:val="en-US" w:eastAsia="zh-CN"/>
        </w:rPr>
        <w:t>评价总结论</w:t>
      </w:r>
      <w:bookmarkEnd w:id="870"/>
    </w:p>
    <w:p>
      <w:pPr>
        <w:pStyle w:val="12"/>
        <w:adjustRightInd w:val="0"/>
        <w:snapToGrid w:val="0"/>
        <w:spacing w:after="0" w:line="360" w:lineRule="auto"/>
        <w:ind w:firstLine="480" w:firstLineChars="200"/>
        <w:jc w:val="left"/>
        <w:rPr>
          <w:color w:val="000000" w:themeColor="text1"/>
          <w:sz w:val="24"/>
          <w:szCs w:val="24"/>
        </w:rPr>
      </w:pPr>
      <w:r>
        <w:rPr>
          <w:rFonts w:hint="eastAsia" w:ascii="Times New Roman" w:hAnsi="Times New Roman" w:eastAsia="宋体" w:cs="Times New Roman"/>
          <w:color w:val="000000" w:themeColor="text1"/>
          <w:sz w:val="24"/>
          <w:szCs w:val="24"/>
        </w:rPr>
        <w:t>本项目</w:t>
      </w:r>
      <w:r>
        <w:rPr>
          <w:rFonts w:hint="default" w:ascii="Times New Roman" w:hAnsi="Times New Roman" w:eastAsia="宋体" w:cs="Times New Roman"/>
          <w:color w:val="000000" w:themeColor="text1"/>
          <w:sz w:val="24"/>
          <w:szCs w:val="24"/>
        </w:rPr>
        <w:t>建设年开采重晶石及伴生毒重石5万吨</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矿山采用地下开采方式，采矿方法为</w:t>
      </w:r>
      <w:r>
        <w:rPr>
          <w:rFonts w:hint="default" w:ascii="Times New Roman" w:hAnsi="Times New Roman" w:eastAsia="宋体" w:cs="Times New Roman"/>
          <w:color w:val="000000" w:themeColor="text1"/>
          <w:sz w:val="24"/>
          <w:szCs w:val="24"/>
        </w:rPr>
        <w:t>浅孔留矿采矿法</w:t>
      </w:r>
      <w:r>
        <w:rPr>
          <w:rFonts w:hint="eastAsia" w:ascii="Times New Roman" w:hAnsi="Times New Roman" w:eastAsia="宋体" w:cs="Times New Roman"/>
          <w:color w:val="000000" w:themeColor="text1"/>
          <w:sz w:val="24"/>
          <w:szCs w:val="24"/>
          <w:lang w:eastAsia="zh-CN"/>
        </w:rPr>
        <w:t>，</w:t>
      </w:r>
      <w:r>
        <w:rPr>
          <w:rFonts w:hint="eastAsia"/>
          <w:color w:val="000000" w:themeColor="text1"/>
          <w:sz w:val="24"/>
          <w:szCs w:val="24"/>
        </w:rPr>
        <w:t>符合国家产业政策和地方环保要求。</w:t>
      </w:r>
      <w:r>
        <w:rPr>
          <w:rFonts w:hint="eastAsia" w:ascii="Times New Roman" w:hAnsi="Times New Roman" w:eastAsia="宋体" w:cs="Times New Roman"/>
          <w:color w:val="000000" w:themeColor="text1"/>
          <w:sz w:val="24"/>
          <w:szCs w:val="24"/>
          <w:lang w:eastAsia="zh-CN"/>
        </w:rPr>
        <w:t>经查阅相关资料，</w:t>
      </w:r>
      <w:r>
        <w:rPr>
          <w:rFonts w:hint="eastAsia" w:ascii="Times New Roman" w:hAnsi="Times New Roman" w:eastAsia="宋体" w:cs="Times New Roman"/>
          <w:color w:val="000000" w:themeColor="text1"/>
          <w:sz w:val="24"/>
          <w:lang w:val="en-US" w:eastAsia="zh-CN"/>
        </w:rPr>
        <w:t>旬阳市2021年环境空气质量</w:t>
      </w:r>
      <w:r>
        <w:rPr>
          <w:rFonts w:ascii="Times New Roman" w:hAnsi="Times New Roman" w:eastAsia="宋体" w:cs="Times New Roman"/>
          <w:color w:val="000000" w:themeColor="text1"/>
          <w:sz w:val="24"/>
        </w:rPr>
        <w:t>属于达标区。</w:t>
      </w:r>
      <w:r>
        <w:rPr>
          <w:rFonts w:hint="eastAsia" w:ascii="Times New Roman" w:hAnsi="Times New Roman" w:eastAsia="宋体" w:cs="Times New Roman"/>
          <w:color w:val="000000" w:themeColor="text1"/>
          <w:sz w:val="24"/>
          <w:lang w:val="en-US" w:eastAsia="zh-CN"/>
        </w:rPr>
        <w:t>施工期、运行期采取的污染防治措施、生态治理措施合理可行，符合当前技术要求，采取相应的防治技术后，本项目可实现达标排放，环境风险可接受。</w:t>
      </w:r>
      <w:r>
        <w:rPr>
          <w:rFonts w:hint="eastAsia"/>
          <w:color w:val="000000" w:themeColor="text1"/>
          <w:sz w:val="24"/>
          <w:szCs w:val="24"/>
          <w:lang w:val="en-US" w:eastAsia="zh-CN"/>
        </w:rPr>
        <w:t>闭矿期按照</w:t>
      </w:r>
      <w:r>
        <w:rPr>
          <w:rFonts w:hint="default" w:ascii="Times New Roman" w:hAnsi="Times New Roman" w:eastAsia="宋体" w:cs="Times New Roman"/>
          <w:color w:val="000000" w:themeColor="text1"/>
          <w:sz w:val="24"/>
          <w:szCs w:val="24"/>
        </w:rPr>
        <w:t>《陕西省旬阳县赤岩镇水磨河口构皮沟毒重石矿矿山地质环境保护与恢复治理方案》</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旬阳县赤岩镇水磨河口构皮沟毒重石矿扩建项目</w:t>
      </w:r>
      <w:r>
        <w:rPr>
          <w:rFonts w:hint="default" w:ascii="Times New Roman" w:hAnsi="Times New Roman" w:eastAsia="宋体" w:cs="Times New Roman"/>
          <w:color w:val="000000" w:themeColor="text1"/>
          <w:sz w:val="24"/>
          <w:szCs w:val="24"/>
          <w:lang w:val="en-US" w:eastAsia="zh-CN"/>
        </w:rPr>
        <w:t>水土保持方案</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等相关文件对施工场地进行生态恢复。</w:t>
      </w:r>
      <w:r>
        <w:rPr>
          <w:rFonts w:hint="eastAsia"/>
          <w:color w:val="000000" w:themeColor="text1"/>
          <w:sz w:val="24"/>
          <w:szCs w:val="24"/>
        </w:rPr>
        <w:t>本项目在公示期间未收到公众的反对意见，支持本项目的建设。</w:t>
      </w:r>
    </w:p>
    <w:p>
      <w:pPr>
        <w:pStyle w:val="12"/>
        <w:adjustRightInd w:val="0"/>
        <w:snapToGrid w:val="0"/>
        <w:spacing w:after="0" w:line="360" w:lineRule="auto"/>
        <w:ind w:firstLine="480" w:firstLineChars="200"/>
        <w:jc w:val="left"/>
        <w:rPr>
          <w:color w:val="000000" w:themeColor="text1"/>
          <w:sz w:val="24"/>
          <w:szCs w:val="24"/>
        </w:rPr>
      </w:pPr>
      <w:r>
        <w:rPr>
          <w:rFonts w:hint="eastAsia"/>
          <w:color w:val="000000" w:themeColor="text1"/>
          <w:sz w:val="24"/>
          <w:szCs w:val="24"/>
        </w:rPr>
        <w:t>因此，在建设单位认真落实本报告提出的各项</w:t>
      </w:r>
      <w:r>
        <w:rPr>
          <w:rFonts w:hint="eastAsia"/>
          <w:color w:val="000000" w:themeColor="text1"/>
          <w:sz w:val="24"/>
          <w:szCs w:val="24"/>
          <w:lang w:val="en-US" w:eastAsia="zh-CN"/>
        </w:rPr>
        <w:t>生态保护措施、</w:t>
      </w:r>
      <w:r>
        <w:rPr>
          <w:rFonts w:hint="eastAsia"/>
          <w:color w:val="000000" w:themeColor="text1"/>
          <w:sz w:val="24"/>
          <w:szCs w:val="24"/>
        </w:rPr>
        <w:t>污染防治措施</w:t>
      </w:r>
      <w:r>
        <w:rPr>
          <w:rFonts w:hint="eastAsia"/>
          <w:color w:val="000000" w:themeColor="text1"/>
          <w:sz w:val="24"/>
          <w:szCs w:val="24"/>
          <w:lang w:eastAsia="zh-CN"/>
        </w:rPr>
        <w:t>、</w:t>
      </w:r>
      <w:r>
        <w:rPr>
          <w:rFonts w:hint="eastAsia"/>
          <w:color w:val="000000" w:themeColor="text1"/>
          <w:sz w:val="24"/>
          <w:szCs w:val="24"/>
        </w:rPr>
        <w:t>环境风险防范措施的基础上，从环境角度论证，本项目的建设可行。</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ind w:leftChars="0" w:firstLine="482" w:firstLineChars="200"/>
        <w:jc w:val="left"/>
        <w:textAlignment w:val="auto"/>
        <w:rPr>
          <w:rFonts w:hint="default" w:ascii="Times New Roman" w:hAnsi="Times New Roman" w:eastAsia="宋体" w:cs="Times New Roman"/>
          <w:color w:val="000000" w:themeColor="text1"/>
          <w:sz w:val="24"/>
          <w:szCs w:val="24"/>
        </w:rPr>
      </w:pPr>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ind w:leftChars="0" w:firstLine="482" w:firstLineChars="200"/>
        <w:jc w:val="left"/>
        <w:textAlignment w:val="auto"/>
        <w:rPr>
          <w:rFonts w:hint="default" w:ascii="Times New Roman" w:hAnsi="Times New Roman" w:eastAsia="宋体" w:cs="Times New Roman"/>
          <w:color w:val="000000" w:themeColor="text1"/>
          <w:sz w:val="24"/>
          <w:szCs w:val="24"/>
        </w:rPr>
      </w:pPr>
    </w:p>
    <w:p>
      <w:pPr>
        <w:pStyle w:val="4"/>
        <w:keepNext/>
        <w:keepLines/>
        <w:pageBreakBefore w:val="0"/>
        <w:widowControl w:val="0"/>
        <w:numPr>
          <w:ilvl w:val="1"/>
          <w:numId w:val="0"/>
        </w:numPr>
        <w:kinsoku/>
        <w:wordWrap/>
        <w:overflowPunct/>
        <w:topLinePunct w:val="0"/>
        <w:autoSpaceDE/>
        <w:autoSpaceDN/>
        <w:bidi w:val="0"/>
        <w:adjustRightInd w:val="0"/>
        <w:snapToGrid w:val="0"/>
        <w:spacing w:beforeLines="0"/>
        <w:ind w:leftChars="0" w:firstLine="482" w:firstLineChars="200"/>
        <w:jc w:val="left"/>
        <w:textAlignment w:val="auto"/>
        <w:rPr>
          <w:rFonts w:hint="default" w:ascii="Times New Roman" w:hAnsi="Times New Roman" w:eastAsia="宋体" w:cs="Times New Roman"/>
          <w:color w:val="000000" w:themeColor="text1"/>
          <w:sz w:val="24"/>
          <w:szCs w:val="24"/>
        </w:rPr>
      </w:pPr>
    </w:p>
    <w:bookmarkEnd w:id="810"/>
    <w:bookmarkEnd w:id="811"/>
    <w:bookmarkEnd w:id="812"/>
    <w:p>
      <w:pPr>
        <w:pStyle w:val="12"/>
        <w:adjustRightInd w:val="0"/>
        <w:snapToGrid w:val="0"/>
        <w:spacing w:after="0" w:line="360" w:lineRule="auto"/>
        <w:ind w:left="420" w:leftChars="200" w:firstLine="0" w:firstLineChars="0"/>
        <w:jc w:val="left"/>
        <w:rPr>
          <w:rFonts w:ascii="Times New Roman" w:hAnsi="Times New Roman" w:cs="Times New Roman"/>
          <w:color w:val="000000" w:themeColor="text1"/>
          <w:sz w:val="24"/>
          <w:szCs w:val="24"/>
        </w:rPr>
        <w:sectPr>
          <w:headerReference r:id="rId13" w:type="default"/>
          <w:footerReference r:id="rId14" w:type="default"/>
          <w:pgSz w:w="11906" w:h="16838"/>
          <w:pgMar w:top="1134" w:right="1417" w:bottom="1134" w:left="1417" w:header="737" w:footer="567" w:gutter="0"/>
          <w:pgBorders>
            <w:top w:val="none" w:sz="0" w:space="0"/>
            <w:left w:val="none" w:sz="0" w:space="0"/>
            <w:bottom w:val="none" w:sz="0" w:space="0"/>
            <w:right w:val="none" w:sz="0" w:space="0"/>
          </w:pgBorders>
          <w:pgNumType w:fmt="decimal"/>
          <w:cols w:space="0" w:num="1"/>
          <w:rtlGutter w:val="0"/>
          <w:docGrid w:linePitch="312" w:charSpace="0"/>
        </w:sectPr>
      </w:pPr>
    </w:p>
    <w:p>
      <w:pPr>
        <w:adjustRightInd w:val="0"/>
        <w:snapToGrid w:val="0"/>
        <w:jc w:val="center"/>
        <w:rPr>
          <w:rFonts w:ascii="Times New Roman" w:hAnsi="Times New Roman"/>
          <w:b/>
          <w:color w:val="000000" w:themeColor="text1"/>
          <w:sz w:val="21"/>
          <w:szCs w:val="21"/>
          <w:lang w:val="en-GB"/>
        </w:rPr>
      </w:pPr>
      <w:r>
        <w:rPr>
          <w:rFonts w:ascii="Times New Roman" w:hAnsi="Times New Roman"/>
          <w:b/>
          <w:color w:val="000000" w:themeColor="text1"/>
          <w:sz w:val="21"/>
          <w:szCs w:val="21"/>
          <w:lang w:val="en-GB"/>
        </w:rPr>
        <w:t>表</w:t>
      </w:r>
      <w:r>
        <w:rPr>
          <w:rFonts w:hint="eastAsia" w:ascii="Times New Roman" w:hAnsi="Times New Roman"/>
          <w:b/>
          <w:color w:val="000000" w:themeColor="text1"/>
          <w:sz w:val="21"/>
          <w:szCs w:val="21"/>
          <w:lang w:val="en-US" w:eastAsia="zh-CN"/>
        </w:rPr>
        <w:t>3.4-2</w:t>
      </w:r>
      <w:r>
        <w:rPr>
          <w:rFonts w:ascii="Times New Roman" w:hAnsi="Times New Roman"/>
          <w:b/>
          <w:color w:val="000000" w:themeColor="text1"/>
          <w:sz w:val="21"/>
          <w:szCs w:val="21"/>
        </w:rPr>
        <w:t xml:space="preserve">  </w:t>
      </w:r>
      <w:r>
        <w:rPr>
          <w:rFonts w:ascii="Times New Roman" w:hAnsi="Times New Roman"/>
          <w:b/>
          <w:color w:val="000000" w:themeColor="text1"/>
          <w:sz w:val="21"/>
          <w:szCs w:val="21"/>
          <w:lang w:val="en-GB"/>
        </w:rPr>
        <w:t>建设项目主要污染物排放汇总表</w:t>
      </w:r>
    </w:p>
    <w:tbl>
      <w:tblPr>
        <w:tblStyle w:val="39"/>
        <w:tblW w:w="1446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6"/>
        <w:gridCol w:w="1008"/>
        <w:gridCol w:w="1166"/>
        <w:gridCol w:w="1166"/>
        <w:gridCol w:w="1159"/>
        <w:gridCol w:w="990"/>
        <w:gridCol w:w="1078"/>
        <w:gridCol w:w="3615"/>
        <w:gridCol w:w="955"/>
        <w:gridCol w:w="940"/>
        <w:gridCol w:w="819"/>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类别</w:t>
            </w:r>
          </w:p>
        </w:tc>
        <w:tc>
          <w:tcPr>
            <w:tcW w:w="1008"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污染源</w:t>
            </w:r>
          </w:p>
        </w:tc>
        <w:tc>
          <w:tcPr>
            <w:tcW w:w="2332" w:type="dxa"/>
            <w:gridSpan w:val="2"/>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污染因子</w:t>
            </w:r>
          </w:p>
        </w:tc>
        <w:tc>
          <w:tcPr>
            <w:tcW w:w="3227" w:type="dxa"/>
            <w:gridSpan w:val="3"/>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产生情况</w:t>
            </w:r>
          </w:p>
        </w:tc>
        <w:tc>
          <w:tcPr>
            <w:tcW w:w="3615"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治理措施</w:t>
            </w:r>
          </w:p>
        </w:tc>
        <w:tc>
          <w:tcPr>
            <w:tcW w:w="2714" w:type="dxa"/>
            <w:gridSpan w:val="3"/>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排放情况</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15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产生量t/a</w:t>
            </w:r>
          </w:p>
        </w:tc>
        <w:tc>
          <w:tcPr>
            <w:tcW w:w="99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rPr>
              <w:t>产生</w:t>
            </w:r>
            <w:r>
              <w:rPr>
                <w:rFonts w:ascii="Times New Roman" w:hAnsi="Times New Roman"/>
                <w:color w:val="000000" w:themeColor="text1"/>
                <w:kern w:val="0"/>
                <w:szCs w:val="21"/>
                <w:lang w:eastAsia="en-US"/>
              </w:rPr>
              <w:t>速</w:t>
            </w:r>
          </w:p>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率kg/h</w:t>
            </w:r>
          </w:p>
        </w:tc>
        <w:tc>
          <w:tcPr>
            <w:tcW w:w="107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浓度mg/m³</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排放量</w:t>
            </w:r>
          </w:p>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t/a</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排放速</w:t>
            </w:r>
          </w:p>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率kg/h</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浓度mg/m³</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浓度</w:t>
            </w:r>
          </w:p>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lang w:eastAsia="en-US"/>
              </w:rPr>
              <w:t>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restart"/>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废气</w:t>
            </w:r>
          </w:p>
        </w:tc>
        <w:tc>
          <w:tcPr>
            <w:tcW w:w="100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风井污风</w:t>
            </w:r>
          </w:p>
        </w:tc>
        <w:tc>
          <w:tcPr>
            <w:tcW w:w="116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颗粒物</w:t>
            </w:r>
          </w:p>
        </w:tc>
        <w:tc>
          <w:tcPr>
            <w:tcW w:w="116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无组织</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0.315</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0.0438</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通过湿式凿岩、工作面喷雾洒水除尘的湿式作业方式、机械与自然通风输送新鲜风的稀释方式</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0.0158</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0.0022</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矿石</w:t>
            </w:r>
            <w:r>
              <w:rPr>
                <w:rFonts w:hint="eastAsia" w:ascii="Times New Roman" w:hAnsi="Times New Roman" w:eastAsia="宋体" w:cs="Times New Roman"/>
                <w:color w:val="000000" w:themeColor="text1"/>
                <w:sz w:val="21"/>
                <w:szCs w:val="21"/>
                <w:lang w:val="en-US" w:eastAsia="zh-CN"/>
              </w:rPr>
              <w:t>堆场</w:t>
            </w:r>
            <w:r>
              <w:rPr>
                <w:rFonts w:hint="default" w:ascii="Times New Roman" w:hAnsi="Times New Roman" w:eastAsia="宋体" w:cs="Times New Roman"/>
                <w:color w:val="000000" w:themeColor="text1"/>
                <w:sz w:val="21"/>
                <w:szCs w:val="21"/>
              </w:rPr>
              <w:t>扬尘</w:t>
            </w:r>
          </w:p>
        </w:tc>
        <w:tc>
          <w:tcPr>
            <w:tcW w:w="116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颗粒物</w:t>
            </w:r>
          </w:p>
        </w:tc>
        <w:tc>
          <w:tcPr>
            <w:tcW w:w="116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无组织</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0.146</w:t>
            </w:r>
          </w:p>
        </w:tc>
        <w:tc>
          <w:tcPr>
            <w:tcW w:w="99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 w:val="21"/>
                <w:szCs w:val="21"/>
                <w:lang w:eastAsia="en-US"/>
              </w:rPr>
            </w:pPr>
            <w:r>
              <w:rPr>
                <w:rFonts w:hint="eastAsia" w:ascii="Times New Roman" w:hAnsi="Times New Roman" w:eastAsia="宋体" w:cs="Times New Roman"/>
                <w:color w:val="000000" w:themeColor="text1"/>
                <w:sz w:val="21"/>
                <w:szCs w:val="21"/>
                <w:lang w:val="en-US" w:eastAsia="zh-CN"/>
              </w:rPr>
              <w:t>0.0608</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 w:val="21"/>
                <w:szCs w:val="21"/>
                <w:lang w:val="en-US" w:eastAsia="zh-CN"/>
              </w:rPr>
            </w:pPr>
            <w:r>
              <w:rPr>
                <w:rFonts w:hint="eastAsia" w:ascii="Times New Roman" w:hAnsi="Times New Roman"/>
                <w:color w:val="000000" w:themeColor="text1"/>
                <w:kern w:val="0"/>
                <w:sz w:val="21"/>
                <w:szCs w:val="21"/>
                <w:lang w:val="en-US" w:eastAsia="zh-CN"/>
              </w:rPr>
              <w:t>/</w:t>
            </w:r>
          </w:p>
        </w:tc>
        <w:tc>
          <w:tcPr>
            <w:tcW w:w="361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 w:val="21"/>
                <w:szCs w:val="21"/>
                <w:lang w:eastAsia="en-US"/>
              </w:rPr>
            </w:pPr>
            <w:r>
              <w:rPr>
                <w:rFonts w:hint="eastAsia" w:ascii="Times New Roman" w:hAnsi="Times New Roman" w:eastAsia="宋体" w:cs="Times New Roman"/>
                <w:color w:val="000000" w:themeColor="text1"/>
                <w:sz w:val="21"/>
                <w:szCs w:val="21"/>
                <w:lang w:val="en-US" w:eastAsia="zh-CN"/>
              </w:rPr>
              <w:t>堆棚，</w:t>
            </w:r>
            <w:r>
              <w:rPr>
                <w:rFonts w:hint="eastAsia" w:ascii="Times New Roman" w:hAnsi="Times New Roman" w:eastAsia="宋体" w:cs="Times New Roman"/>
                <w:color w:val="000000" w:themeColor="text1"/>
                <w:sz w:val="21"/>
                <w:szCs w:val="21"/>
                <w:lang w:eastAsia="zh-CN"/>
              </w:rPr>
              <w:t>喷淋</w:t>
            </w:r>
            <w:r>
              <w:rPr>
                <w:rFonts w:hint="default" w:ascii="Times New Roman" w:hAnsi="Times New Roman" w:eastAsia="宋体" w:cs="Times New Roman"/>
                <w:color w:val="000000" w:themeColor="text1"/>
                <w:sz w:val="21"/>
                <w:szCs w:val="21"/>
              </w:rPr>
              <w:t>降尘</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 w:val="21"/>
                <w:szCs w:val="21"/>
                <w:lang w:val="en-US" w:eastAsia="zh-CN"/>
              </w:rPr>
            </w:pPr>
            <w:r>
              <w:rPr>
                <w:rFonts w:hint="eastAsia" w:ascii="Times New Roman" w:hAnsi="Times New Roman"/>
                <w:color w:val="000000" w:themeColor="text1"/>
                <w:kern w:val="0"/>
                <w:sz w:val="21"/>
                <w:szCs w:val="21"/>
                <w:lang w:val="en-US" w:eastAsia="zh-CN"/>
              </w:rPr>
              <w:t>0.015</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 w:val="21"/>
                <w:szCs w:val="21"/>
                <w:lang w:val="en-US" w:eastAsia="en-US"/>
              </w:rPr>
            </w:pPr>
            <w:r>
              <w:rPr>
                <w:rFonts w:hint="eastAsia" w:ascii="Times New Roman" w:hAnsi="Times New Roman" w:eastAsia="宋体" w:cs="Times New Roman"/>
                <w:color w:val="000000" w:themeColor="text1"/>
                <w:sz w:val="21"/>
                <w:szCs w:val="21"/>
                <w:lang w:val="en-US" w:eastAsia="zh-CN"/>
              </w:rPr>
              <w:t>0.00625</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eastAsia="宋体" w:cs="Times New Roman"/>
                <w:color w:val="000000" w:themeColor="text1"/>
                <w:sz w:val="21"/>
                <w:szCs w:val="21"/>
                <w:lang w:val="en-US" w:eastAsia="zh-CN"/>
              </w:rPr>
              <w:t>餐饮</w:t>
            </w:r>
            <w:r>
              <w:rPr>
                <w:rFonts w:hint="default" w:ascii="Times New Roman" w:hAnsi="Times New Roman" w:eastAsia="宋体" w:cs="Times New Roman"/>
                <w:color w:val="000000" w:themeColor="text1"/>
                <w:sz w:val="21"/>
                <w:szCs w:val="21"/>
              </w:rPr>
              <w:t>油烟</w:t>
            </w:r>
          </w:p>
        </w:tc>
        <w:tc>
          <w:tcPr>
            <w:tcW w:w="116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油烟</w:t>
            </w:r>
          </w:p>
        </w:tc>
        <w:tc>
          <w:tcPr>
            <w:tcW w:w="116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有组织</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0.0063</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0.0042</w:t>
            </w:r>
          </w:p>
        </w:tc>
        <w:tc>
          <w:tcPr>
            <w:tcW w:w="107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val="en-US" w:eastAsia="en-US"/>
              </w:rPr>
            </w:pPr>
            <w:r>
              <w:rPr>
                <w:rFonts w:hint="eastAsia" w:ascii="Times New Roman" w:hAnsi="Times New Roman" w:eastAsia="宋体" w:cs="Times New Roman"/>
                <w:color w:val="000000" w:themeColor="text1"/>
                <w:sz w:val="21"/>
                <w:szCs w:val="21"/>
                <w:lang w:val="en-US" w:eastAsia="zh-CN"/>
              </w:rPr>
              <w:t>2.107</w:t>
            </w:r>
          </w:p>
        </w:tc>
        <w:tc>
          <w:tcPr>
            <w:tcW w:w="361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油烟净化器</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0.0025</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0.0017</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val="en-US" w:eastAsia="en-US"/>
              </w:rPr>
            </w:pPr>
            <w:r>
              <w:rPr>
                <w:rFonts w:hint="eastAsia" w:ascii="Times New Roman" w:hAnsi="Times New Roman" w:eastAsia="宋体" w:cs="Times New Roman"/>
                <w:color w:val="000000" w:themeColor="text1"/>
                <w:sz w:val="21"/>
                <w:szCs w:val="21"/>
                <w:lang w:val="en-US" w:eastAsia="zh-CN"/>
              </w:rPr>
              <w:t>0.8428</w:t>
            </w:r>
          </w:p>
        </w:tc>
        <w:tc>
          <w:tcPr>
            <w:tcW w:w="1056"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017" w:hRule="atLeast"/>
          <w:jc w:val="center"/>
        </w:trPr>
        <w:tc>
          <w:tcPr>
            <w:tcW w:w="516" w:type="dxa"/>
            <w:vMerge w:val="restart"/>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废水</w:t>
            </w:r>
          </w:p>
        </w:tc>
        <w:tc>
          <w:tcPr>
            <w:tcW w:w="100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矿坑涌水</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废水量</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1m</w:t>
            </w:r>
            <w:r>
              <w:rPr>
                <w:rFonts w:hint="eastAsia" w:ascii="Times New Roman" w:hAnsi="Times New Roman"/>
                <w:color w:val="000000" w:themeColor="text1"/>
                <w:kern w:val="0"/>
                <w:szCs w:val="21"/>
                <w:vertAlign w:val="superscript"/>
                <w:lang w:val="en-US" w:eastAsia="zh-CN"/>
              </w:rPr>
              <w:t>3</w:t>
            </w:r>
            <w:r>
              <w:rPr>
                <w:rFonts w:hint="eastAsia" w:ascii="Times New Roman" w:hAnsi="Times New Roman"/>
                <w:color w:val="000000" w:themeColor="text1"/>
                <w:kern w:val="0"/>
                <w:szCs w:val="21"/>
                <w:vertAlign w:val="baseline"/>
                <w:lang w:val="en-US" w:eastAsia="zh-CN"/>
              </w:rPr>
              <w:t>/d</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p>
            <w:pPr>
              <w:widowControl/>
              <w:adjustRightInd w:val="0"/>
              <w:snapToGrid w:val="0"/>
              <w:jc w:val="center"/>
              <w:rPr>
                <w:rFonts w:hint="eastAsia" w:ascii="Times New Roman" w:hAnsi="Times New Roman" w:eastAsia="宋体"/>
                <w:color w:val="000000" w:themeColor="text1"/>
                <w:kern w:val="0"/>
                <w:szCs w:val="21"/>
                <w:lang w:val="en-US" w:eastAsia="zh-CN"/>
              </w:rPr>
            </w:pP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val="en-US" w:eastAsia="en-US"/>
              </w:rPr>
            </w:pPr>
            <w:r>
              <w:rPr>
                <w:rFonts w:hint="default" w:ascii="Times New Roman" w:hAnsi="Times New Roman" w:eastAsia="宋体" w:cs="Times New Roman"/>
                <w:color w:val="000000" w:themeColor="text1"/>
                <w:sz w:val="21"/>
                <w:szCs w:val="21"/>
              </w:rPr>
              <w:t>根据开发利用方案可知，各施工平硐基本无大的地下水涌水点，在计算中按照</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/d的最大量计算</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间歇性产生</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val="0"/>
                <w:bCs w:val="0"/>
                <w:color w:val="000000" w:themeColor="text1"/>
                <w:sz w:val="21"/>
                <w:szCs w:val="21"/>
                <w:lang w:val="en-US" w:eastAsia="zh-CN"/>
              </w:rPr>
              <w:t>，沉淀池处理后回用，不外排。</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eastAsia="宋体" w:cs="Times New Roman"/>
                <w:color w:val="000000" w:themeColor="text1"/>
                <w:sz w:val="21"/>
                <w:szCs w:val="21"/>
                <w:lang w:eastAsia="zh-CN"/>
              </w:rPr>
              <w:t>井下除尘</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废水量</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900</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经沉淀池处理后全部回用</w:t>
            </w:r>
          </w:p>
          <w:p>
            <w:pPr>
              <w:jc w:val="center"/>
              <w:rPr>
                <w:color w:val="000000" w:themeColor="text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SS</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0.9</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eastAsia="宋体" w:cs="Times New Roman"/>
                <w:color w:val="000000" w:themeColor="text1"/>
                <w:sz w:val="21"/>
                <w:szCs w:val="21"/>
                <w:lang w:eastAsia="zh-CN"/>
              </w:rPr>
              <w:t>矿石堆场</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废水量</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300</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经沉淀池处理后全部回用</w:t>
            </w: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SS</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0.3</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生活污水</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废水量</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151.2</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vMerge w:val="restart"/>
            <w:tcBorders>
              <w:tl2br w:val="nil"/>
              <w:tr2bl w:val="nil"/>
            </w:tcBorders>
            <w:noWrap w:val="0"/>
            <w:vAlign w:val="center"/>
          </w:tcPr>
          <w:p>
            <w:pPr>
              <w:widowControl/>
              <w:adjustRightInd w:val="0"/>
              <w:snapToGrid w:val="0"/>
              <w:jc w:val="center"/>
              <w:rPr>
                <w:rFonts w:hint="default" w:ascii="Times New Roman" w:hAnsi="Times New Roman" w:eastAsiaTheme="minorEastAsia"/>
                <w:color w:val="000000" w:themeColor="text1"/>
                <w:kern w:val="0"/>
                <w:szCs w:val="21"/>
                <w:lang w:val="en-US" w:eastAsia="zh-CN"/>
              </w:rPr>
            </w:pPr>
            <w:r>
              <w:rPr>
                <w:rFonts w:hint="eastAsia" w:ascii="Times New Roman" w:hAnsi="Times New Roman"/>
                <w:color w:val="000000" w:themeColor="text1"/>
                <w:kern w:val="0"/>
                <w:szCs w:val="21"/>
                <w:lang w:val="en-US" w:eastAsia="zh-CN"/>
              </w:rPr>
              <w:t>化粪池处理后清掏肥田</w:t>
            </w: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rPr>
            </w:pPr>
          </w:p>
        </w:tc>
        <w:tc>
          <w:tcPr>
            <w:tcW w:w="2332" w:type="dxa"/>
            <w:gridSpan w:val="2"/>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rPr>
              <w:t>COD</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0.053</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350</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rPr>
            </w:pPr>
          </w:p>
        </w:tc>
        <w:tc>
          <w:tcPr>
            <w:tcW w:w="2332" w:type="dxa"/>
            <w:gridSpan w:val="2"/>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rPr>
              <w:t>BOD</w:t>
            </w:r>
            <w:r>
              <w:rPr>
                <w:rFonts w:ascii="Times New Roman" w:hAnsi="Times New Roman"/>
                <w:color w:val="000000" w:themeColor="text1"/>
                <w:kern w:val="0"/>
                <w:szCs w:val="21"/>
                <w:vertAlign w:val="subscript"/>
              </w:rPr>
              <w:t>5</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0.033</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220</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rPr>
              <w:t>SS</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0.030</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200</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ascii="Times New Roman" w:hAnsi="Times New Roman"/>
                <w:color w:val="000000" w:themeColor="text1"/>
                <w:kern w:val="0"/>
                <w:szCs w:val="21"/>
              </w:rPr>
              <w:t>NH</w:t>
            </w:r>
            <w:r>
              <w:rPr>
                <w:rFonts w:ascii="Times New Roman" w:hAnsi="Times New Roman"/>
                <w:color w:val="000000" w:themeColor="text1"/>
                <w:kern w:val="0"/>
                <w:szCs w:val="21"/>
                <w:vertAlign w:val="subscript"/>
              </w:rPr>
              <w:t>3</w:t>
            </w:r>
            <w:r>
              <w:rPr>
                <w:rFonts w:ascii="Times New Roman" w:hAnsi="Times New Roman"/>
                <w:color w:val="000000" w:themeColor="text1"/>
                <w:kern w:val="0"/>
                <w:szCs w:val="21"/>
              </w:rPr>
              <w:t>-N</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0.003</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20</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rPr>
            </w:pPr>
            <w:r>
              <w:rPr>
                <w:rFonts w:hint="default" w:ascii="Times New Roman" w:hAnsi="Times New Roman" w:eastAsia="宋体" w:cs="Times New Roman"/>
                <w:bCs/>
                <w:color w:val="000000" w:themeColor="text1"/>
                <w:sz w:val="21"/>
                <w:szCs w:val="21"/>
              </w:rPr>
              <w:t>pH</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6-9</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bCs/>
                <w:color w:val="000000" w:themeColor="text1"/>
                <w:sz w:val="21"/>
                <w:szCs w:val="21"/>
                <w:lang w:eastAsia="zh-CN"/>
              </w:rPr>
              <w:t>动植物油</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0.008</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50</w:t>
            </w:r>
          </w:p>
        </w:tc>
        <w:tc>
          <w:tcPr>
            <w:tcW w:w="3615"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955"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1056" w:type="dxa"/>
            <w:tcBorders>
              <w:tl2br w:val="nil"/>
              <w:tr2bl w:val="nil"/>
            </w:tcBorders>
            <w:noWrap w:val="0"/>
            <w:vAlign w:val="center"/>
          </w:tcPr>
          <w:p>
            <w:pPr>
              <w:widowControl/>
              <w:adjustRightInd w:val="0"/>
              <w:snapToGrid w:val="0"/>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restart"/>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固废</w:t>
            </w:r>
          </w:p>
        </w:tc>
        <w:tc>
          <w:tcPr>
            <w:tcW w:w="100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废石</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1.4万m</w:t>
            </w:r>
            <w:r>
              <w:rPr>
                <w:rFonts w:hint="eastAsia" w:ascii="Times New Roman" w:hAnsi="Times New Roman"/>
                <w:color w:val="000000" w:themeColor="text1"/>
                <w:kern w:val="0"/>
                <w:szCs w:val="21"/>
                <w:vertAlign w:val="superscript"/>
                <w:lang w:val="en-US" w:eastAsia="zh-CN"/>
              </w:rPr>
              <w:t>3</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eastAsia="宋体" w:cs="Times New Roman"/>
                <w:color w:val="000000" w:themeColor="text1"/>
                <w:sz w:val="21"/>
                <w:szCs w:val="21"/>
                <w:lang w:val="en-US" w:eastAsia="zh-CN"/>
              </w:rPr>
              <w:t>现有工程共产生废石0.3</w:t>
            </w:r>
            <w:r>
              <w:rPr>
                <w:rFonts w:hint="eastAsia" w:ascii="Times New Roman" w:hAnsi="Times New Roman"/>
                <w:color w:val="000000" w:themeColor="text1"/>
                <w:kern w:val="0"/>
                <w:szCs w:val="21"/>
                <w:lang w:val="en-US" w:eastAsia="zh-CN"/>
              </w:rPr>
              <w:t>万m</w:t>
            </w:r>
            <w:r>
              <w:rPr>
                <w:rFonts w:hint="eastAsia" w:ascii="Times New Roman" w:hAnsi="Times New Roman"/>
                <w:color w:val="000000" w:themeColor="text1"/>
                <w:kern w:val="0"/>
                <w:szCs w:val="21"/>
                <w:vertAlign w:val="superscript"/>
                <w:lang w:val="en-US" w:eastAsia="zh-CN"/>
              </w:rPr>
              <w:t>3</w:t>
            </w:r>
            <w:r>
              <w:rPr>
                <w:rFonts w:hint="eastAsia" w:ascii="Times New Roman" w:hAnsi="Times New Roman"/>
                <w:color w:val="000000" w:themeColor="text1"/>
                <w:kern w:val="0"/>
                <w:szCs w:val="21"/>
                <w:vertAlign w:val="baseline"/>
                <w:lang w:val="en-US" w:eastAsia="zh-CN"/>
              </w:rPr>
              <w:t>，约</w:t>
            </w:r>
            <w:r>
              <w:rPr>
                <w:rFonts w:hint="eastAsia" w:ascii="Times New Roman" w:hAnsi="Times New Roman" w:eastAsia="宋体" w:cs="Times New Roman"/>
                <w:color w:val="000000" w:themeColor="text1"/>
                <w:sz w:val="21"/>
                <w:szCs w:val="21"/>
                <w:lang w:val="en-US" w:eastAsia="zh-CN"/>
              </w:rPr>
              <w:t>0.1</w:t>
            </w:r>
            <w:r>
              <w:rPr>
                <w:rFonts w:hint="eastAsia" w:ascii="Times New Roman" w:hAnsi="Times New Roman"/>
                <w:color w:val="000000" w:themeColor="text1"/>
                <w:kern w:val="0"/>
                <w:szCs w:val="21"/>
                <w:lang w:val="en-US" w:eastAsia="zh-CN"/>
              </w:rPr>
              <w:t>万m</w:t>
            </w:r>
            <w:r>
              <w:rPr>
                <w:rFonts w:hint="eastAsia" w:ascii="Times New Roman" w:hAnsi="Times New Roman"/>
                <w:color w:val="000000" w:themeColor="text1"/>
                <w:kern w:val="0"/>
                <w:szCs w:val="21"/>
                <w:vertAlign w:val="superscript"/>
                <w:lang w:val="en-US" w:eastAsia="zh-CN"/>
              </w:rPr>
              <w:t>3</w:t>
            </w:r>
            <w:r>
              <w:rPr>
                <w:rFonts w:hint="eastAsia" w:ascii="Times New Roman" w:hAnsi="Times New Roman" w:eastAsia="宋体" w:cs="Times New Roman"/>
                <w:color w:val="000000" w:themeColor="text1"/>
                <w:sz w:val="21"/>
                <w:szCs w:val="21"/>
                <w:lang w:val="en-US" w:eastAsia="zh-CN"/>
              </w:rPr>
              <w:t>废石用于基建，0.2</w:t>
            </w:r>
            <w:r>
              <w:rPr>
                <w:rFonts w:hint="default" w:ascii="Times New Roman" w:hAnsi="Times New Roman" w:eastAsia="宋体" w:cs="Times New Roman"/>
                <w:b w:val="0"/>
                <w:color w:val="000000" w:themeColor="text1"/>
                <w:sz w:val="21"/>
                <w:szCs w:val="21"/>
              </w:rPr>
              <w:t>万m</w:t>
            </w:r>
            <w:r>
              <w:rPr>
                <w:rFonts w:hint="default" w:ascii="Times New Roman" w:hAnsi="Times New Roman" w:eastAsia="宋体" w:cs="Times New Roman"/>
                <w:b w:val="0"/>
                <w:color w:val="000000" w:themeColor="text1"/>
                <w:sz w:val="21"/>
                <w:szCs w:val="21"/>
                <w:vertAlign w:val="superscript"/>
              </w:rPr>
              <w:t>3</w:t>
            </w:r>
            <w:r>
              <w:rPr>
                <w:rFonts w:hint="eastAsia" w:ascii="Times New Roman" w:hAnsi="Times New Roman" w:eastAsia="宋体" w:cs="Times New Roman"/>
                <w:b w:val="0"/>
                <w:color w:val="000000" w:themeColor="text1"/>
                <w:sz w:val="21"/>
                <w:szCs w:val="21"/>
                <w:vertAlign w:val="baseline"/>
                <w:lang w:eastAsia="zh-CN"/>
              </w:rPr>
              <w:t>堆存于现有项目的废石场。扩建项目</w:t>
            </w:r>
            <w:r>
              <w:rPr>
                <w:rFonts w:hint="eastAsia" w:ascii="Times New Roman" w:hAnsi="Times New Roman" w:eastAsia="宋体" w:cs="Times New Roman"/>
                <w:color w:val="000000" w:themeColor="text1"/>
                <w:sz w:val="21"/>
                <w:szCs w:val="21"/>
                <w:lang w:val="en-US" w:eastAsia="zh-CN"/>
              </w:rPr>
              <w:t>少部分废石用于基建外，剩余全部井下填充，不再新建废石场，不再向现有废石场排放废石。</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0.2万m</w:t>
            </w:r>
            <w:r>
              <w:rPr>
                <w:rFonts w:hint="eastAsia" w:ascii="Times New Roman" w:hAnsi="Times New Roman"/>
                <w:color w:val="000000" w:themeColor="text1"/>
                <w:kern w:val="0"/>
                <w:szCs w:val="21"/>
                <w:vertAlign w:val="superscript"/>
                <w:lang w:val="en-US" w:eastAsia="zh-CN"/>
              </w:rPr>
              <w:t>3</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56" w:type="dxa"/>
            <w:vMerge w:val="restart"/>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lang w:val="en-US" w:eastAsia="zh-CN"/>
              </w:rPr>
              <w:t>《一般工业固体废物贮存和填埋污染控制标准》（GB18599-2020）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生活垃圾</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159"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eastAsia" w:ascii="Times New Roman" w:hAnsi="Times New Roman" w:eastAsia="宋体" w:cs="Times New Roman"/>
                <w:color w:val="000000" w:themeColor="text1"/>
                <w:sz w:val="21"/>
                <w:szCs w:val="21"/>
                <w:lang w:val="en-US" w:eastAsia="zh-CN"/>
              </w:rPr>
              <w:t>3.15</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评价要求办公生活区设生活垃圾收集设施，生活垃圾</w:t>
            </w:r>
            <w:r>
              <w:rPr>
                <w:rFonts w:hint="eastAsia" w:ascii="Times New Roman" w:hAnsi="Times New Roman" w:eastAsia="宋体" w:cs="Times New Roman"/>
                <w:color w:val="000000" w:themeColor="text1"/>
                <w:sz w:val="21"/>
                <w:szCs w:val="21"/>
                <w:lang w:eastAsia="zh-CN"/>
              </w:rPr>
              <w:t>分类</w:t>
            </w:r>
            <w:r>
              <w:rPr>
                <w:rFonts w:hint="default" w:ascii="Times New Roman" w:hAnsi="Times New Roman" w:eastAsia="宋体" w:cs="Times New Roman"/>
                <w:color w:val="000000" w:themeColor="text1"/>
                <w:sz w:val="21"/>
                <w:szCs w:val="21"/>
              </w:rPr>
              <w:t>收集后，交由环卫部门处置</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5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16" w:type="dxa"/>
            <w:vMerge w:val="continue"/>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p>
        </w:tc>
        <w:tc>
          <w:tcPr>
            <w:tcW w:w="100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废机油</w:t>
            </w:r>
          </w:p>
        </w:tc>
        <w:tc>
          <w:tcPr>
            <w:tcW w:w="2332" w:type="dxa"/>
            <w:gridSpan w:val="2"/>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15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0.01</w:t>
            </w:r>
          </w:p>
        </w:tc>
        <w:tc>
          <w:tcPr>
            <w:tcW w:w="99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78"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361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kern w:val="0"/>
                <w:szCs w:val="21"/>
                <w:lang w:eastAsia="zh-CN"/>
              </w:rPr>
              <w:t>在矿区的危险废物暂存间暂存，定期交由有资质单位处置。</w:t>
            </w:r>
          </w:p>
        </w:tc>
        <w:tc>
          <w:tcPr>
            <w:tcW w:w="955"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0</w:t>
            </w:r>
          </w:p>
        </w:tc>
        <w:tc>
          <w:tcPr>
            <w:tcW w:w="940"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819" w:type="dxa"/>
            <w:tcBorders>
              <w:tl2br w:val="nil"/>
              <w:tr2bl w:val="nil"/>
            </w:tcBorders>
            <w:noWrap w:val="0"/>
            <w:vAlign w:val="center"/>
          </w:tcPr>
          <w:p>
            <w:pPr>
              <w:widowControl/>
              <w:adjustRightInd w:val="0"/>
              <w:snapToGrid w:val="0"/>
              <w:jc w:val="center"/>
              <w:rPr>
                <w:rFonts w:hint="eastAsia"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w:t>
            </w:r>
          </w:p>
        </w:tc>
        <w:tc>
          <w:tcPr>
            <w:tcW w:w="1056" w:type="dxa"/>
            <w:tcBorders>
              <w:tl2br w:val="nil"/>
              <w:tr2bl w:val="nil"/>
            </w:tcBorders>
            <w:noWrap w:val="0"/>
            <w:vAlign w:val="center"/>
          </w:tcPr>
          <w:p>
            <w:pPr>
              <w:widowControl/>
              <w:adjustRightInd w:val="0"/>
              <w:snapToGrid w:val="0"/>
              <w:jc w:val="center"/>
              <w:rPr>
                <w:rFonts w:ascii="Times New Roman" w:hAnsi="Times New Roman"/>
                <w:color w:val="000000" w:themeColor="text1"/>
                <w:kern w:val="0"/>
                <w:szCs w:val="21"/>
                <w:lang w:eastAsia="en-US"/>
              </w:rPr>
            </w:pPr>
            <w:r>
              <w:rPr>
                <w:rFonts w:hint="default" w:ascii="Times New Roman" w:hAnsi="Times New Roman" w:eastAsia="宋体" w:cs="Times New Roman"/>
                <w:color w:val="000000" w:themeColor="text1"/>
                <w:sz w:val="21"/>
                <w:szCs w:val="21"/>
              </w:rPr>
              <w:t>《危险废物贮存污染控制标准》（GB18597-2001）</w:t>
            </w:r>
          </w:p>
        </w:tc>
      </w:tr>
    </w:tbl>
    <w:p>
      <w:pPr>
        <w:pStyle w:val="12"/>
        <w:adjustRightInd w:val="0"/>
        <w:snapToGrid w:val="0"/>
        <w:spacing w:after="0" w:line="360" w:lineRule="auto"/>
        <w:ind w:left="420" w:leftChars="200" w:firstLine="0" w:firstLineChars="0"/>
        <w:jc w:val="left"/>
        <w:rPr>
          <w:rFonts w:ascii="Times New Roman" w:hAnsi="Times New Roman" w:cs="Times New Roman"/>
          <w:color w:val="000000" w:themeColor="text1"/>
          <w:sz w:val="24"/>
          <w:szCs w:val="24"/>
        </w:rPr>
      </w:pPr>
    </w:p>
    <w:sectPr>
      <w:pgSz w:w="16838" w:h="11906" w:orient="landscape"/>
      <w:pgMar w:top="1417" w:right="1134" w:bottom="1417" w:left="1134" w:header="737" w:footer="56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Verdana">
    <w:panose1 w:val="020B0604030504040204"/>
    <w:charset w:val="00"/>
    <w:family w:val="auto"/>
    <w:pitch w:val="default"/>
    <w:sig w:usb0="A10006FF" w:usb1="4000205B" w:usb2="00000010" w:usb3="00000000" w:csb0="2000019F" w:csb1="00000000"/>
  </w:font>
  <w:font w:name="Cambria Math">
    <w:panose1 w:val="02040503050406030204"/>
    <w:charset w:val="00"/>
    <w:family w:val="roman"/>
    <w:pitch w:val="default"/>
    <w:sig w:usb0="E00002FF" w:usb1="420024FF" w:usb2="00000000" w:usb3="00000000" w:csb0="2000019F" w:csb1="00000000"/>
  </w:font>
  <w:font w:name="方正姚体">
    <w:panose1 w:val="02010601030101010101"/>
    <w:charset w:val="86"/>
    <w:family w:val="auto"/>
    <w:pitch w:val="default"/>
    <w:sig w:usb0="00000003"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方正书宋简体">
    <w:altName w:val="宋体"/>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w:pict>
        <v:shape id="_x0000_s3078" o:spid="_x0000_s3078"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pPr>
      <w:pStyle w:val="21"/>
    </w:pPr>
    <w:r>
      <w:pict>
        <v:shape id="_x0000_s3075" o:spid="_x0000_s3075"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21"/>
                </w:pPr>
                <w:r>
                  <w:fldChar w:fldCharType="begin"/>
                </w:r>
                <w:r>
                  <w:instrText xml:space="preserve"> PAGE  \* MERGEFORMAT </w:instrText>
                </w:r>
                <w:r>
                  <w:fldChar w:fldCharType="separate"/>
                </w:r>
                <w:r>
                  <w:t>166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ckThinSmallGap" w:color="auto" w:sz="12" w:space="1"/>
      </w:pBdr>
      <w:spacing w:after="120" w:afterLines="50"/>
      <w:ind w:firstLine="420"/>
      <w:jc w:val="right"/>
      <w:rPr>
        <w:rFonts w:hint="default" w:eastAsiaTheme="minorEastAsia"/>
        <w:b/>
        <w:sz w:val="21"/>
        <w:szCs w:val="21"/>
        <w:lang w:val="en-US" w:eastAsia="zh-CN"/>
      </w:rPr>
    </w:pPr>
    <w:r>
      <w:rPr>
        <w:rFonts w:hint="eastAsia"/>
        <w:b/>
        <w:sz w:val="21"/>
        <w:szCs w:val="21"/>
        <w:lang w:val="en-US" w:eastAsia="zh-CN"/>
      </w:rPr>
      <w:t>旬阳县赤岩镇水磨河口构皮沟毒重石（重晶石及伴生毒重石）矿扩建项目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ckThinSmallGap" w:color="auto" w:sz="12" w:space="1"/>
      </w:pBdr>
      <w:spacing w:after="120" w:afterLines="50"/>
      <w:ind w:firstLine="420"/>
      <w:jc w:val="right"/>
      <w:rPr>
        <w:rFonts w:hint="default" w:eastAsiaTheme="minorEastAsia"/>
        <w:b/>
        <w:sz w:val="21"/>
        <w:szCs w:val="21"/>
        <w:lang w:val="en-US" w:eastAsia="zh-CN"/>
      </w:rPr>
    </w:pPr>
    <w:r>
      <w:rPr>
        <w:rFonts w:hint="eastAsia"/>
        <w:b/>
        <w:sz w:val="21"/>
        <w:szCs w:val="21"/>
        <w:lang w:val="en-US" w:eastAsia="zh-CN"/>
      </w:rPr>
      <w:t>旬阳县赤岩镇水磨河口构皮沟毒重石（重晶石及伴生毒重石）矿扩建项目</w:t>
    </w:r>
  </w:p>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ckThinSmallGap" w:color="auto" w:sz="12" w:space="1"/>
      </w:pBdr>
      <w:spacing w:after="120" w:afterLines="50"/>
      <w:ind w:firstLine="420"/>
      <w:jc w:val="right"/>
      <w:rPr>
        <w:rFonts w:hint="default" w:eastAsiaTheme="minorEastAsia"/>
        <w:b/>
        <w:sz w:val="21"/>
        <w:szCs w:val="21"/>
        <w:lang w:val="en-US" w:eastAsia="zh-CN"/>
      </w:rPr>
    </w:pPr>
    <w:r>
      <w:rPr>
        <w:rFonts w:hint="eastAsia"/>
        <w:b/>
        <w:sz w:val="21"/>
        <w:szCs w:val="21"/>
        <w:lang w:val="en-US" w:eastAsia="zh-CN"/>
      </w:rPr>
      <w:t>旬阳县赤岩镇水磨河口构皮沟毒重石（重晶石及伴生毒重石）矿扩建项目</w:t>
    </w:r>
  </w:p>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ckThinSmallGap" w:color="auto" w:sz="12" w:space="1"/>
      </w:pBdr>
      <w:spacing w:after="120" w:afterLines="50"/>
      <w:ind w:firstLine="420"/>
      <w:jc w:val="right"/>
      <w:rPr>
        <w:rFonts w:hint="default" w:eastAsiaTheme="minorEastAsia"/>
        <w:b/>
        <w:sz w:val="21"/>
        <w:szCs w:val="21"/>
        <w:lang w:val="en-US" w:eastAsia="zh-CN"/>
      </w:rPr>
    </w:pPr>
    <w:r>
      <w:rPr>
        <w:rFonts w:hint="eastAsia"/>
        <w:b/>
        <w:sz w:val="21"/>
        <w:szCs w:val="21"/>
        <w:lang w:val="en-US" w:eastAsia="zh-CN"/>
      </w:rPr>
      <w:t>旬阳县赤岩镇水磨河口构皮沟毒重石（重晶石及伴生毒重石）矿扩建项目</w:t>
    </w:r>
  </w:p>
  <w:p>
    <w:pPr>
      <w:pStyle w:val="23"/>
      <w:ind w:firstLine="422"/>
      <w:rPr>
        <w:b/>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ckThinSmallGap" w:color="auto" w:sz="12" w:space="1"/>
      </w:pBdr>
      <w:spacing w:after="120" w:afterLines="50"/>
      <w:ind w:firstLine="420"/>
      <w:jc w:val="right"/>
      <w:rPr>
        <w:rFonts w:hint="default" w:eastAsiaTheme="minorEastAsia"/>
        <w:b/>
        <w:sz w:val="21"/>
        <w:szCs w:val="21"/>
        <w:lang w:val="en-US" w:eastAsia="zh-CN"/>
      </w:rPr>
    </w:pPr>
    <w:r>
      <w:rPr>
        <w:rFonts w:hint="eastAsia"/>
        <w:b/>
        <w:sz w:val="21"/>
        <w:szCs w:val="21"/>
        <w:lang w:val="en-US" w:eastAsia="zh-CN"/>
      </w:rPr>
      <w:t>旬阳县赤岩镇水磨河口构皮沟毒重石（重晶石及伴生毒重石）矿扩建项目</w:t>
    </w:r>
  </w:p>
  <w:p>
    <w:pPr>
      <w:spacing w:line="228" w:lineRule="auto"/>
      <w:ind w:firstLine="2088"/>
      <w:rPr>
        <w:rFonts w:ascii="宋体" w:hAnsi="宋体" w:eastAsia="宋体" w:cs="宋体"/>
        <w:sz w:val="23"/>
        <w:szCs w:val="23"/>
      </w:rPr>
    </w:pPr>
  </w:p>
  <w:p>
    <w:pPr>
      <w:spacing w:before="10" w:line="58" w:lineRule="exact"/>
      <w:textAlignment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104C3B"/>
    <w:multiLevelType w:val="singleLevel"/>
    <w:tmpl w:val="92104C3B"/>
    <w:lvl w:ilvl="0" w:tentative="0">
      <w:start w:val="1"/>
      <w:numFmt w:val="decimal"/>
      <w:suff w:val="nothing"/>
      <w:lvlText w:val="（%1）"/>
      <w:lvlJc w:val="left"/>
    </w:lvl>
  </w:abstractNum>
  <w:abstractNum w:abstractNumId="1">
    <w:nsid w:val="97891CB1"/>
    <w:multiLevelType w:val="singleLevel"/>
    <w:tmpl w:val="97891CB1"/>
    <w:lvl w:ilvl="0" w:tentative="0">
      <w:start w:val="1"/>
      <w:numFmt w:val="decimal"/>
      <w:suff w:val="nothing"/>
      <w:lvlText w:val="（%1）"/>
      <w:lvlJc w:val="left"/>
    </w:lvl>
  </w:abstractNum>
  <w:abstractNum w:abstractNumId="2">
    <w:nsid w:val="98C9F4AB"/>
    <w:multiLevelType w:val="singleLevel"/>
    <w:tmpl w:val="98C9F4AB"/>
    <w:lvl w:ilvl="0" w:tentative="0">
      <w:start w:val="1"/>
      <w:numFmt w:val="decimal"/>
      <w:suff w:val="nothing"/>
      <w:lvlText w:val="（%1）"/>
      <w:lvlJc w:val="left"/>
    </w:lvl>
  </w:abstractNum>
  <w:abstractNum w:abstractNumId="3">
    <w:nsid w:val="A07633A1"/>
    <w:multiLevelType w:val="multilevel"/>
    <w:tmpl w:val="A07633A1"/>
    <w:lvl w:ilvl="0" w:tentative="0">
      <w:start w:val="1"/>
      <w:numFmt w:val="decimal"/>
      <w:suff w:val="nothing"/>
      <w:lvlText w:val="（%1）"/>
      <w:lvlJc w:val="left"/>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4">
    <w:nsid w:val="A95D2CAA"/>
    <w:multiLevelType w:val="singleLevel"/>
    <w:tmpl w:val="A95D2CAA"/>
    <w:lvl w:ilvl="0" w:tentative="0">
      <w:start w:val="1"/>
      <w:numFmt w:val="decimal"/>
      <w:suff w:val="nothing"/>
      <w:lvlText w:val="（%1）"/>
      <w:lvlJc w:val="left"/>
    </w:lvl>
  </w:abstractNum>
  <w:abstractNum w:abstractNumId="5">
    <w:nsid w:val="B2559903"/>
    <w:multiLevelType w:val="multilevel"/>
    <w:tmpl w:val="B2559903"/>
    <w:lvl w:ilvl="0" w:tentative="0">
      <w:start w:val="1"/>
      <w:numFmt w:val="decimal"/>
      <w:pStyle w:val="3"/>
      <w:lvlText w:val="%1."/>
      <w:lvlJc w:val="left"/>
      <w:pPr>
        <w:ind w:left="232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778"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6">
    <w:nsid w:val="B422B254"/>
    <w:multiLevelType w:val="singleLevel"/>
    <w:tmpl w:val="B422B254"/>
    <w:lvl w:ilvl="0" w:tentative="0">
      <w:start w:val="1"/>
      <w:numFmt w:val="decimal"/>
      <w:suff w:val="nothing"/>
      <w:lvlText w:val="（%1）"/>
      <w:lvlJc w:val="left"/>
    </w:lvl>
  </w:abstractNum>
  <w:abstractNum w:abstractNumId="7">
    <w:nsid w:val="B7FEC1B4"/>
    <w:multiLevelType w:val="singleLevel"/>
    <w:tmpl w:val="B7FEC1B4"/>
    <w:lvl w:ilvl="0" w:tentative="0">
      <w:start w:val="1"/>
      <w:numFmt w:val="decimal"/>
      <w:suff w:val="nothing"/>
      <w:lvlText w:val="（%1）"/>
      <w:lvlJc w:val="left"/>
    </w:lvl>
  </w:abstractNum>
  <w:abstractNum w:abstractNumId="8">
    <w:nsid w:val="DFE0DEDC"/>
    <w:multiLevelType w:val="singleLevel"/>
    <w:tmpl w:val="DFE0DEDC"/>
    <w:lvl w:ilvl="0" w:tentative="0">
      <w:start w:val="1"/>
      <w:numFmt w:val="decimal"/>
      <w:suff w:val="nothing"/>
      <w:lvlText w:val="（%1）"/>
      <w:lvlJc w:val="left"/>
    </w:lvl>
  </w:abstractNum>
  <w:abstractNum w:abstractNumId="9">
    <w:nsid w:val="E39DA86F"/>
    <w:multiLevelType w:val="singleLevel"/>
    <w:tmpl w:val="E39DA86F"/>
    <w:lvl w:ilvl="0" w:tentative="0">
      <w:start w:val="1"/>
      <w:numFmt w:val="decimal"/>
      <w:suff w:val="nothing"/>
      <w:lvlText w:val="（%1）"/>
      <w:lvlJc w:val="left"/>
    </w:lvl>
  </w:abstractNum>
  <w:abstractNum w:abstractNumId="10">
    <w:nsid w:val="E872F989"/>
    <w:multiLevelType w:val="singleLevel"/>
    <w:tmpl w:val="E872F989"/>
    <w:lvl w:ilvl="0" w:tentative="0">
      <w:start w:val="1"/>
      <w:numFmt w:val="decimal"/>
      <w:suff w:val="nothing"/>
      <w:lvlText w:val="（%1）"/>
      <w:lvlJc w:val="left"/>
    </w:lvl>
  </w:abstractNum>
  <w:abstractNum w:abstractNumId="11">
    <w:nsid w:val="EF0B63FE"/>
    <w:multiLevelType w:val="singleLevel"/>
    <w:tmpl w:val="EF0B63FE"/>
    <w:lvl w:ilvl="0" w:tentative="0">
      <w:start w:val="1"/>
      <w:numFmt w:val="decimal"/>
      <w:suff w:val="nothing"/>
      <w:lvlText w:val="%1、"/>
      <w:lvlJc w:val="left"/>
    </w:lvl>
  </w:abstractNum>
  <w:abstractNum w:abstractNumId="12">
    <w:nsid w:val="F8D054B9"/>
    <w:multiLevelType w:val="singleLevel"/>
    <w:tmpl w:val="F8D054B9"/>
    <w:lvl w:ilvl="0" w:tentative="0">
      <w:start w:val="1"/>
      <w:numFmt w:val="decimal"/>
      <w:suff w:val="nothing"/>
      <w:lvlText w:val="（%1）"/>
      <w:lvlJc w:val="left"/>
    </w:lvl>
  </w:abstractNum>
  <w:abstractNum w:abstractNumId="13">
    <w:nsid w:val="0221D5B5"/>
    <w:multiLevelType w:val="singleLevel"/>
    <w:tmpl w:val="0221D5B5"/>
    <w:lvl w:ilvl="0" w:tentative="0">
      <w:start w:val="1"/>
      <w:numFmt w:val="decimal"/>
      <w:suff w:val="nothing"/>
      <w:lvlText w:val="%1、"/>
      <w:lvlJc w:val="left"/>
    </w:lvl>
  </w:abstractNum>
  <w:abstractNum w:abstractNumId="14">
    <w:nsid w:val="107D31B9"/>
    <w:multiLevelType w:val="singleLevel"/>
    <w:tmpl w:val="107D31B9"/>
    <w:lvl w:ilvl="0" w:tentative="0">
      <w:start w:val="1"/>
      <w:numFmt w:val="decimal"/>
      <w:suff w:val="nothing"/>
      <w:lvlText w:val="（%1）"/>
      <w:lvlJc w:val="left"/>
    </w:lvl>
  </w:abstractNum>
  <w:abstractNum w:abstractNumId="15">
    <w:nsid w:val="2552EA99"/>
    <w:multiLevelType w:val="singleLevel"/>
    <w:tmpl w:val="2552EA99"/>
    <w:lvl w:ilvl="0" w:tentative="0">
      <w:start w:val="1"/>
      <w:numFmt w:val="decimal"/>
      <w:suff w:val="nothing"/>
      <w:lvlText w:val="%1、"/>
      <w:lvlJc w:val="left"/>
      <w:pPr>
        <w:ind w:left="-60"/>
      </w:pPr>
    </w:lvl>
  </w:abstractNum>
  <w:abstractNum w:abstractNumId="16">
    <w:nsid w:val="4A8A2C05"/>
    <w:multiLevelType w:val="singleLevel"/>
    <w:tmpl w:val="4A8A2C05"/>
    <w:lvl w:ilvl="0" w:tentative="0">
      <w:start w:val="1"/>
      <w:numFmt w:val="decimal"/>
      <w:suff w:val="nothing"/>
      <w:lvlText w:val="（%1）"/>
      <w:lvlJc w:val="left"/>
    </w:lvl>
  </w:abstractNum>
  <w:abstractNum w:abstractNumId="17">
    <w:nsid w:val="4AB55586"/>
    <w:multiLevelType w:val="singleLevel"/>
    <w:tmpl w:val="4AB55586"/>
    <w:lvl w:ilvl="0" w:tentative="0">
      <w:start w:val="1"/>
      <w:numFmt w:val="decimal"/>
      <w:suff w:val="nothing"/>
      <w:lvlText w:val="（%1）"/>
      <w:lvlJc w:val="left"/>
    </w:lvl>
  </w:abstractNum>
  <w:abstractNum w:abstractNumId="18">
    <w:nsid w:val="4D526317"/>
    <w:multiLevelType w:val="singleLevel"/>
    <w:tmpl w:val="4D526317"/>
    <w:lvl w:ilvl="0" w:tentative="0">
      <w:start w:val="1"/>
      <w:numFmt w:val="decimal"/>
      <w:suff w:val="nothing"/>
      <w:lvlText w:val="（%1）"/>
      <w:lvlJc w:val="left"/>
    </w:lvl>
  </w:abstractNum>
  <w:abstractNum w:abstractNumId="19">
    <w:nsid w:val="4DB95B00"/>
    <w:multiLevelType w:val="singleLevel"/>
    <w:tmpl w:val="4DB95B00"/>
    <w:lvl w:ilvl="0" w:tentative="0">
      <w:start w:val="2"/>
      <w:numFmt w:val="decimal"/>
      <w:suff w:val="nothing"/>
      <w:lvlText w:val="%1）"/>
      <w:lvlJc w:val="left"/>
    </w:lvl>
  </w:abstractNum>
  <w:abstractNum w:abstractNumId="20">
    <w:nsid w:val="4E571C94"/>
    <w:multiLevelType w:val="singleLevel"/>
    <w:tmpl w:val="4E571C94"/>
    <w:lvl w:ilvl="0" w:tentative="0">
      <w:start w:val="6"/>
      <w:numFmt w:val="decimal"/>
      <w:suff w:val="nothing"/>
      <w:lvlText w:val="（%1）"/>
      <w:lvlJc w:val="left"/>
    </w:lvl>
  </w:abstractNum>
  <w:abstractNum w:abstractNumId="21">
    <w:nsid w:val="5B699DEB"/>
    <w:multiLevelType w:val="singleLevel"/>
    <w:tmpl w:val="5B699DEB"/>
    <w:lvl w:ilvl="0" w:tentative="0">
      <w:start w:val="1"/>
      <w:numFmt w:val="upperLetter"/>
      <w:suff w:val="space"/>
      <w:lvlText w:val="%1."/>
      <w:lvlJc w:val="left"/>
    </w:lvl>
  </w:abstractNum>
  <w:abstractNum w:abstractNumId="22">
    <w:nsid w:val="5F8AD556"/>
    <w:multiLevelType w:val="singleLevel"/>
    <w:tmpl w:val="5F8AD556"/>
    <w:lvl w:ilvl="0" w:tentative="0">
      <w:start w:val="1"/>
      <w:numFmt w:val="decimal"/>
      <w:suff w:val="nothing"/>
      <w:lvlText w:val="（%1）"/>
      <w:lvlJc w:val="left"/>
    </w:lvl>
  </w:abstractNum>
  <w:abstractNum w:abstractNumId="23">
    <w:nsid w:val="642B8EDF"/>
    <w:multiLevelType w:val="singleLevel"/>
    <w:tmpl w:val="642B8EDF"/>
    <w:lvl w:ilvl="0" w:tentative="0">
      <w:start w:val="1"/>
      <w:numFmt w:val="decimal"/>
      <w:suff w:val="nothing"/>
      <w:lvlText w:val="（%1）"/>
      <w:lvlJc w:val="left"/>
    </w:lvl>
  </w:abstractNum>
  <w:abstractNum w:abstractNumId="24">
    <w:nsid w:val="6450D57C"/>
    <w:multiLevelType w:val="singleLevel"/>
    <w:tmpl w:val="6450D57C"/>
    <w:lvl w:ilvl="0" w:tentative="0">
      <w:start w:val="1"/>
      <w:numFmt w:val="decimal"/>
      <w:suff w:val="nothing"/>
      <w:lvlText w:val="（%1）"/>
      <w:lvlJc w:val="left"/>
    </w:lvl>
  </w:abstractNum>
  <w:abstractNum w:abstractNumId="25">
    <w:nsid w:val="6491166C"/>
    <w:multiLevelType w:val="singleLevel"/>
    <w:tmpl w:val="6491166C"/>
    <w:lvl w:ilvl="0" w:tentative="0">
      <w:start w:val="1"/>
      <w:numFmt w:val="lowerLetter"/>
      <w:lvlText w:val="%1."/>
      <w:lvlJc w:val="left"/>
      <w:pPr>
        <w:tabs>
          <w:tab w:val="left" w:pos="312"/>
        </w:tabs>
        <w:ind w:left="600" w:firstLine="0"/>
      </w:pPr>
    </w:lvl>
  </w:abstractNum>
  <w:abstractNum w:abstractNumId="26">
    <w:nsid w:val="770039FC"/>
    <w:multiLevelType w:val="singleLevel"/>
    <w:tmpl w:val="770039FC"/>
    <w:lvl w:ilvl="0" w:tentative="0">
      <w:start w:val="3"/>
      <w:numFmt w:val="decimal"/>
      <w:suff w:val="nothing"/>
      <w:lvlText w:val="（%1）"/>
      <w:lvlJc w:val="left"/>
    </w:lvl>
  </w:abstractNum>
  <w:num w:numId="1">
    <w:abstractNumId w:val="5"/>
  </w:num>
  <w:num w:numId="2">
    <w:abstractNumId w:val="13"/>
  </w:num>
  <w:num w:numId="3">
    <w:abstractNumId w:val="4"/>
  </w:num>
  <w:num w:numId="4">
    <w:abstractNumId w:val="0"/>
  </w:num>
  <w:num w:numId="5">
    <w:abstractNumId w:val="12"/>
  </w:num>
  <w:num w:numId="6">
    <w:abstractNumId w:val="3"/>
  </w:num>
  <w:num w:numId="7">
    <w:abstractNumId w:val="23"/>
  </w:num>
  <w:num w:numId="8">
    <w:abstractNumId w:val="20"/>
  </w:num>
  <w:num w:numId="9">
    <w:abstractNumId w:val="17"/>
  </w:num>
  <w:num w:numId="10">
    <w:abstractNumId w:val="15"/>
  </w:num>
  <w:num w:numId="11">
    <w:abstractNumId w:val="11"/>
  </w:num>
  <w:num w:numId="12">
    <w:abstractNumId w:val="26"/>
  </w:num>
  <w:num w:numId="13">
    <w:abstractNumId w:val="19"/>
  </w:num>
  <w:num w:numId="14">
    <w:abstractNumId w:val="8"/>
  </w:num>
  <w:num w:numId="15">
    <w:abstractNumId w:val="22"/>
  </w:num>
  <w:num w:numId="16">
    <w:abstractNumId w:val="14"/>
  </w:num>
  <w:num w:numId="17">
    <w:abstractNumId w:val="24"/>
  </w:num>
  <w:num w:numId="18">
    <w:abstractNumId w:val="9"/>
  </w:num>
  <w:num w:numId="19">
    <w:abstractNumId w:val="10"/>
  </w:num>
  <w:num w:numId="20">
    <w:abstractNumId w:val="2"/>
  </w:num>
  <w:num w:numId="21">
    <w:abstractNumId w:val="21"/>
  </w:num>
  <w:num w:numId="22">
    <w:abstractNumId w:val="18"/>
  </w:num>
  <w:num w:numId="23">
    <w:abstractNumId w:val="7"/>
  </w:num>
  <w:num w:numId="24">
    <w:abstractNumId w:val="6"/>
  </w:num>
  <w:num w:numId="25">
    <w:abstractNumId w:val="1"/>
  </w:num>
  <w:num w:numId="26">
    <w:abstractNumId w:val="1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val="0"/>
  <w:bordersDoNotSurroundFooter w:val="0"/>
  <w:hideSpellingErrors/>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I2NmM0OWMyMjZjNjBiY2E1N2FjYjE2NTRlMWRiMzYifQ=="/>
  </w:docVars>
  <w:rsids>
    <w:rsidRoot w:val="00982939"/>
    <w:rsid w:val="00011715"/>
    <w:rsid w:val="00012104"/>
    <w:rsid w:val="000155E7"/>
    <w:rsid w:val="000236A7"/>
    <w:rsid w:val="00041A5E"/>
    <w:rsid w:val="00057463"/>
    <w:rsid w:val="00061E73"/>
    <w:rsid w:val="00073988"/>
    <w:rsid w:val="00075DDC"/>
    <w:rsid w:val="00084B70"/>
    <w:rsid w:val="00087C4A"/>
    <w:rsid w:val="000A7A12"/>
    <w:rsid w:val="000B068E"/>
    <w:rsid w:val="000C4390"/>
    <w:rsid w:val="000C619A"/>
    <w:rsid w:val="000C6382"/>
    <w:rsid w:val="000D7286"/>
    <w:rsid w:val="000E5A4D"/>
    <w:rsid w:val="001478E5"/>
    <w:rsid w:val="00150BEB"/>
    <w:rsid w:val="00184D16"/>
    <w:rsid w:val="001A056B"/>
    <w:rsid w:val="001B7665"/>
    <w:rsid w:val="001C535D"/>
    <w:rsid w:val="001C6789"/>
    <w:rsid w:val="001D19FD"/>
    <w:rsid w:val="001D32C1"/>
    <w:rsid w:val="001D3530"/>
    <w:rsid w:val="001D41F6"/>
    <w:rsid w:val="001E73BE"/>
    <w:rsid w:val="001F4218"/>
    <w:rsid w:val="00202322"/>
    <w:rsid w:val="0020655B"/>
    <w:rsid w:val="002155F2"/>
    <w:rsid w:val="002240B9"/>
    <w:rsid w:val="00247E1A"/>
    <w:rsid w:val="00253845"/>
    <w:rsid w:val="00263E91"/>
    <w:rsid w:val="002832D0"/>
    <w:rsid w:val="00287C5D"/>
    <w:rsid w:val="002A43EA"/>
    <w:rsid w:val="002B7244"/>
    <w:rsid w:val="002C6767"/>
    <w:rsid w:val="002D1C6E"/>
    <w:rsid w:val="002D7369"/>
    <w:rsid w:val="002E5333"/>
    <w:rsid w:val="002E7650"/>
    <w:rsid w:val="002F1B22"/>
    <w:rsid w:val="003076E8"/>
    <w:rsid w:val="00313CEF"/>
    <w:rsid w:val="00322405"/>
    <w:rsid w:val="0032519F"/>
    <w:rsid w:val="0032777F"/>
    <w:rsid w:val="0033292F"/>
    <w:rsid w:val="00356DA6"/>
    <w:rsid w:val="003578B7"/>
    <w:rsid w:val="00372EC9"/>
    <w:rsid w:val="00380E5D"/>
    <w:rsid w:val="003A29F0"/>
    <w:rsid w:val="003B0341"/>
    <w:rsid w:val="003B160A"/>
    <w:rsid w:val="003C273A"/>
    <w:rsid w:val="003E5658"/>
    <w:rsid w:val="003E75C5"/>
    <w:rsid w:val="003F6B14"/>
    <w:rsid w:val="00400226"/>
    <w:rsid w:val="00401AD8"/>
    <w:rsid w:val="004044AC"/>
    <w:rsid w:val="0042397F"/>
    <w:rsid w:val="00424D38"/>
    <w:rsid w:val="00426235"/>
    <w:rsid w:val="00426DB9"/>
    <w:rsid w:val="004724D7"/>
    <w:rsid w:val="00474CF9"/>
    <w:rsid w:val="00477444"/>
    <w:rsid w:val="00482B2A"/>
    <w:rsid w:val="00492F8E"/>
    <w:rsid w:val="004B7A32"/>
    <w:rsid w:val="004E1F0E"/>
    <w:rsid w:val="005052BA"/>
    <w:rsid w:val="00510EC4"/>
    <w:rsid w:val="0052184A"/>
    <w:rsid w:val="00535662"/>
    <w:rsid w:val="00535EE1"/>
    <w:rsid w:val="00543BBA"/>
    <w:rsid w:val="00560AB3"/>
    <w:rsid w:val="00560B7E"/>
    <w:rsid w:val="005657F1"/>
    <w:rsid w:val="0057337C"/>
    <w:rsid w:val="00575482"/>
    <w:rsid w:val="00581EF8"/>
    <w:rsid w:val="00583343"/>
    <w:rsid w:val="00597A7D"/>
    <w:rsid w:val="005A0F67"/>
    <w:rsid w:val="005A32F2"/>
    <w:rsid w:val="005B4CB8"/>
    <w:rsid w:val="005C1EF1"/>
    <w:rsid w:val="00605871"/>
    <w:rsid w:val="00626E25"/>
    <w:rsid w:val="0063570D"/>
    <w:rsid w:val="00637049"/>
    <w:rsid w:val="00645153"/>
    <w:rsid w:val="00645E0D"/>
    <w:rsid w:val="00646C09"/>
    <w:rsid w:val="00676C25"/>
    <w:rsid w:val="00691B61"/>
    <w:rsid w:val="006B453E"/>
    <w:rsid w:val="006E3673"/>
    <w:rsid w:val="006E40F6"/>
    <w:rsid w:val="00702CA9"/>
    <w:rsid w:val="0070355F"/>
    <w:rsid w:val="007035F2"/>
    <w:rsid w:val="00705AEB"/>
    <w:rsid w:val="007367AE"/>
    <w:rsid w:val="00740A16"/>
    <w:rsid w:val="007528A1"/>
    <w:rsid w:val="0076303F"/>
    <w:rsid w:val="00773858"/>
    <w:rsid w:val="007761DB"/>
    <w:rsid w:val="0078483C"/>
    <w:rsid w:val="00790871"/>
    <w:rsid w:val="00794E55"/>
    <w:rsid w:val="00797F39"/>
    <w:rsid w:val="007A7B3E"/>
    <w:rsid w:val="007B12A6"/>
    <w:rsid w:val="007D66B4"/>
    <w:rsid w:val="007D68AE"/>
    <w:rsid w:val="0082049D"/>
    <w:rsid w:val="008208BA"/>
    <w:rsid w:val="00833509"/>
    <w:rsid w:val="008374C8"/>
    <w:rsid w:val="00842291"/>
    <w:rsid w:val="00850830"/>
    <w:rsid w:val="00860433"/>
    <w:rsid w:val="008703FC"/>
    <w:rsid w:val="00874D53"/>
    <w:rsid w:val="00876706"/>
    <w:rsid w:val="0089672B"/>
    <w:rsid w:val="008C1751"/>
    <w:rsid w:val="008C1856"/>
    <w:rsid w:val="008C72C4"/>
    <w:rsid w:val="008C74A2"/>
    <w:rsid w:val="008E3C6C"/>
    <w:rsid w:val="008E5754"/>
    <w:rsid w:val="008E7096"/>
    <w:rsid w:val="008F3C8D"/>
    <w:rsid w:val="00904D56"/>
    <w:rsid w:val="00911A26"/>
    <w:rsid w:val="00915515"/>
    <w:rsid w:val="00924739"/>
    <w:rsid w:val="00925979"/>
    <w:rsid w:val="00925AF1"/>
    <w:rsid w:val="009405DC"/>
    <w:rsid w:val="00956073"/>
    <w:rsid w:val="009622FF"/>
    <w:rsid w:val="00962B9C"/>
    <w:rsid w:val="00982939"/>
    <w:rsid w:val="009949D5"/>
    <w:rsid w:val="00995A4D"/>
    <w:rsid w:val="009A7C0D"/>
    <w:rsid w:val="009C0B85"/>
    <w:rsid w:val="009D48B8"/>
    <w:rsid w:val="009E24C9"/>
    <w:rsid w:val="009E6680"/>
    <w:rsid w:val="00A063F4"/>
    <w:rsid w:val="00A121BD"/>
    <w:rsid w:val="00A12310"/>
    <w:rsid w:val="00A1666D"/>
    <w:rsid w:val="00A16F7B"/>
    <w:rsid w:val="00A205DD"/>
    <w:rsid w:val="00A226E3"/>
    <w:rsid w:val="00A31FA0"/>
    <w:rsid w:val="00A67683"/>
    <w:rsid w:val="00A732C4"/>
    <w:rsid w:val="00A77FB6"/>
    <w:rsid w:val="00A93836"/>
    <w:rsid w:val="00AC5DE9"/>
    <w:rsid w:val="00AD4890"/>
    <w:rsid w:val="00AE05B0"/>
    <w:rsid w:val="00AE09F1"/>
    <w:rsid w:val="00AE6809"/>
    <w:rsid w:val="00B0528D"/>
    <w:rsid w:val="00B07E8E"/>
    <w:rsid w:val="00B14286"/>
    <w:rsid w:val="00B37AAA"/>
    <w:rsid w:val="00B44384"/>
    <w:rsid w:val="00B5104B"/>
    <w:rsid w:val="00B610CE"/>
    <w:rsid w:val="00B62D21"/>
    <w:rsid w:val="00B86408"/>
    <w:rsid w:val="00B92123"/>
    <w:rsid w:val="00BB2BC4"/>
    <w:rsid w:val="00BD748F"/>
    <w:rsid w:val="00C11A17"/>
    <w:rsid w:val="00C157DD"/>
    <w:rsid w:val="00C161E1"/>
    <w:rsid w:val="00C23283"/>
    <w:rsid w:val="00C3094E"/>
    <w:rsid w:val="00C3755C"/>
    <w:rsid w:val="00C4397F"/>
    <w:rsid w:val="00C60111"/>
    <w:rsid w:val="00C60CEB"/>
    <w:rsid w:val="00C62959"/>
    <w:rsid w:val="00CD05EB"/>
    <w:rsid w:val="00CD55E3"/>
    <w:rsid w:val="00CD758F"/>
    <w:rsid w:val="00CD7671"/>
    <w:rsid w:val="00CF1270"/>
    <w:rsid w:val="00CF4E76"/>
    <w:rsid w:val="00D04C88"/>
    <w:rsid w:val="00D40578"/>
    <w:rsid w:val="00D40BA0"/>
    <w:rsid w:val="00D40BBA"/>
    <w:rsid w:val="00D5037E"/>
    <w:rsid w:val="00D52489"/>
    <w:rsid w:val="00D80897"/>
    <w:rsid w:val="00D83223"/>
    <w:rsid w:val="00D87C25"/>
    <w:rsid w:val="00D903C2"/>
    <w:rsid w:val="00DA33D5"/>
    <w:rsid w:val="00DA7FF2"/>
    <w:rsid w:val="00DB4CA4"/>
    <w:rsid w:val="00DC03D5"/>
    <w:rsid w:val="00DD3369"/>
    <w:rsid w:val="00DE6E79"/>
    <w:rsid w:val="00DF760A"/>
    <w:rsid w:val="00E01A33"/>
    <w:rsid w:val="00E03C93"/>
    <w:rsid w:val="00E108EF"/>
    <w:rsid w:val="00E12D22"/>
    <w:rsid w:val="00E15109"/>
    <w:rsid w:val="00E25542"/>
    <w:rsid w:val="00E44DF8"/>
    <w:rsid w:val="00E47FDC"/>
    <w:rsid w:val="00E62F19"/>
    <w:rsid w:val="00E67E0E"/>
    <w:rsid w:val="00E73B94"/>
    <w:rsid w:val="00E82101"/>
    <w:rsid w:val="00E97B9C"/>
    <w:rsid w:val="00EB0A33"/>
    <w:rsid w:val="00EB1126"/>
    <w:rsid w:val="00EC6DD1"/>
    <w:rsid w:val="00EC7E2F"/>
    <w:rsid w:val="00ED7132"/>
    <w:rsid w:val="00EF2ACB"/>
    <w:rsid w:val="00EF3126"/>
    <w:rsid w:val="00F06699"/>
    <w:rsid w:val="00F10D21"/>
    <w:rsid w:val="00F16134"/>
    <w:rsid w:val="00F16D17"/>
    <w:rsid w:val="00F25B9A"/>
    <w:rsid w:val="00F34003"/>
    <w:rsid w:val="00F35BA9"/>
    <w:rsid w:val="00F53F1B"/>
    <w:rsid w:val="00F64EE1"/>
    <w:rsid w:val="00F67698"/>
    <w:rsid w:val="00F83575"/>
    <w:rsid w:val="00F836C0"/>
    <w:rsid w:val="00F97E96"/>
    <w:rsid w:val="00FB3619"/>
    <w:rsid w:val="00FC5859"/>
    <w:rsid w:val="00FE78ED"/>
    <w:rsid w:val="00FF0F96"/>
    <w:rsid w:val="00FF5E93"/>
    <w:rsid w:val="013744D8"/>
    <w:rsid w:val="01395E22"/>
    <w:rsid w:val="01494F34"/>
    <w:rsid w:val="016253FE"/>
    <w:rsid w:val="01652612"/>
    <w:rsid w:val="01841584"/>
    <w:rsid w:val="01C8673E"/>
    <w:rsid w:val="01E531A4"/>
    <w:rsid w:val="024233C9"/>
    <w:rsid w:val="024A0682"/>
    <w:rsid w:val="024D5EC7"/>
    <w:rsid w:val="02780D91"/>
    <w:rsid w:val="02B02C53"/>
    <w:rsid w:val="02C74367"/>
    <w:rsid w:val="02DA2BFB"/>
    <w:rsid w:val="02DE2CCA"/>
    <w:rsid w:val="031273FF"/>
    <w:rsid w:val="03341F59"/>
    <w:rsid w:val="033D687C"/>
    <w:rsid w:val="0396602F"/>
    <w:rsid w:val="03EE07D4"/>
    <w:rsid w:val="04185982"/>
    <w:rsid w:val="04451CC2"/>
    <w:rsid w:val="045F6B9B"/>
    <w:rsid w:val="04AA2B23"/>
    <w:rsid w:val="05346E97"/>
    <w:rsid w:val="053B2275"/>
    <w:rsid w:val="053C7DE9"/>
    <w:rsid w:val="053E3C6A"/>
    <w:rsid w:val="055B4363"/>
    <w:rsid w:val="0566793C"/>
    <w:rsid w:val="056F4C34"/>
    <w:rsid w:val="058C7E64"/>
    <w:rsid w:val="06085BE5"/>
    <w:rsid w:val="06133B79"/>
    <w:rsid w:val="061A0A3A"/>
    <w:rsid w:val="062F7041"/>
    <w:rsid w:val="06340AC8"/>
    <w:rsid w:val="064922CC"/>
    <w:rsid w:val="06500B6D"/>
    <w:rsid w:val="0662692A"/>
    <w:rsid w:val="069335B1"/>
    <w:rsid w:val="06AF1F4F"/>
    <w:rsid w:val="06D9082A"/>
    <w:rsid w:val="06EC3E9D"/>
    <w:rsid w:val="07130F64"/>
    <w:rsid w:val="07575696"/>
    <w:rsid w:val="075B0FE2"/>
    <w:rsid w:val="075C6212"/>
    <w:rsid w:val="0772588F"/>
    <w:rsid w:val="07AA45D1"/>
    <w:rsid w:val="07CA7214"/>
    <w:rsid w:val="07D75B06"/>
    <w:rsid w:val="08022A10"/>
    <w:rsid w:val="0803522E"/>
    <w:rsid w:val="08107AAB"/>
    <w:rsid w:val="0823136C"/>
    <w:rsid w:val="08390491"/>
    <w:rsid w:val="084A0A73"/>
    <w:rsid w:val="084E1C21"/>
    <w:rsid w:val="08D603D1"/>
    <w:rsid w:val="08EB3D79"/>
    <w:rsid w:val="09151F1E"/>
    <w:rsid w:val="097A28E5"/>
    <w:rsid w:val="09806337"/>
    <w:rsid w:val="098A5278"/>
    <w:rsid w:val="09904F2D"/>
    <w:rsid w:val="099D475F"/>
    <w:rsid w:val="09C218D4"/>
    <w:rsid w:val="09C3197A"/>
    <w:rsid w:val="09E10CEA"/>
    <w:rsid w:val="0A0C1CD8"/>
    <w:rsid w:val="0A6979B2"/>
    <w:rsid w:val="0A742C74"/>
    <w:rsid w:val="0A7E0FB4"/>
    <w:rsid w:val="0A943176"/>
    <w:rsid w:val="0ACC74D6"/>
    <w:rsid w:val="0AEF1140"/>
    <w:rsid w:val="0B185CF6"/>
    <w:rsid w:val="0B211C2B"/>
    <w:rsid w:val="0B5924A7"/>
    <w:rsid w:val="0B650C15"/>
    <w:rsid w:val="0B6966C0"/>
    <w:rsid w:val="0B853B90"/>
    <w:rsid w:val="0BB05CE9"/>
    <w:rsid w:val="0BCE1630"/>
    <w:rsid w:val="0BFE6C9A"/>
    <w:rsid w:val="0C006EB6"/>
    <w:rsid w:val="0C1B1F85"/>
    <w:rsid w:val="0C4839A2"/>
    <w:rsid w:val="0CE74823"/>
    <w:rsid w:val="0CE74B30"/>
    <w:rsid w:val="0CFD1B10"/>
    <w:rsid w:val="0D0C2D9D"/>
    <w:rsid w:val="0D1A200C"/>
    <w:rsid w:val="0D2C73D3"/>
    <w:rsid w:val="0D2D3111"/>
    <w:rsid w:val="0D494062"/>
    <w:rsid w:val="0DA970D9"/>
    <w:rsid w:val="0DBF253B"/>
    <w:rsid w:val="0DD2735B"/>
    <w:rsid w:val="0DDD4479"/>
    <w:rsid w:val="0DEE71ED"/>
    <w:rsid w:val="0E1A7C1C"/>
    <w:rsid w:val="0E497315"/>
    <w:rsid w:val="0EAF3B49"/>
    <w:rsid w:val="0EB14B49"/>
    <w:rsid w:val="0EBE05F9"/>
    <w:rsid w:val="0ECE5EAC"/>
    <w:rsid w:val="0EE024C5"/>
    <w:rsid w:val="0EE76EC2"/>
    <w:rsid w:val="0F1F4D2B"/>
    <w:rsid w:val="0F331AFF"/>
    <w:rsid w:val="0F406E0E"/>
    <w:rsid w:val="0F4E0BE6"/>
    <w:rsid w:val="0F603837"/>
    <w:rsid w:val="0F7208A6"/>
    <w:rsid w:val="0F8E1DF6"/>
    <w:rsid w:val="0F980645"/>
    <w:rsid w:val="10022AD1"/>
    <w:rsid w:val="10044780"/>
    <w:rsid w:val="102D4C28"/>
    <w:rsid w:val="103A61A0"/>
    <w:rsid w:val="103C1B0D"/>
    <w:rsid w:val="10BC0CE4"/>
    <w:rsid w:val="10BD35C7"/>
    <w:rsid w:val="10D768FB"/>
    <w:rsid w:val="110D3F36"/>
    <w:rsid w:val="115055DD"/>
    <w:rsid w:val="115343BC"/>
    <w:rsid w:val="11541CD4"/>
    <w:rsid w:val="115B4B8E"/>
    <w:rsid w:val="11615A3A"/>
    <w:rsid w:val="118621E5"/>
    <w:rsid w:val="118663AE"/>
    <w:rsid w:val="11A15894"/>
    <w:rsid w:val="11CE0C03"/>
    <w:rsid w:val="11DC7F4D"/>
    <w:rsid w:val="11DF66A7"/>
    <w:rsid w:val="11EA34D2"/>
    <w:rsid w:val="125E104E"/>
    <w:rsid w:val="12936EBE"/>
    <w:rsid w:val="138C102F"/>
    <w:rsid w:val="13A16F57"/>
    <w:rsid w:val="13CB7BC8"/>
    <w:rsid w:val="13CD0116"/>
    <w:rsid w:val="13DA38F0"/>
    <w:rsid w:val="14121FE6"/>
    <w:rsid w:val="14127B1C"/>
    <w:rsid w:val="14170911"/>
    <w:rsid w:val="14551A56"/>
    <w:rsid w:val="145E107F"/>
    <w:rsid w:val="146E14F7"/>
    <w:rsid w:val="14724268"/>
    <w:rsid w:val="148A5C5C"/>
    <w:rsid w:val="149226B9"/>
    <w:rsid w:val="14B12EED"/>
    <w:rsid w:val="14CD7586"/>
    <w:rsid w:val="1511333D"/>
    <w:rsid w:val="153344F0"/>
    <w:rsid w:val="156C4CA3"/>
    <w:rsid w:val="159B19FD"/>
    <w:rsid w:val="15AF2F0A"/>
    <w:rsid w:val="161470FD"/>
    <w:rsid w:val="161E21CA"/>
    <w:rsid w:val="162A0E45"/>
    <w:rsid w:val="162F43F2"/>
    <w:rsid w:val="16735A7C"/>
    <w:rsid w:val="16A14975"/>
    <w:rsid w:val="16A6068A"/>
    <w:rsid w:val="16ED2CA0"/>
    <w:rsid w:val="172E6B31"/>
    <w:rsid w:val="17344AD0"/>
    <w:rsid w:val="173D3AA2"/>
    <w:rsid w:val="17601BC8"/>
    <w:rsid w:val="17706934"/>
    <w:rsid w:val="177459B6"/>
    <w:rsid w:val="1781338E"/>
    <w:rsid w:val="179475EB"/>
    <w:rsid w:val="17A96265"/>
    <w:rsid w:val="17DD5994"/>
    <w:rsid w:val="18195EAA"/>
    <w:rsid w:val="18695B42"/>
    <w:rsid w:val="186C7AEA"/>
    <w:rsid w:val="18786026"/>
    <w:rsid w:val="1899316B"/>
    <w:rsid w:val="18A5392D"/>
    <w:rsid w:val="18CF0389"/>
    <w:rsid w:val="190E4296"/>
    <w:rsid w:val="199E386A"/>
    <w:rsid w:val="19F2700C"/>
    <w:rsid w:val="1A07333E"/>
    <w:rsid w:val="1A3B660B"/>
    <w:rsid w:val="1A4E1288"/>
    <w:rsid w:val="1A826EC2"/>
    <w:rsid w:val="1B2D14E4"/>
    <w:rsid w:val="1B381568"/>
    <w:rsid w:val="1B5F25DA"/>
    <w:rsid w:val="1B646060"/>
    <w:rsid w:val="1B820C73"/>
    <w:rsid w:val="1BBC26CD"/>
    <w:rsid w:val="1BDF717C"/>
    <w:rsid w:val="1C2979DE"/>
    <w:rsid w:val="1C5A7009"/>
    <w:rsid w:val="1C6F476B"/>
    <w:rsid w:val="1C7D5042"/>
    <w:rsid w:val="1C8C3E33"/>
    <w:rsid w:val="1C940F54"/>
    <w:rsid w:val="1CC56248"/>
    <w:rsid w:val="1CCC3D75"/>
    <w:rsid w:val="1CFF737F"/>
    <w:rsid w:val="1D1A4B12"/>
    <w:rsid w:val="1D37200B"/>
    <w:rsid w:val="1D6C3E4E"/>
    <w:rsid w:val="1D706C84"/>
    <w:rsid w:val="1DA10CA7"/>
    <w:rsid w:val="1DC23B48"/>
    <w:rsid w:val="1DC52CB7"/>
    <w:rsid w:val="1E3A4C79"/>
    <w:rsid w:val="1E5379ED"/>
    <w:rsid w:val="1E65346C"/>
    <w:rsid w:val="1E6C79C4"/>
    <w:rsid w:val="1EA96168"/>
    <w:rsid w:val="1EC92ACD"/>
    <w:rsid w:val="1EED2B5C"/>
    <w:rsid w:val="1EED34C3"/>
    <w:rsid w:val="1EF1680B"/>
    <w:rsid w:val="1EF55062"/>
    <w:rsid w:val="1EFC2C11"/>
    <w:rsid w:val="1F006916"/>
    <w:rsid w:val="1F417171"/>
    <w:rsid w:val="1F4A276F"/>
    <w:rsid w:val="1F8F25D3"/>
    <w:rsid w:val="1FAB5549"/>
    <w:rsid w:val="1FB443F6"/>
    <w:rsid w:val="1FCF650C"/>
    <w:rsid w:val="1FFA69E3"/>
    <w:rsid w:val="20277D51"/>
    <w:rsid w:val="20326A22"/>
    <w:rsid w:val="20591A2D"/>
    <w:rsid w:val="20611C90"/>
    <w:rsid w:val="20714A4A"/>
    <w:rsid w:val="209170E9"/>
    <w:rsid w:val="20B60E71"/>
    <w:rsid w:val="20BF7023"/>
    <w:rsid w:val="20C6385C"/>
    <w:rsid w:val="20E402EF"/>
    <w:rsid w:val="21070AE9"/>
    <w:rsid w:val="2107592B"/>
    <w:rsid w:val="211F7986"/>
    <w:rsid w:val="21472019"/>
    <w:rsid w:val="216E1936"/>
    <w:rsid w:val="219177D4"/>
    <w:rsid w:val="21C61AAA"/>
    <w:rsid w:val="21CE0F2D"/>
    <w:rsid w:val="21DB071C"/>
    <w:rsid w:val="21E72246"/>
    <w:rsid w:val="220A0B43"/>
    <w:rsid w:val="22104D1A"/>
    <w:rsid w:val="221D7F4F"/>
    <w:rsid w:val="227A032C"/>
    <w:rsid w:val="22A51D3F"/>
    <w:rsid w:val="22A90F33"/>
    <w:rsid w:val="22EE3C25"/>
    <w:rsid w:val="22FF2DA4"/>
    <w:rsid w:val="23191345"/>
    <w:rsid w:val="2349499F"/>
    <w:rsid w:val="23525FE3"/>
    <w:rsid w:val="23897339"/>
    <w:rsid w:val="23941DAE"/>
    <w:rsid w:val="23CC3BD7"/>
    <w:rsid w:val="23F5448F"/>
    <w:rsid w:val="24771655"/>
    <w:rsid w:val="248E3E82"/>
    <w:rsid w:val="2497180F"/>
    <w:rsid w:val="24972FE1"/>
    <w:rsid w:val="249D0D11"/>
    <w:rsid w:val="24A24D36"/>
    <w:rsid w:val="25214816"/>
    <w:rsid w:val="257B1F81"/>
    <w:rsid w:val="258720FB"/>
    <w:rsid w:val="25BB6653"/>
    <w:rsid w:val="25F713E4"/>
    <w:rsid w:val="260E33C3"/>
    <w:rsid w:val="262A0F81"/>
    <w:rsid w:val="2652167B"/>
    <w:rsid w:val="265B7A06"/>
    <w:rsid w:val="26637E48"/>
    <w:rsid w:val="26652A8B"/>
    <w:rsid w:val="26671505"/>
    <w:rsid w:val="26947FF9"/>
    <w:rsid w:val="26A870FC"/>
    <w:rsid w:val="26AB1C7D"/>
    <w:rsid w:val="270745D6"/>
    <w:rsid w:val="27160EE4"/>
    <w:rsid w:val="271976F6"/>
    <w:rsid w:val="272202FE"/>
    <w:rsid w:val="273307EA"/>
    <w:rsid w:val="274A5031"/>
    <w:rsid w:val="27573509"/>
    <w:rsid w:val="276E776F"/>
    <w:rsid w:val="277843B7"/>
    <w:rsid w:val="27B922FC"/>
    <w:rsid w:val="27C410D3"/>
    <w:rsid w:val="27E74936"/>
    <w:rsid w:val="28242811"/>
    <w:rsid w:val="282E073F"/>
    <w:rsid w:val="28430622"/>
    <w:rsid w:val="287665DF"/>
    <w:rsid w:val="287D0D5D"/>
    <w:rsid w:val="28AF4410"/>
    <w:rsid w:val="28C414B7"/>
    <w:rsid w:val="29057ABA"/>
    <w:rsid w:val="290E0330"/>
    <w:rsid w:val="29152F35"/>
    <w:rsid w:val="294D7C73"/>
    <w:rsid w:val="29890093"/>
    <w:rsid w:val="29E22686"/>
    <w:rsid w:val="29ED10E4"/>
    <w:rsid w:val="2A322880"/>
    <w:rsid w:val="2A4D6A50"/>
    <w:rsid w:val="2A532D22"/>
    <w:rsid w:val="2A5C79B8"/>
    <w:rsid w:val="2A8104C2"/>
    <w:rsid w:val="2AA77103"/>
    <w:rsid w:val="2AB71F49"/>
    <w:rsid w:val="2B414C82"/>
    <w:rsid w:val="2B6E1C70"/>
    <w:rsid w:val="2B7407C0"/>
    <w:rsid w:val="2B794763"/>
    <w:rsid w:val="2BAA2ACC"/>
    <w:rsid w:val="2BAA509A"/>
    <w:rsid w:val="2C9C1E8B"/>
    <w:rsid w:val="2CB67BB7"/>
    <w:rsid w:val="2CD53BC1"/>
    <w:rsid w:val="2CF240BB"/>
    <w:rsid w:val="2D120AFF"/>
    <w:rsid w:val="2D370547"/>
    <w:rsid w:val="2D783338"/>
    <w:rsid w:val="2DA3028C"/>
    <w:rsid w:val="2DC5554D"/>
    <w:rsid w:val="2E525958"/>
    <w:rsid w:val="2E565264"/>
    <w:rsid w:val="2E5C2453"/>
    <w:rsid w:val="2E6739E6"/>
    <w:rsid w:val="2F355671"/>
    <w:rsid w:val="2F4A3E20"/>
    <w:rsid w:val="2FB65CCC"/>
    <w:rsid w:val="3032240F"/>
    <w:rsid w:val="3084386C"/>
    <w:rsid w:val="3096388D"/>
    <w:rsid w:val="30AE03DF"/>
    <w:rsid w:val="30E74156"/>
    <w:rsid w:val="311A07DC"/>
    <w:rsid w:val="311D11D1"/>
    <w:rsid w:val="313929A1"/>
    <w:rsid w:val="31A9645B"/>
    <w:rsid w:val="31BD7F24"/>
    <w:rsid w:val="31D70A68"/>
    <w:rsid w:val="32002CD7"/>
    <w:rsid w:val="320D496B"/>
    <w:rsid w:val="322D038C"/>
    <w:rsid w:val="326D70B2"/>
    <w:rsid w:val="329D13B2"/>
    <w:rsid w:val="32D700C1"/>
    <w:rsid w:val="32DC60A8"/>
    <w:rsid w:val="33367212"/>
    <w:rsid w:val="3339595C"/>
    <w:rsid w:val="334561C7"/>
    <w:rsid w:val="336E065A"/>
    <w:rsid w:val="336E40C0"/>
    <w:rsid w:val="33941B0E"/>
    <w:rsid w:val="33B45667"/>
    <w:rsid w:val="33C958D2"/>
    <w:rsid w:val="33EB7246"/>
    <w:rsid w:val="33ED1D63"/>
    <w:rsid w:val="33F8704B"/>
    <w:rsid w:val="34092174"/>
    <w:rsid w:val="341F5B50"/>
    <w:rsid w:val="343F36FB"/>
    <w:rsid w:val="34562DA0"/>
    <w:rsid w:val="345C6A75"/>
    <w:rsid w:val="346602EB"/>
    <w:rsid w:val="34D1536B"/>
    <w:rsid w:val="34DD033D"/>
    <w:rsid w:val="34E97C37"/>
    <w:rsid w:val="35025E78"/>
    <w:rsid w:val="35037680"/>
    <w:rsid w:val="3531604C"/>
    <w:rsid w:val="35662B22"/>
    <w:rsid w:val="358D1E96"/>
    <w:rsid w:val="359D2C1F"/>
    <w:rsid w:val="35AF3318"/>
    <w:rsid w:val="35BD0B2B"/>
    <w:rsid w:val="35D94150"/>
    <w:rsid w:val="361A604A"/>
    <w:rsid w:val="364D739F"/>
    <w:rsid w:val="364E237C"/>
    <w:rsid w:val="36540395"/>
    <w:rsid w:val="36857E34"/>
    <w:rsid w:val="368963AB"/>
    <w:rsid w:val="36A75D24"/>
    <w:rsid w:val="36E8255D"/>
    <w:rsid w:val="370F31BC"/>
    <w:rsid w:val="37122F29"/>
    <w:rsid w:val="374A2C65"/>
    <w:rsid w:val="3759432C"/>
    <w:rsid w:val="376C1E34"/>
    <w:rsid w:val="37B564F7"/>
    <w:rsid w:val="37BE5046"/>
    <w:rsid w:val="37C0217C"/>
    <w:rsid w:val="37C86B1F"/>
    <w:rsid w:val="37E77BC3"/>
    <w:rsid w:val="37F54789"/>
    <w:rsid w:val="38085DD5"/>
    <w:rsid w:val="38092CCD"/>
    <w:rsid w:val="382310C6"/>
    <w:rsid w:val="382E38AB"/>
    <w:rsid w:val="388A4601"/>
    <w:rsid w:val="38C13BDC"/>
    <w:rsid w:val="38DD09A3"/>
    <w:rsid w:val="38E80211"/>
    <w:rsid w:val="38EC4054"/>
    <w:rsid w:val="391B0626"/>
    <w:rsid w:val="3927536E"/>
    <w:rsid w:val="392C27E9"/>
    <w:rsid w:val="392D32AC"/>
    <w:rsid w:val="39476F49"/>
    <w:rsid w:val="396D6995"/>
    <w:rsid w:val="397A1FA6"/>
    <w:rsid w:val="3A0335EE"/>
    <w:rsid w:val="3A085A43"/>
    <w:rsid w:val="3A194C3A"/>
    <w:rsid w:val="3A5262A3"/>
    <w:rsid w:val="3AC632F2"/>
    <w:rsid w:val="3AE325FC"/>
    <w:rsid w:val="3AFC05C7"/>
    <w:rsid w:val="3B3F1E95"/>
    <w:rsid w:val="3B540DF4"/>
    <w:rsid w:val="3B615861"/>
    <w:rsid w:val="3B6B28B8"/>
    <w:rsid w:val="3B766989"/>
    <w:rsid w:val="3B851999"/>
    <w:rsid w:val="3B976B0D"/>
    <w:rsid w:val="3BB63894"/>
    <w:rsid w:val="3BCC5B62"/>
    <w:rsid w:val="3BD71278"/>
    <w:rsid w:val="3C1A2088"/>
    <w:rsid w:val="3C7C5962"/>
    <w:rsid w:val="3CF211E4"/>
    <w:rsid w:val="3D023E80"/>
    <w:rsid w:val="3D2C6D96"/>
    <w:rsid w:val="3D840F50"/>
    <w:rsid w:val="3D9700D0"/>
    <w:rsid w:val="3D994589"/>
    <w:rsid w:val="3DD03A09"/>
    <w:rsid w:val="3DD75BA9"/>
    <w:rsid w:val="3E3932B7"/>
    <w:rsid w:val="3E406BAE"/>
    <w:rsid w:val="3E8114F2"/>
    <w:rsid w:val="3E934BED"/>
    <w:rsid w:val="3EA31ACC"/>
    <w:rsid w:val="3ED74FA5"/>
    <w:rsid w:val="3F0346BF"/>
    <w:rsid w:val="3F060850"/>
    <w:rsid w:val="3F086C4D"/>
    <w:rsid w:val="3F0872E4"/>
    <w:rsid w:val="3F2F5431"/>
    <w:rsid w:val="3F58752E"/>
    <w:rsid w:val="3F6639AF"/>
    <w:rsid w:val="3F744EE9"/>
    <w:rsid w:val="40017488"/>
    <w:rsid w:val="40024472"/>
    <w:rsid w:val="40030162"/>
    <w:rsid w:val="40032EF9"/>
    <w:rsid w:val="400E594F"/>
    <w:rsid w:val="401F0B79"/>
    <w:rsid w:val="40286509"/>
    <w:rsid w:val="403A4499"/>
    <w:rsid w:val="403B2BBD"/>
    <w:rsid w:val="404B79F8"/>
    <w:rsid w:val="405E26C8"/>
    <w:rsid w:val="405F6D3D"/>
    <w:rsid w:val="406F2C10"/>
    <w:rsid w:val="40B90E06"/>
    <w:rsid w:val="40D61CBF"/>
    <w:rsid w:val="40E816EB"/>
    <w:rsid w:val="40F6588C"/>
    <w:rsid w:val="416E3480"/>
    <w:rsid w:val="4186401A"/>
    <w:rsid w:val="41891E8D"/>
    <w:rsid w:val="418F1B67"/>
    <w:rsid w:val="418F3B53"/>
    <w:rsid w:val="423550E5"/>
    <w:rsid w:val="423D7CF9"/>
    <w:rsid w:val="429D2B4C"/>
    <w:rsid w:val="42D154DE"/>
    <w:rsid w:val="42F23717"/>
    <w:rsid w:val="42FA61B6"/>
    <w:rsid w:val="4303280C"/>
    <w:rsid w:val="43227F24"/>
    <w:rsid w:val="433108A7"/>
    <w:rsid w:val="436114A6"/>
    <w:rsid w:val="43622FA3"/>
    <w:rsid w:val="437B0F43"/>
    <w:rsid w:val="43AD49C0"/>
    <w:rsid w:val="43B31A09"/>
    <w:rsid w:val="440A5C88"/>
    <w:rsid w:val="44231373"/>
    <w:rsid w:val="44654348"/>
    <w:rsid w:val="44C23805"/>
    <w:rsid w:val="44D1073A"/>
    <w:rsid w:val="45023252"/>
    <w:rsid w:val="451034CF"/>
    <w:rsid w:val="455939E1"/>
    <w:rsid w:val="456E3574"/>
    <w:rsid w:val="45806C49"/>
    <w:rsid w:val="45890321"/>
    <w:rsid w:val="45913A27"/>
    <w:rsid w:val="45BE7082"/>
    <w:rsid w:val="45CC11FE"/>
    <w:rsid w:val="46173370"/>
    <w:rsid w:val="461B7D4F"/>
    <w:rsid w:val="462E24F2"/>
    <w:rsid w:val="46552131"/>
    <w:rsid w:val="46CE7C47"/>
    <w:rsid w:val="46D1667B"/>
    <w:rsid w:val="470018AF"/>
    <w:rsid w:val="4716216F"/>
    <w:rsid w:val="4717095A"/>
    <w:rsid w:val="473E4FFD"/>
    <w:rsid w:val="476230A1"/>
    <w:rsid w:val="47A15A58"/>
    <w:rsid w:val="47AA30BE"/>
    <w:rsid w:val="47E24470"/>
    <w:rsid w:val="481251FF"/>
    <w:rsid w:val="48273044"/>
    <w:rsid w:val="482E219C"/>
    <w:rsid w:val="483855D0"/>
    <w:rsid w:val="48470686"/>
    <w:rsid w:val="48722BF4"/>
    <w:rsid w:val="48A228E4"/>
    <w:rsid w:val="48A40196"/>
    <w:rsid w:val="48B20A33"/>
    <w:rsid w:val="48B855AA"/>
    <w:rsid w:val="48E72167"/>
    <w:rsid w:val="49342309"/>
    <w:rsid w:val="495C67D2"/>
    <w:rsid w:val="4966789D"/>
    <w:rsid w:val="49757823"/>
    <w:rsid w:val="497B49D0"/>
    <w:rsid w:val="49C573D2"/>
    <w:rsid w:val="49C60941"/>
    <w:rsid w:val="49C9447F"/>
    <w:rsid w:val="49E62B6A"/>
    <w:rsid w:val="4A0922D8"/>
    <w:rsid w:val="4A22085A"/>
    <w:rsid w:val="4A326EA5"/>
    <w:rsid w:val="4A6D6AAE"/>
    <w:rsid w:val="4AA13F80"/>
    <w:rsid w:val="4AC8030F"/>
    <w:rsid w:val="4ADD5B51"/>
    <w:rsid w:val="4AEB519F"/>
    <w:rsid w:val="4B1F3F5B"/>
    <w:rsid w:val="4B441C14"/>
    <w:rsid w:val="4B495FBD"/>
    <w:rsid w:val="4B520E19"/>
    <w:rsid w:val="4B556BA6"/>
    <w:rsid w:val="4B73436C"/>
    <w:rsid w:val="4B8D3DCB"/>
    <w:rsid w:val="4B9D30D2"/>
    <w:rsid w:val="4BB01CBD"/>
    <w:rsid w:val="4BC66D82"/>
    <w:rsid w:val="4BCC3182"/>
    <w:rsid w:val="4BDC2415"/>
    <w:rsid w:val="4BE34A50"/>
    <w:rsid w:val="4BEC797C"/>
    <w:rsid w:val="4BFF0EB0"/>
    <w:rsid w:val="4C0D154B"/>
    <w:rsid w:val="4C2B21A6"/>
    <w:rsid w:val="4C3C786C"/>
    <w:rsid w:val="4C48160F"/>
    <w:rsid w:val="4C5B7215"/>
    <w:rsid w:val="4C7A7B62"/>
    <w:rsid w:val="4CA77ACF"/>
    <w:rsid w:val="4CC601E3"/>
    <w:rsid w:val="4CCE4C54"/>
    <w:rsid w:val="4CEB00ED"/>
    <w:rsid w:val="4CF318F5"/>
    <w:rsid w:val="4CF81305"/>
    <w:rsid w:val="4D386725"/>
    <w:rsid w:val="4D9A7FF0"/>
    <w:rsid w:val="4DBF4565"/>
    <w:rsid w:val="4DDF2D30"/>
    <w:rsid w:val="4E047B26"/>
    <w:rsid w:val="4E0525A6"/>
    <w:rsid w:val="4E241E84"/>
    <w:rsid w:val="4E295288"/>
    <w:rsid w:val="4E7A7F32"/>
    <w:rsid w:val="4E96581C"/>
    <w:rsid w:val="4EB420C7"/>
    <w:rsid w:val="4EE5637B"/>
    <w:rsid w:val="4EF94D6F"/>
    <w:rsid w:val="4F142F3C"/>
    <w:rsid w:val="4F3E7BE3"/>
    <w:rsid w:val="4F5F1D21"/>
    <w:rsid w:val="4F6939F7"/>
    <w:rsid w:val="4FA94788"/>
    <w:rsid w:val="4FAD0EB8"/>
    <w:rsid w:val="4FDC26A2"/>
    <w:rsid w:val="4FDE5E8E"/>
    <w:rsid w:val="4FF11193"/>
    <w:rsid w:val="4FFB55B4"/>
    <w:rsid w:val="504615FE"/>
    <w:rsid w:val="504A543B"/>
    <w:rsid w:val="50707D50"/>
    <w:rsid w:val="507642E0"/>
    <w:rsid w:val="509176A9"/>
    <w:rsid w:val="50971F4B"/>
    <w:rsid w:val="509E5DBC"/>
    <w:rsid w:val="50DC2213"/>
    <w:rsid w:val="50F1063E"/>
    <w:rsid w:val="5110300B"/>
    <w:rsid w:val="51420E3D"/>
    <w:rsid w:val="51A274AB"/>
    <w:rsid w:val="51A31EA3"/>
    <w:rsid w:val="51AE3B29"/>
    <w:rsid w:val="52261394"/>
    <w:rsid w:val="52304DF6"/>
    <w:rsid w:val="524B49C6"/>
    <w:rsid w:val="525A6832"/>
    <w:rsid w:val="525B55BF"/>
    <w:rsid w:val="52651F2C"/>
    <w:rsid w:val="527E34BB"/>
    <w:rsid w:val="52996CE6"/>
    <w:rsid w:val="52AB3E13"/>
    <w:rsid w:val="52D6074F"/>
    <w:rsid w:val="52D6457B"/>
    <w:rsid w:val="52E918D8"/>
    <w:rsid w:val="53146370"/>
    <w:rsid w:val="53204FCC"/>
    <w:rsid w:val="532A1183"/>
    <w:rsid w:val="53590C18"/>
    <w:rsid w:val="538318C0"/>
    <w:rsid w:val="53851A64"/>
    <w:rsid w:val="53DB4820"/>
    <w:rsid w:val="53E0342E"/>
    <w:rsid w:val="53FD1217"/>
    <w:rsid w:val="54071A30"/>
    <w:rsid w:val="54106B37"/>
    <w:rsid w:val="54302D35"/>
    <w:rsid w:val="544D1402"/>
    <w:rsid w:val="54742CFC"/>
    <w:rsid w:val="54816022"/>
    <w:rsid w:val="548E221E"/>
    <w:rsid w:val="54A16C1A"/>
    <w:rsid w:val="54B702BF"/>
    <w:rsid w:val="54BB2F47"/>
    <w:rsid w:val="54CD09AC"/>
    <w:rsid w:val="54D423EE"/>
    <w:rsid w:val="54E07D1E"/>
    <w:rsid w:val="54E7735C"/>
    <w:rsid w:val="54EA7653"/>
    <w:rsid w:val="54F137D8"/>
    <w:rsid w:val="550B1C67"/>
    <w:rsid w:val="554A4B18"/>
    <w:rsid w:val="55710222"/>
    <w:rsid w:val="55947DDC"/>
    <w:rsid w:val="55F96939"/>
    <w:rsid w:val="55FE45A7"/>
    <w:rsid w:val="56014D67"/>
    <w:rsid w:val="56064966"/>
    <w:rsid w:val="56303507"/>
    <w:rsid w:val="567916E4"/>
    <w:rsid w:val="569B2B69"/>
    <w:rsid w:val="56CA3676"/>
    <w:rsid w:val="56FC2C3E"/>
    <w:rsid w:val="57130EEB"/>
    <w:rsid w:val="573D38D2"/>
    <w:rsid w:val="57790534"/>
    <w:rsid w:val="57E00614"/>
    <w:rsid w:val="57EA37A8"/>
    <w:rsid w:val="582C7CB7"/>
    <w:rsid w:val="584C4364"/>
    <w:rsid w:val="585711D8"/>
    <w:rsid w:val="585B07A2"/>
    <w:rsid w:val="58985A95"/>
    <w:rsid w:val="59341886"/>
    <w:rsid w:val="595623F9"/>
    <w:rsid w:val="596324CF"/>
    <w:rsid w:val="597F3E57"/>
    <w:rsid w:val="59AC7302"/>
    <w:rsid w:val="59B11C3B"/>
    <w:rsid w:val="59B53A39"/>
    <w:rsid w:val="59BB76D6"/>
    <w:rsid w:val="59DC1260"/>
    <w:rsid w:val="5A081373"/>
    <w:rsid w:val="5A1B3D35"/>
    <w:rsid w:val="5A32731E"/>
    <w:rsid w:val="5A7964A1"/>
    <w:rsid w:val="5AA52926"/>
    <w:rsid w:val="5AD718A4"/>
    <w:rsid w:val="5B0F677F"/>
    <w:rsid w:val="5B225B36"/>
    <w:rsid w:val="5B2601F1"/>
    <w:rsid w:val="5B2605DA"/>
    <w:rsid w:val="5B4E3F59"/>
    <w:rsid w:val="5B5E00D7"/>
    <w:rsid w:val="5B62185D"/>
    <w:rsid w:val="5B852BEB"/>
    <w:rsid w:val="5B935157"/>
    <w:rsid w:val="5BA01999"/>
    <w:rsid w:val="5BD876CB"/>
    <w:rsid w:val="5BEC60DC"/>
    <w:rsid w:val="5C650A6C"/>
    <w:rsid w:val="5C683058"/>
    <w:rsid w:val="5C902F0B"/>
    <w:rsid w:val="5CDA7BA2"/>
    <w:rsid w:val="5D156E2D"/>
    <w:rsid w:val="5D173F42"/>
    <w:rsid w:val="5D1C045A"/>
    <w:rsid w:val="5D381E35"/>
    <w:rsid w:val="5D441862"/>
    <w:rsid w:val="5D4B720E"/>
    <w:rsid w:val="5D4E5C9F"/>
    <w:rsid w:val="5D5D19DC"/>
    <w:rsid w:val="5D662B82"/>
    <w:rsid w:val="5D6A529F"/>
    <w:rsid w:val="5D6A7A96"/>
    <w:rsid w:val="5D8E3E32"/>
    <w:rsid w:val="5D9223C3"/>
    <w:rsid w:val="5D943AFE"/>
    <w:rsid w:val="5D9A0595"/>
    <w:rsid w:val="5DBD75A9"/>
    <w:rsid w:val="5DE0040A"/>
    <w:rsid w:val="5DE368DD"/>
    <w:rsid w:val="5DE8137B"/>
    <w:rsid w:val="5E094272"/>
    <w:rsid w:val="5E1D7F30"/>
    <w:rsid w:val="5E3A5402"/>
    <w:rsid w:val="5E7C7235"/>
    <w:rsid w:val="5E7F51FD"/>
    <w:rsid w:val="5E8A5712"/>
    <w:rsid w:val="5E907CC0"/>
    <w:rsid w:val="5E9C39A8"/>
    <w:rsid w:val="5EBE4293"/>
    <w:rsid w:val="5ECE7CD2"/>
    <w:rsid w:val="5ED703BB"/>
    <w:rsid w:val="5EFC365C"/>
    <w:rsid w:val="5F156412"/>
    <w:rsid w:val="5F1D24AE"/>
    <w:rsid w:val="5F765916"/>
    <w:rsid w:val="5F8475A3"/>
    <w:rsid w:val="5F9937B2"/>
    <w:rsid w:val="600220F7"/>
    <w:rsid w:val="60244191"/>
    <w:rsid w:val="608A5EC3"/>
    <w:rsid w:val="60C86648"/>
    <w:rsid w:val="612A0B00"/>
    <w:rsid w:val="61451F2B"/>
    <w:rsid w:val="61692D57"/>
    <w:rsid w:val="61C25BE4"/>
    <w:rsid w:val="61D7494E"/>
    <w:rsid w:val="61F0799A"/>
    <w:rsid w:val="62146848"/>
    <w:rsid w:val="62204C29"/>
    <w:rsid w:val="6246599D"/>
    <w:rsid w:val="62471E42"/>
    <w:rsid w:val="625513C6"/>
    <w:rsid w:val="62B35DC9"/>
    <w:rsid w:val="62B820E6"/>
    <w:rsid w:val="62E50FC7"/>
    <w:rsid w:val="62F34468"/>
    <w:rsid w:val="62FD297C"/>
    <w:rsid w:val="63067D6A"/>
    <w:rsid w:val="630B669A"/>
    <w:rsid w:val="631D7C71"/>
    <w:rsid w:val="632B1DD2"/>
    <w:rsid w:val="63345E9A"/>
    <w:rsid w:val="63353E19"/>
    <w:rsid w:val="634A7574"/>
    <w:rsid w:val="63560671"/>
    <w:rsid w:val="635C578E"/>
    <w:rsid w:val="639D76AB"/>
    <w:rsid w:val="63B0663F"/>
    <w:rsid w:val="63C05042"/>
    <w:rsid w:val="63C50F0F"/>
    <w:rsid w:val="63DC3FA9"/>
    <w:rsid w:val="64062072"/>
    <w:rsid w:val="642C5403"/>
    <w:rsid w:val="64581501"/>
    <w:rsid w:val="645C06CB"/>
    <w:rsid w:val="64864D89"/>
    <w:rsid w:val="64882719"/>
    <w:rsid w:val="64A41115"/>
    <w:rsid w:val="64EE5E2E"/>
    <w:rsid w:val="651105B9"/>
    <w:rsid w:val="651B74A0"/>
    <w:rsid w:val="65316669"/>
    <w:rsid w:val="65396F23"/>
    <w:rsid w:val="655A5E12"/>
    <w:rsid w:val="65671012"/>
    <w:rsid w:val="65983D3E"/>
    <w:rsid w:val="65984ACE"/>
    <w:rsid w:val="65997C7F"/>
    <w:rsid w:val="65C40980"/>
    <w:rsid w:val="65CA5E9C"/>
    <w:rsid w:val="65DB3E0F"/>
    <w:rsid w:val="665B54FE"/>
    <w:rsid w:val="665F4F8D"/>
    <w:rsid w:val="66683FE1"/>
    <w:rsid w:val="66E73C2F"/>
    <w:rsid w:val="66FD553B"/>
    <w:rsid w:val="67017B03"/>
    <w:rsid w:val="67287433"/>
    <w:rsid w:val="675131F4"/>
    <w:rsid w:val="676F58F4"/>
    <w:rsid w:val="67C421E7"/>
    <w:rsid w:val="67C75846"/>
    <w:rsid w:val="68246BFD"/>
    <w:rsid w:val="682E6C0B"/>
    <w:rsid w:val="684108D9"/>
    <w:rsid w:val="68536A60"/>
    <w:rsid w:val="687E630D"/>
    <w:rsid w:val="68831B76"/>
    <w:rsid w:val="68AB6763"/>
    <w:rsid w:val="68B9060E"/>
    <w:rsid w:val="68E04AB9"/>
    <w:rsid w:val="68F3134D"/>
    <w:rsid w:val="68F83567"/>
    <w:rsid w:val="68F83F5F"/>
    <w:rsid w:val="68F90635"/>
    <w:rsid w:val="690144ED"/>
    <w:rsid w:val="690228BC"/>
    <w:rsid w:val="69306A7B"/>
    <w:rsid w:val="699825AB"/>
    <w:rsid w:val="69B6319D"/>
    <w:rsid w:val="69BD75E0"/>
    <w:rsid w:val="69C932E6"/>
    <w:rsid w:val="69CB2B69"/>
    <w:rsid w:val="6A2B0DC9"/>
    <w:rsid w:val="6A2E5E70"/>
    <w:rsid w:val="6A431B47"/>
    <w:rsid w:val="6A433F13"/>
    <w:rsid w:val="6A53180A"/>
    <w:rsid w:val="6A6A5875"/>
    <w:rsid w:val="6A8104D8"/>
    <w:rsid w:val="6AE62323"/>
    <w:rsid w:val="6AF11411"/>
    <w:rsid w:val="6AF9194B"/>
    <w:rsid w:val="6B58028E"/>
    <w:rsid w:val="6B767770"/>
    <w:rsid w:val="6BA11F46"/>
    <w:rsid w:val="6BAD7652"/>
    <w:rsid w:val="6BAE6EDD"/>
    <w:rsid w:val="6C143A08"/>
    <w:rsid w:val="6CC85DA9"/>
    <w:rsid w:val="6CEE08FE"/>
    <w:rsid w:val="6D283028"/>
    <w:rsid w:val="6D375021"/>
    <w:rsid w:val="6D3C3CEB"/>
    <w:rsid w:val="6D5E744C"/>
    <w:rsid w:val="6D651FE1"/>
    <w:rsid w:val="6D760037"/>
    <w:rsid w:val="6D843964"/>
    <w:rsid w:val="6DBC00DE"/>
    <w:rsid w:val="6DCE474C"/>
    <w:rsid w:val="6DD342A9"/>
    <w:rsid w:val="6DD413BE"/>
    <w:rsid w:val="6DD7350F"/>
    <w:rsid w:val="6E211B16"/>
    <w:rsid w:val="6E45362B"/>
    <w:rsid w:val="6E4F77F4"/>
    <w:rsid w:val="6E550066"/>
    <w:rsid w:val="6E7175C4"/>
    <w:rsid w:val="6EB13B42"/>
    <w:rsid w:val="6ED56B1C"/>
    <w:rsid w:val="6F321316"/>
    <w:rsid w:val="6F4931A0"/>
    <w:rsid w:val="6F661A72"/>
    <w:rsid w:val="6F681764"/>
    <w:rsid w:val="6F6B0860"/>
    <w:rsid w:val="6F8306AD"/>
    <w:rsid w:val="6F8C6BDE"/>
    <w:rsid w:val="6F8D5088"/>
    <w:rsid w:val="6FAC500E"/>
    <w:rsid w:val="6FD1773B"/>
    <w:rsid w:val="6FE93EB0"/>
    <w:rsid w:val="701A6D69"/>
    <w:rsid w:val="701D6FC6"/>
    <w:rsid w:val="70430E94"/>
    <w:rsid w:val="706B508A"/>
    <w:rsid w:val="707152E4"/>
    <w:rsid w:val="70815FF0"/>
    <w:rsid w:val="70842876"/>
    <w:rsid w:val="709A7980"/>
    <w:rsid w:val="709B75D9"/>
    <w:rsid w:val="70AD6FA2"/>
    <w:rsid w:val="70BD685C"/>
    <w:rsid w:val="70F857DA"/>
    <w:rsid w:val="713E30C1"/>
    <w:rsid w:val="714E38A8"/>
    <w:rsid w:val="71556A99"/>
    <w:rsid w:val="71674260"/>
    <w:rsid w:val="71E85D3C"/>
    <w:rsid w:val="72191906"/>
    <w:rsid w:val="72446832"/>
    <w:rsid w:val="72526CF7"/>
    <w:rsid w:val="728C3581"/>
    <w:rsid w:val="72C33939"/>
    <w:rsid w:val="730E0337"/>
    <w:rsid w:val="7325383F"/>
    <w:rsid w:val="73290B24"/>
    <w:rsid w:val="7343488F"/>
    <w:rsid w:val="736B25D4"/>
    <w:rsid w:val="73C372CA"/>
    <w:rsid w:val="74050209"/>
    <w:rsid w:val="74484A19"/>
    <w:rsid w:val="747A254F"/>
    <w:rsid w:val="74987D58"/>
    <w:rsid w:val="74BE7A92"/>
    <w:rsid w:val="74EE1D22"/>
    <w:rsid w:val="751302CD"/>
    <w:rsid w:val="75302385"/>
    <w:rsid w:val="75365D87"/>
    <w:rsid w:val="75545E72"/>
    <w:rsid w:val="757D410D"/>
    <w:rsid w:val="75855062"/>
    <w:rsid w:val="75AA6806"/>
    <w:rsid w:val="75B353DC"/>
    <w:rsid w:val="75CA0206"/>
    <w:rsid w:val="763B6F35"/>
    <w:rsid w:val="76592619"/>
    <w:rsid w:val="76653B7B"/>
    <w:rsid w:val="76790FB1"/>
    <w:rsid w:val="769B093C"/>
    <w:rsid w:val="76C64B6C"/>
    <w:rsid w:val="76D52F89"/>
    <w:rsid w:val="76D70EBA"/>
    <w:rsid w:val="76D87B70"/>
    <w:rsid w:val="76E42A0C"/>
    <w:rsid w:val="76F43E33"/>
    <w:rsid w:val="77086527"/>
    <w:rsid w:val="773423DA"/>
    <w:rsid w:val="77527F0F"/>
    <w:rsid w:val="775850AF"/>
    <w:rsid w:val="77AA776C"/>
    <w:rsid w:val="782A6AC8"/>
    <w:rsid w:val="789256B1"/>
    <w:rsid w:val="789C7D27"/>
    <w:rsid w:val="78B24AA0"/>
    <w:rsid w:val="78C54E74"/>
    <w:rsid w:val="78E627C6"/>
    <w:rsid w:val="78F43FE9"/>
    <w:rsid w:val="790954DA"/>
    <w:rsid w:val="792E2C6C"/>
    <w:rsid w:val="79504045"/>
    <w:rsid w:val="79621042"/>
    <w:rsid w:val="799F60E4"/>
    <w:rsid w:val="79BF6C25"/>
    <w:rsid w:val="79C14EFA"/>
    <w:rsid w:val="7A304B78"/>
    <w:rsid w:val="7A3B5047"/>
    <w:rsid w:val="7A5965AF"/>
    <w:rsid w:val="7A724B84"/>
    <w:rsid w:val="7AA15E8B"/>
    <w:rsid w:val="7AB26BD7"/>
    <w:rsid w:val="7AED5CA9"/>
    <w:rsid w:val="7B0D1803"/>
    <w:rsid w:val="7B1C49C3"/>
    <w:rsid w:val="7B2D7140"/>
    <w:rsid w:val="7B2F3497"/>
    <w:rsid w:val="7B526381"/>
    <w:rsid w:val="7B9175B5"/>
    <w:rsid w:val="7BBE5A83"/>
    <w:rsid w:val="7BF64770"/>
    <w:rsid w:val="7C127A20"/>
    <w:rsid w:val="7C1A796A"/>
    <w:rsid w:val="7C5A202A"/>
    <w:rsid w:val="7C98741C"/>
    <w:rsid w:val="7CCA73AC"/>
    <w:rsid w:val="7D5B61C5"/>
    <w:rsid w:val="7D63567A"/>
    <w:rsid w:val="7D697134"/>
    <w:rsid w:val="7D74038E"/>
    <w:rsid w:val="7D9B7FFB"/>
    <w:rsid w:val="7D9D3CEE"/>
    <w:rsid w:val="7DB320CF"/>
    <w:rsid w:val="7DBC0D75"/>
    <w:rsid w:val="7DC07FCF"/>
    <w:rsid w:val="7DC210FA"/>
    <w:rsid w:val="7DD67003"/>
    <w:rsid w:val="7DE40DC9"/>
    <w:rsid w:val="7DF5484C"/>
    <w:rsid w:val="7E084391"/>
    <w:rsid w:val="7E413C0D"/>
    <w:rsid w:val="7E425019"/>
    <w:rsid w:val="7E763C67"/>
    <w:rsid w:val="7EB74630"/>
    <w:rsid w:val="7EBB0DF6"/>
    <w:rsid w:val="7EBE0DBA"/>
    <w:rsid w:val="7ECB3DB2"/>
    <w:rsid w:val="7EE6628C"/>
    <w:rsid w:val="7F117B61"/>
    <w:rsid w:val="7F1B4B4D"/>
    <w:rsid w:val="7F326A98"/>
    <w:rsid w:val="7F42049F"/>
    <w:rsid w:val="7F4B5F38"/>
    <w:rsid w:val="7F4C7203"/>
    <w:rsid w:val="7F87604B"/>
    <w:rsid w:val="7FBF0442"/>
    <w:rsid w:val="7FCC5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62"/>
    <w:qFormat/>
    <w:uiPriority w:val="0"/>
    <w:pPr>
      <w:keepNext/>
      <w:keepLines/>
      <w:numPr>
        <w:ilvl w:val="0"/>
        <w:numId w:val="1"/>
      </w:numPr>
      <w:spacing w:before="240" w:line="480" w:lineRule="exact"/>
      <w:jc w:val="center"/>
      <w:outlineLvl w:val="0"/>
    </w:pPr>
    <w:rPr>
      <w:rFonts w:eastAsia="黑体" w:asciiTheme="minorAscii" w:hAnsiTheme="minorAscii"/>
      <w:bCs/>
      <w:kern w:val="44"/>
      <w:sz w:val="44"/>
      <w:szCs w:val="44"/>
    </w:rPr>
  </w:style>
  <w:style w:type="paragraph" w:styleId="4">
    <w:name w:val="heading 2"/>
    <w:basedOn w:val="1"/>
    <w:next w:val="1"/>
    <w:link w:val="63"/>
    <w:qFormat/>
    <w:uiPriority w:val="0"/>
    <w:pPr>
      <w:keepNext/>
      <w:keepLines/>
      <w:numPr>
        <w:ilvl w:val="1"/>
        <w:numId w:val="1"/>
      </w:numPr>
      <w:spacing w:beforeLines="50" w:line="360" w:lineRule="auto"/>
      <w:outlineLvl w:val="1"/>
    </w:pPr>
    <w:rPr>
      <w:rFonts w:ascii="Times New Roman" w:hAnsi="Times New Roman" w:eastAsia="宋体"/>
      <w:b/>
      <w:bCs/>
      <w:sz w:val="28"/>
      <w:szCs w:val="28"/>
    </w:rPr>
  </w:style>
  <w:style w:type="paragraph" w:styleId="5">
    <w:name w:val="heading 3"/>
    <w:basedOn w:val="1"/>
    <w:next w:val="1"/>
    <w:link w:val="64"/>
    <w:qFormat/>
    <w:uiPriority w:val="0"/>
    <w:pPr>
      <w:keepNext/>
      <w:keepLines/>
      <w:numPr>
        <w:ilvl w:val="2"/>
        <w:numId w:val="1"/>
      </w:numPr>
      <w:spacing w:line="413" w:lineRule="auto"/>
      <w:outlineLvl w:val="2"/>
    </w:pPr>
    <w:rPr>
      <w:b/>
      <w:bCs/>
      <w:sz w:val="32"/>
      <w:szCs w:val="32"/>
    </w:rPr>
  </w:style>
  <w:style w:type="paragraph" w:styleId="6">
    <w:name w:val="heading 4"/>
    <w:basedOn w:val="1"/>
    <w:next w:val="1"/>
    <w:link w:val="53"/>
    <w:unhideWhenUsed/>
    <w:qFormat/>
    <w:uiPriority w:val="0"/>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9">
    <w:name w:val="Default Paragraph Font"/>
    <w:semiHidden/>
    <w:unhideWhenUsed/>
    <w:qFormat/>
    <w:uiPriority w:val="1"/>
  </w:style>
  <w:style w:type="table" w:default="1" w:styleId="39">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1"/>
    <w:link w:val="47"/>
    <w:unhideWhenUsed/>
    <w:qFormat/>
    <w:uiPriority w:val="0"/>
    <w:pPr>
      <w:ind w:firstLine="420" w:firstLineChars="200"/>
    </w:pPr>
    <w:rPr>
      <w:rFonts w:ascii="Times New Roman" w:hAnsi="Times New Roman" w:eastAsia="宋体" w:cs="Times New Roman"/>
      <w:kern w:val="0"/>
      <w:sz w:val="20"/>
      <w:szCs w:val="20"/>
    </w:rPr>
  </w:style>
  <w:style w:type="paragraph" w:styleId="12">
    <w:name w:val="Body Text First Indent"/>
    <w:basedOn w:val="13"/>
    <w:qFormat/>
    <w:uiPriority w:val="0"/>
    <w:pPr>
      <w:ind w:firstLine="420" w:firstLineChars="100"/>
    </w:pPr>
    <w:rPr>
      <w:szCs w:val="22"/>
    </w:rPr>
  </w:style>
  <w:style w:type="paragraph" w:styleId="13">
    <w:name w:val="Body Text"/>
    <w:basedOn w:val="1"/>
    <w:next w:val="1"/>
    <w:unhideWhenUsed/>
    <w:qFormat/>
    <w:uiPriority w:val="0"/>
    <w:pPr>
      <w:spacing w:after="120"/>
    </w:pPr>
  </w:style>
  <w:style w:type="paragraph" w:styleId="14">
    <w:name w:val="caption"/>
    <w:basedOn w:val="1"/>
    <w:next w:val="1"/>
    <w:link w:val="126"/>
    <w:qFormat/>
    <w:uiPriority w:val="0"/>
    <w:pPr>
      <w:spacing w:beforeLines="50"/>
    </w:pPr>
    <w:rPr>
      <w:rFonts w:ascii="Arial" w:hAnsi="Arial" w:eastAsia="黑体" w:cs="Arial"/>
      <w:sz w:val="20"/>
      <w:szCs w:val="20"/>
    </w:rPr>
  </w:style>
  <w:style w:type="paragraph" w:styleId="15">
    <w:name w:val="annotation text"/>
    <w:basedOn w:val="1"/>
    <w:qFormat/>
    <w:uiPriority w:val="0"/>
    <w:pPr>
      <w:jc w:val="left"/>
    </w:pPr>
  </w:style>
  <w:style w:type="paragraph" w:styleId="16">
    <w:name w:val="Body Text Indent"/>
    <w:basedOn w:val="1"/>
    <w:unhideWhenUsed/>
    <w:qFormat/>
    <w:uiPriority w:val="0"/>
    <w:pPr>
      <w:spacing w:after="120"/>
      <w:ind w:left="420" w:leftChars="200"/>
    </w:pPr>
  </w:style>
  <w:style w:type="paragraph" w:styleId="17">
    <w:name w:val="toc 3"/>
    <w:basedOn w:val="1"/>
    <w:next w:val="1"/>
    <w:qFormat/>
    <w:uiPriority w:val="0"/>
    <w:pPr>
      <w:ind w:left="840" w:leftChars="400"/>
    </w:pPr>
  </w:style>
  <w:style w:type="paragraph" w:styleId="18">
    <w:name w:val="Plain Text"/>
    <w:basedOn w:val="1"/>
    <w:qFormat/>
    <w:uiPriority w:val="0"/>
    <w:pPr>
      <w:snapToGrid w:val="0"/>
      <w:spacing w:line="288" w:lineRule="auto"/>
      <w:ind w:firstLine="425"/>
    </w:pPr>
  </w:style>
  <w:style w:type="paragraph" w:styleId="19">
    <w:name w:val="Body Text Indent 2"/>
    <w:basedOn w:val="1"/>
    <w:link w:val="48"/>
    <w:qFormat/>
    <w:uiPriority w:val="0"/>
    <w:pPr>
      <w:spacing w:after="120" w:line="480" w:lineRule="auto"/>
      <w:ind w:left="420" w:leftChars="200"/>
    </w:pPr>
  </w:style>
  <w:style w:type="paragraph" w:styleId="20">
    <w:name w:val="Balloon Text"/>
    <w:basedOn w:val="1"/>
    <w:link w:val="46"/>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rPr>
  </w:style>
  <w:style w:type="paragraph" w:styleId="22">
    <w:name w:val="Body Text First Indent 2"/>
    <w:basedOn w:val="16"/>
    <w:next w:val="1"/>
    <w:qFormat/>
    <w:uiPriority w:val="0"/>
    <w:pPr>
      <w:ind w:firstLine="420"/>
    </w:p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4">
    <w:name w:val="toc 1"/>
    <w:basedOn w:val="1"/>
    <w:next w:val="1"/>
    <w:qFormat/>
    <w:uiPriority w:val="0"/>
  </w:style>
  <w:style w:type="paragraph" w:styleId="25">
    <w:name w:val="Subtitle"/>
    <w:basedOn w:val="1"/>
    <w:next w:val="1"/>
    <w:link w:val="54"/>
    <w:qFormat/>
    <w:uiPriority w:val="0"/>
    <w:pPr>
      <w:adjustRightInd w:val="0"/>
      <w:snapToGrid w:val="0"/>
      <w:spacing w:beforeLines="100" w:afterLines="50"/>
      <w:jc w:val="center"/>
    </w:pPr>
    <w:rPr>
      <w:rFonts w:eastAsia="黑体" w:cs="Arial"/>
      <w:bCs/>
      <w:kern w:val="28"/>
      <w:szCs w:val="22"/>
    </w:rPr>
  </w:style>
  <w:style w:type="paragraph" w:styleId="26">
    <w:name w:val="toc 2"/>
    <w:basedOn w:val="1"/>
    <w:next w:val="1"/>
    <w:unhideWhenUsed/>
    <w:qFormat/>
    <w:uiPriority w:val="39"/>
    <w:pPr>
      <w:ind w:left="420" w:leftChars="200"/>
    </w:pPr>
  </w:style>
  <w:style w:type="paragraph" w:styleId="2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8">
    <w:name w:val="Title"/>
    <w:basedOn w:val="1"/>
    <w:next w:val="1"/>
    <w:qFormat/>
    <w:uiPriority w:val="99"/>
    <w:pPr>
      <w:spacing w:before="240" w:after="60"/>
      <w:jc w:val="center"/>
      <w:outlineLvl w:val="0"/>
    </w:pPr>
    <w:rPr>
      <w:rFonts w:ascii="Cambria" w:hAnsi="Cambria" w:cs="Times New Roman"/>
      <w:b/>
      <w:bCs/>
      <w:sz w:val="32"/>
      <w:szCs w:val="32"/>
    </w:r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basedOn w:val="29"/>
    <w:qFormat/>
    <w:uiPriority w:val="0"/>
    <w:rPr>
      <w:color w:val="444444"/>
      <w:u w:val="none"/>
    </w:rPr>
  </w:style>
  <w:style w:type="character" w:styleId="33">
    <w:name w:val="Emphasis"/>
    <w:basedOn w:val="29"/>
    <w:qFormat/>
    <w:uiPriority w:val="0"/>
  </w:style>
  <w:style w:type="character" w:styleId="34">
    <w:name w:val="HTML Definition"/>
    <w:basedOn w:val="29"/>
    <w:qFormat/>
    <w:uiPriority w:val="0"/>
    <w:rPr>
      <w:i/>
      <w:iCs/>
    </w:rPr>
  </w:style>
  <w:style w:type="character" w:styleId="35">
    <w:name w:val="Hyperlink"/>
    <w:basedOn w:val="29"/>
    <w:qFormat/>
    <w:uiPriority w:val="0"/>
    <w:rPr>
      <w:color w:val="444444"/>
      <w:u w:val="none"/>
    </w:rPr>
  </w:style>
  <w:style w:type="character" w:styleId="36">
    <w:name w:val="HTML Code"/>
    <w:basedOn w:val="29"/>
    <w:qFormat/>
    <w:uiPriority w:val="0"/>
    <w:rPr>
      <w:rFonts w:ascii="Consolas" w:hAnsi="Consolas" w:eastAsia="Consolas" w:cs="Consolas"/>
      <w:color w:val="C7254E"/>
      <w:sz w:val="21"/>
      <w:szCs w:val="21"/>
      <w:shd w:val="clear" w:fill="F9F2F4"/>
    </w:rPr>
  </w:style>
  <w:style w:type="character" w:styleId="37">
    <w:name w:val="HTML Keyboard"/>
    <w:basedOn w:val="29"/>
    <w:qFormat/>
    <w:uiPriority w:val="0"/>
    <w:rPr>
      <w:rFonts w:hint="default" w:ascii="Consolas" w:hAnsi="Consolas" w:eastAsia="Consolas" w:cs="Consolas"/>
      <w:color w:val="FFFFFF"/>
      <w:sz w:val="21"/>
      <w:szCs w:val="21"/>
      <w:shd w:val="clear" w:fill="333333"/>
    </w:rPr>
  </w:style>
  <w:style w:type="character" w:styleId="38">
    <w:name w:val="HTML Sample"/>
    <w:basedOn w:val="29"/>
    <w:qFormat/>
    <w:uiPriority w:val="0"/>
    <w:rPr>
      <w:rFonts w:hint="default" w:ascii="Consolas" w:hAnsi="Consolas" w:eastAsia="Consolas" w:cs="Consolas"/>
      <w:sz w:val="21"/>
      <w:szCs w:val="21"/>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表格内容"/>
    <w:basedOn w:val="1"/>
    <w:link w:val="52"/>
    <w:qFormat/>
    <w:uiPriority w:val="0"/>
    <w:pPr>
      <w:tabs>
        <w:tab w:val="left" w:pos="2340"/>
      </w:tabs>
      <w:snapToGrid w:val="0"/>
      <w:jc w:val="center"/>
    </w:pPr>
    <w:rPr>
      <w:szCs w:val="22"/>
    </w:rPr>
  </w:style>
  <w:style w:type="paragraph" w:customStyle="1" w:styleId="43">
    <w:name w:val="表格内容。"/>
    <w:basedOn w:val="44"/>
    <w:link w:val="56"/>
    <w:qFormat/>
    <w:uiPriority w:val="0"/>
    <w:pPr>
      <w:spacing w:before="0" w:after="0"/>
    </w:pPr>
    <w:rPr>
      <w:rFonts w:hAnsi="Times New Roman"/>
      <w:szCs w:val="24"/>
    </w:rPr>
  </w:style>
  <w:style w:type="paragraph" w:customStyle="1" w:styleId="44">
    <w:name w:val="表格修改"/>
    <w:basedOn w:val="1"/>
    <w:qFormat/>
    <w:uiPriority w:val="0"/>
    <w:pPr>
      <w:spacing w:before="40" w:after="40"/>
      <w:jc w:val="center"/>
    </w:pPr>
    <w:rPr>
      <w:rFonts w:hAnsi="宋体"/>
      <w:szCs w:val="22"/>
    </w:rPr>
  </w:style>
  <w:style w:type="paragraph" w:customStyle="1" w:styleId="45">
    <w:name w:val="表内容"/>
    <w:basedOn w:val="18"/>
    <w:qFormat/>
    <w:uiPriority w:val="0"/>
    <w:pPr>
      <w:snapToGrid/>
      <w:spacing w:line="240" w:lineRule="auto"/>
      <w:ind w:firstLine="0"/>
      <w:jc w:val="center"/>
    </w:pPr>
    <w:rPr>
      <w:szCs w:val="22"/>
    </w:rPr>
  </w:style>
  <w:style w:type="character" w:customStyle="1" w:styleId="46">
    <w:name w:val="批注框文本 字符"/>
    <w:basedOn w:val="29"/>
    <w:link w:val="20"/>
    <w:qFormat/>
    <w:uiPriority w:val="0"/>
    <w:rPr>
      <w:rFonts w:asciiTheme="minorHAnsi" w:hAnsiTheme="minorHAnsi" w:eastAsiaTheme="minorEastAsia" w:cstheme="minorBidi"/>
      <w:kern w:val="2"/>
      <w:sz w:val="18"/>
      <w:szCs w:val="18"/>
    </w:rPr>
  </w:style>
  <w:style w:type="character" w:customStyle="1" w:styleId="47">
    <w:name w:val="正文缩进 字符"/>
    <w:link w:val="2"/>
    <w:qFormat/>
    <w:uiPriority w:val="0"/>
    <w:rPr>
      <w:rFonts w:ascii="Times New Roman" w:hAnsi="Times New Roman"/>
    </w:rPr>
  </w:style>
  <w:style w:type="character" w:customStyle="1" w:styleId="48">
    <w:name w:val="正文文本缩进 2 字符"/>
    <w:basedOn w:val="29"/>
    <w:link w:val="19"/>
    <w:qFormat/>
    <w:uiPriority w:val="0"/>
    <w:rPr>
      <w:rFonts w:asciiTheme="minorHAnsi" w:hAnsiTheme="minorHAnsi" w:eastAsiaTheme="minorEastAsia" w:cstheme="minorBidi"/>
      <w:kern w:val="2"/>
      <w:sz w:val="21"/>
      <w:szCs w:val="24"/>
    </w:rPr>
  </w:style>
  <w:style w:type="paragraph" w:customStyle="1" w:styleId="49">
    <w:name w:val="环保表内字（小五）"/>
    <w:basedOn w:val="1"/>
    <w:link w:val="50"/>
    <w:qFormat/>
    <w:uiPriority w:val="0"/>
    <w:pPr>
      <w:framePr w:hSpace="180" w:wrap="around" w:vAnchor="text" w:hAnchor="text" w:xAlign="center" w:y="1"/>
      <w:jc w:val="center"/>
    </w:pPr>
    <w:rPr>
      <w:rFonts w:ascii="宋体" w:hAnsi="宋体" w:eastAsia="宋体" w:cs="Times New Roman"/>
      <w:szCs w:val="21"/>
    </w:rPr>
  </w:style>
  <w:style w:type="character" w:customStyle="1" w:styleId="50">
    <w:name w:val="环保表内字（小五） Char"/>
    <w:basedOn w:val="29"/>
    <w:link w:val="49"/>
    <w:qFormat/>
    <w:uiPriority w:val="0"/>
    <w:rPr>
      <w:rFonts w:ascii="宋体" w:hAnsi="宋体"/>
      <w:kern w:val="2"/>
      <w:sz w:val="21"/>
      <w:szCs w:val="21"/>
    </w:rPr>
  </w:style>
  <w:style w:type="character" w:styleId="51">
    <w:name w:val="Placeholder Text"/>
    <w:basedOn w:val="29"/>
    <w:unhideWhenUsed/>
    <w:qFormat/>
    <w:uiPriority w:val="99"/>
    <w:rPr>
      <w:color w:val="808080"/>
    </w:rPr>
  </w:style>
  <w:style w:type="character" w:customStyle="1" w:styleId="52">
    <w:name w:val="表格内容 Char"/>
    <w:basedOn w:val="29"/>
    <w:link w:val="42"/>
    <w:qFormat/>
    <w:uiPriority w:val="0"/>
    <w:rPr>
      <w:rFonts w:asciiTheme="minorHAnsi" w:hAnsiTheme="minorHAnsi" w:eastAsiaTheme="minorEastAsia" w:cstheme="minorBidi"/>
      <w:kern w:val="2"/>
      <w:sz w:val="21"/>
      <w:szCs w:val="22"/>
    </w:rPr>
  </w:style>
  <w:style w:type="character" w:customStyle="1" w:styleId="53">
    <w:name w:val="标题 4 字符"/>
    <w:basedOn w:val="29"/>
    <w:link w:val="6"/>
    <w:semiHidden/>
    <w:qFormat/>
    <w:uiPriority w:val="0"/>
    <w:rPr>
      <w:rFonts w:asciiTheme="majorHAnsi" w:hAnsiTheme="majorHAnsi" w:eastAsiaTheme="majorEastAsia" w:cstheme="majorBidi"/>
      <w:b/>
      <w:bCs/>
      <w:kern w:val="2"/>
      <w:sz w:val="28"/>
      <w:szCs w:val="28"/>
    </w:rPr>
  </w:style>
  <w:style w:type="character" w:customStyle="1" w:styleId="54">
    <w:name w:val="副标题 字符"/>
    <w:link w:val="25"/>
    <w:qFormat/>
    <w:uiPriority w:val="0"/>
    <w:rPr>
      <w:rFonts w:eastAsia="黑体" w:cs="Arial" w:asciiTheme="minorHAnsi" w:hAnsiTheme="minorHAnsi"/>
      <w:bCs/>
      <w:kern w:val="28"/>
      <w:sz w:val="21"/>
      <w:szCs w:val="22"/>
    </w:rPr>
  </w:style>
  <w:style w:type="paragraph" w:customStyle="1" w:styleId="55">
    <w:name w:val="清源正文"/>
    <w:basedOn w:val="1"/>
    <w:qFormat/>
    <w:uiPriority w:val="0"/>
    <w:pPr>
      <w:spacing w:line="440" w:lineRule="exact"/>
      <w:ind w:firstLine="480" w:firstLineChars="200"/>
    </w:pPr>
    <w:rPr>
      <w:rFonts w:ascii="宋体" w:hAnsi="宋体" w:eastAsia="宋体" w:cs="Times New Roman"/>
      <w:kern w:val="0"/>
      <w:sz w:val="24"/>
      <w:szCs w:val="28"/>
    </w:rPr>
  </w:style>
  <w:style w:type="character" w:customStyle="1" w:styleId="56">
    <w:name w:val="表格内容。 Char"/>
    <w:basedOn w:val="29"/>
    <w:link w:val="43"/>
    <w:qFormat/>
    <w:uiPriority w:val="0"/>
    <w:rPr>
      <w:rFonts w:hAnsi="Times New Roman" w:asciiTheme="minorHAnsi" w:eastAsiaTheme="minorEastAsia" w:cstheme="minorBidi"/>
      <w:kern w:val="2"/>
      <w:sz w:val="21"/>
      <w:szCs w:val="24"/>
    </w:rPr>
  </w:style>
  <w:style w:type="paragraph" w:customStyle="1" w:styleId="57">
    <w:name w:val="图标标题"/>
    <w:basedOn w:val="1"/>
    <w:qFormat/>
    <w:uiPriority w:val="0"/>
    <w:pPr>
      <w:spacing w:beforeLines="30"/>
      <w:jc w:val="center"/>
    </w:pPr>
    <w:rPr>
      <w:rFonts w:eastAsia="黑体"/>
      <w:b/>
      <w:szCs w:val="21"/>
    </w:rPr>
  </w:style>
  <w:style w:type="paragraph" w:customStyle="1" w:styleId="58">
    <w:name w:val="表格文字"/>
    <w:basedOn w:val="59"/>
    <w:next w:val="1"/>
    <w:qFormat/>
    <w:uiPriority w:val="0"/>
    <w:pPr>
      <w:autoSpaceDE w:val="0"/>
      <w:autoSpaceDN w:val="0"/>
      <w:adjustRightInd w:val="0"/>
      <w:jc w:val="center"/>
    </w:pPr>
    <w:rPr>
      <w:szCs w:val="21"/>
    </w:rPr>
  </w:style>
  <w:style w:type="paragraph" w:customStyle="1" w:styleId="59">
    <w:name w:val="表头"/>
    <w:basedOn w:val="13"/>
    <w:next w:val="1"/>
    <w:qFormat/>
    <w:uiPriority w:val="0"/>
    <w:pPr>
      <w:adjustRightInd w:val="0"/>
      <w:snapToGrid w:val="0"/>
      <w:spacing w:before="60" w:after="60" w:line="480" w:lineRule="exact"/>
      <w:ind w:firstLine="0" w:firstLineChars="0"/>
      <w:jc w:val="center"/>
    </w:pPr>
    <w:rPr>
      <w:rFonts w:eastAsia="仿宋_GB2312" w:asciiTheme="minorHAnsi" w:hAnsiTheme="minorHAnsi" w:cstheme="minorBidi"/>
      <w:b/>
      <w:snapToGrid w:val="0"/>
      <w:kern w:val="2"/>
      <w:sz w:val="30"/>
      <w:szCs w:val="22"/>
    </w:rPr>
  </w:style>
  <w:style w:type="paragraph" w:customStyle="1" w:styleId="60">
    <w:name w:val="Default"/>
    <w:qFormat/>
    <w:uiPriority w:val="0"/>
    <w:pPr>
      <w:widowControl w:val="0"/>
      <w:autoSpaceDE w:val="0"/>
      <w:autoSpaceDN w:val="0"/>
      <w:adjustRightInd w:val="0"/>
    </w:pPr>
    <w:rPr>
      <w:rFonts w:ascii="华文新魏" w:hAnsi="Times New Roman" w:eastAsia="华文新魏" w:cs="华文新魏"/>
      <w:color w:val="000000"/>
      <w:sz w:val="24"/>
      <w:szCs w:val="24"/>
      <w:lang w:val="en-US" w:eastAsia="zh-CN" w:bidi="ar-SA"/>
    </w:rPr>
  </w:style>
  <w:style w:type="paragraph" w:customStyle="1" w:styleId="61">
    <w:name w:val="正文格式"/>
    <w:basedOn w:val="1"/>
    <w:qFormat/>
    <w:uiPriority w:val="0"/>
    <w:pPr>
      <w:ind w:firstLine="480"/>
    </w:pPr>
    <w:rPr>
      <w:rFonts w:hAnsi="宋体" w:cs="宋体"/>
      <w:szCs w:val="22"/>
    </w:rPr>
  </w:style>
  <w:style w:type="character" w:customStyle="1" w:styleId="62">
    <w:name w:val="标题 1 字符"/>
    <w:link w:val="3"/>
    <w:qFormat/>
    <w:uiPriority w:val="0"/>
    <w:rPr>
      <w:rFonts w:eastAsia="黑体" w:asciiTheme="minorAscii" w:hAnsiTheme="minorAscii"/>
      <w:bCs/>
      <w:kern w:val="44"/>
      <w:sz w:val="44"/>
      <w:szCs w:val="44"/>
    </w:rPr>
  </w:style>
  <w:style w:type="character" w:customStyle="1" w:styleId="63">
    <w:name w:val="标题 2 字符"/>
    <w:link w:val="4"/>
    <w:qFormat/>
    <w:uiPriority w:val="0"/>
    <w:rPr>
      <w:rFonts w:ascii="Times New Roman" w:hAnsi="Times New Roman" w:eastAsia="宋体"/>
      <w:b/>
      <w:bCs/>
      <w:sz w:val="28"/>
      <w:szCs w:val="28"/>
    </w:rPr>
  </w:style>
  <w:style w:type="character" w:customStyle="1" w:styleId="64">
    <w:name w:val="标题 3 字符"/>
    <w:link w:val="5"/>
    <w:qFormat/>
    <w:uiPriority w:val="0"/>
    <w:rPr>
      <w:b/>
      <w:bCs/>
      <w:sz w:val="32"/>
      <w:szCs w:val="32"/>
    </w:rPr>
  </w:style>
  <w:style w:type="table" w:customStyle="1" w:styleId="65">
    <w:name w:val="Table Normal"/>
    <w:semiHidden/>
    <w:unhideWhenUsed/>
    <w:qFormat/>
    <w:uiPriority w:val="0"/>
    <w:tblPr>
      <w:tblLayout w:type="fixed"/>
      <w:tblCellMar>
        <w:top w:w="0" w:type="dxa"/>
        <w:left w:w="0" w:type="dxa"/>
        <w:bottom w:w="0" w:type="dxa"/>
        <w:right w:w="0" w:type="dxa"/>
      </w:tblCellMar>
    </w:tblPr>
  </w:style>
  <w:style w:type="character" w:customStyle="1" w:styleId="66">
    <w:name w:val="0正文 Char"/>
    <w:link w:val="67"/>
    <w:qFormat/>
    <w:uiPriority w:val="0"/>
    <w:rPr>
      <w:rFonts w:ascii="Calibri" w:hAnsi="Calibri"/>
      <w:kern w:val="0"/>
      <w:sz w:val="24"/>
      <w:szCs w:val="20"/>
    </w:rPr>
  </w:style>
  <w:style w:type="paragraph" w:customStyle="1" w:styleId="67">
    <w:name w:val="0正文"/>
    <w:basedOn w:val="1"/>
    <w:link w:val="66"/>
    <w:qFormat/>
    <w:uiPriority w:val="0"/>
    <w:pPr>
      <w:spacing w:line="360" w:lineRule="auto"/>
      <w:ind w:firstLine="480" w:firstLineChars="200"/>
    </w:pPr>
    <w:rPr>
      <w:rFonts w:ascii="Calibri" w:hAnsi="Calibri"/>
      <w:kern w:val="0"/>
      <w:sz w:val="24"/>
      <w:szCs w:val="20"/>
    </w:rPr>
  </w:style>
  <w:style w:type="character" w:customStyle="1" w:styleId="68">
    <w:name w:val="you"/>
    <w:basedOn w:val="29"/>
    <w:qFormat/>
    <w:uiPriority w:val="0"/>
    <w:rPr>
      <w:shd w:val="clear" w:fill="4ADB46"/>
    </w:rPr>
  </w:style>
  <w:style w:type="character" w:customStyle="1" w:styleId="69">
    <w:name w:val="bm"/>
    <w:basedOn w:val="29"/>
    <w:qFormat/>
    <w:uiPriority w:val="0"/>
    <w:rPr>
      <w:b/>
      <w:bCs/>
      <w:color w:val="2A70BF"/>
      <w:sz w:val="24"/>
      <w:szCs w:val="24"/>
    </w:rPr>
  </w:style>
  <w:style w:type="character" w:customStyle="1" w:styleId="70">
    <w:name w:val="liang"/>
    <w:basedOn w:val="29"/>
    <w:qFormat/>
    <w:uiPriority w:val="0"/>
    <w:rPr>
      <w:shd w:val="clear" w:fill="F7DA19"/>
    </w:rPr>
  </w:style>
  <w:style w:type="character" w:customStyle="1" w:styleId="71">
    <w:name w:val="zhi"/>
    <w:basedOn w:val="29"/>
    <w:qFormat/>
    <w:uiPriority w:val="0"/>
    <w:rPr>
      <w:color w:val="FFFFFF"/>
    </w:rPr>
  </w:style>
  <w:style w:type="character" w:customStyle="1" w:styleId="72">
    <w:name w:val="yjs"/>
    <w:basedOn w:val="29"/>
    <w:qFormat/>
    <w:uiPriority w:val="0"/>
    <w:rPr>
      <w:color w:val="999999"/>
    </w:rPr>
  </w:style>
  <w:style w:type="character" w:customStyle="1" w:styleId="73">
    <w:name w:val="yjs1"/>
    <w:basedOn w:val="29"/>
    <w:qFormat/>
    <w:uiPriority w:val="0"/>
    <w:rPr>
      <w:color w:val="00B211"/>
      <w:shd w:val="clear" w:fill="E5E5E5"/>
    </w:rPr>
  </w:style>
  <w:style w:type="character" w:customStyle="1" w:styleId="74">
    <w:name w:val="wurw"/>
    <w:basedOn w:val="29"/>
    <w:qFormat/>
    <w:uiPriority w:val="0"/>
  </w:style>
  <w:style w:type="character" w:customStyle="1" w:styleId="75">
    <w:name w:val="wurw1"/>
    <w:basedOn w:val="29"/>
    <w:qFormat/>
    <w:uiPriority w:val="0"/>
  </w:style>
  <w:style w:type="character" w:customStyle="1" w:styleId="76">
    <w:name w:val="jxz"/>
    <w:basedOn w:val="29"/>
    <w:qFormat/>
    <w:uiPriority w:val="0"/>
    <w:rPr>
      <w:color w:val="00B211"/>
      <w:shd w:val="clear" w:fill="E5E5E5"/>
    </w:rPr>
  </w:style>
  <w:style w:type="character" w:customStyle="1" w:styleId="77">
    <w:name w:val="tit6"/>
    <w:basedOn w:val="29"/>
    <w:qFormat/>
    <w:uiPriority w:val="0"/>
  </w:style>
  <w:style w:type="character" w:customStyle="1" w:styleId="78">
    <w:name w:val="current"/>
    <w:basedOn w:val="29"/>
    <w:qFormat/>
    <w:uiPriority w:val="0"/>
    <w:rPr>
      <w:color w:val="FFFFFF"/>
      <w:bdr w:val="single" w:color="0657B3" w:sz="6" w:space="0"/>
      <w:shd w:val="clear" w:fill="1F65B5"/>
    </w:rPr>
  </w:style>
  <w:style w:type="character" w:customStyle="1" w:styleId="79">
    <w:name w:val="shenhe"/>
    <w:basedOn w:val="29"/>
    <w:qFormat/>
    <w:uiPriority w:val="0"/>
    <w:rPr>
      <w:color w:val="007E09"/>
    </w:rPr>
  </w:style>
  <w:style w:type="character" w:customStyle="1" w:styleId="80">
    <w:name w:val="chljeg"/>
    <w:basedOn w:val="29"/>
    <w:qFormat/>
    <w:uiPriority w:val="0"/>
    <w:rPr>
      <w:color w:val="E70000"/>
    </w:rPr>
  </w:style>
  <w:style w:type="character" w:customStyle="1" w:styleId="81">
    <w:name w:val="dengji"/>
    <w:basedOn w:val="29"/>
    <w:qFormat/>
    <w:uiPriority w:val="0"/>
  </w:style>
  <w:style w:type="character" w:customStyle="1" w:styleId="82">
    <w:name w:val="dengji1"/>
    <w:basedOn w:val="29"/>
    <w:qFormat/>
    <w:uiPriority w:val="0"/>
  </w:style>
  <w:style w:type="character" w:customStyle="1" w:styleId="83">
    <w:name w:val="current1"/>
    <w:basedOn w:val="29"/>
    <w:qFormat/>
    <w:uiPriority w:val="0"/>
    <w:rPr>
      <w:color w:val="FFFFFF"/>
      <w:bdr w:val="single" w:color="0657B3" w:sz="6" w:space="0"/>
      <w:shd w:val="clear" w:fill="1F65B5"/>
    </w:rPr>
  </w:style>
  <w:style w:type="character" w:customStyle="1" w:styleId="84">
    <w:name w:val="tit"/>
    <w:basedOn w:val="29"/>
    <w:qFormat/>
    <w:uiPriority w:val="0"/>
  </w:style>
  <w:style w:type="character" w:customStyle="1" w:styleId="85">
    <w:name w:val="after"/>
    <w:basedOn w:val="29"/>
    <w:qFormat/>
    <w:uiPriority w:val="0"/>
  </w:style>
  <w:style w:type="character" w:customStyle="1" w:styleId="86">
    <w:name w:val="after1"/>
    <w:basedOn w:val="29"/>
    <w:qFormat/>
    <w:uiPriority w:val="0"/>
    <w:rPr>
      <w:vanish/>
    </w:rPr>
  </w:style>
  <w:style w:type="character" w:customStyle="1" w:styleId="87">
    <w:name w:val="after2"/>
    <w:basedOn w:val="29"/>
    <w:qFormat/>
    <w:uiPriority w:val="0"/>
    <w:rPr>
      <w:shd w:val="clear" w:fill="D60000"/>
    </w:rPr>
  </w:style>
  <w:style w:type="character" w:customStyle="1" w:styleId="88">
    <w:name w:val="after3"/>
    <w:basedOn w:val="29"/>
    <w:qFormat/>
    <w:uiPriority w:val="0"/>
  </w:style>
  <w:style w:type="character" w:customStyle="1" w:styleId="89">
    <w:name w:val="selected"/>
    <w:basedOn w:val="29"/>
    <w:qFormat/>
    <w:uiPriority w:val="0"/>
  </w:style>
  <w:style w:type="character" w:customStyle="1" w:styleId="90">
    <w:name w:val="btna_s"/>
    <w:basedOn w:val="29"/>
    <w:qFormat/>
    <w:uiPriority w:val="0"/>
    <w:rPr>
      <w:color w:val="FFFFFF"/>
    </w:rPr>
  </w:style>
  <w:style w:type="character" w:customStyle="1" w:styleId="91">
    <w:name w:val="gwds_nopic"/>
    <w:basedOn w:val="29"/>
    <w:qFormat/>
    <w:uiPriority w:val="0"/>
  </w:style>
  <w:style w:type="character" w:customStyle="1" w:styleId="92">
    <w:name w:val="font"/>
    <w:basedOn w:val="29"/>
    <w:qFormat/>
    <w:uiPriority w:val="0"/>
  </w:style>
  <w:style w:type="character" w:customStyle="1" w:styleId="93">
    <w:name w:val="font1"/>
    <w:basedOn w:val="29"/>
    <w:qFormat/>
    <w:uiPriority w:val="0"/>
  </w:style>
  <w:style w:type="character" w:customStyle="1" w:styleId="94">
    <w:name w:val="disabled"/>
    <w:basedOn w:val="29"/>
    <w:qFormat/>
    <w:uiPriority w:val="0"/>
    <w:rPr>
      <w:color w:val="CCCCCC"/>
      <w:bdr w:val="single" w:color="CCCCCC" w:sz="6" w:space="0"/>
    </w:rPr>
  </w:style>
  <w:style w:type="paragraph" w:styleId="95">
    <w:name w:val="No Spacing"/>
    <w:basedOn w:val="44"/>
    <w:qFormat/>
    <w:uiPriority w:val="0"/>
    <w:pPr>
      <w:spacing w:before="0" w:after="0"/>
    </w:pPr>
    <w:rPr>
      <w:szCs w:val="24"/>
    </w:rPr>
  </w:style>
  <w:style w:type="paragraph" w:customStyle="1" w:styleId="96">
    <w:name w:val="陈正文"/>
    <w:basedOn w:val="1"/>
    <w:next w:val="1"/>
    <w:qFormat/>
    <w:uiPriority w:val="0"/>
    <w:pPr>
      <w:ind w:firstLine="480"/>
    </w:pPr>
    <w:rPr>
      <w:szCs w:val="24"/>
    </w:rPr>
  </w:style>
  <w:style w:type="paragraph" w:customStyle="1" w:styleId="97">
    <w:name w:val="样式5"/>
    <w:basedOn w:val="98"/>
    <w:qFormat/>
    <w:uiPriority w:val="0"/>
  </w:style>
  <w:style w:type="paragraph" w:customStyle="1" w:styleId="98">
    <w:name w:val="无间隔1"/>
    <w:qFormat/>
    <w:uiPriority w:val="0"/>
    <w:pPr>
      <w:widowControl w:val="0"/>
      <w:jc w:val="center"/>
    </w:pPr>
    <w:rPr>
      <w:rFonts w:asciiTheme="minorHAnsi" w:hAnsiTheme="minorHAnsi" w:eastAsiaTheme="minorEastAsia" w:cstheme="minorBidi"/>
      <w:kern w:val="2"/>
      <w:sz w:val="21"/>
      <w:szCs w:val="24"/>
      <w:lang w:val="en-US" w:eastAsia="zh-CN" w:bidi="ar-SA"/>
    </w:rPr>
  </w:style>
  <w:style w:type="paragraph" w:customStyle="1" w:styleId="99">
    <w:name w:val="表格yy"/>
    <w:basedOn w:val="1"/>
    <w:qFormat/>
    <w:uiPriority w:val="0"/>
    <w:pPr>
      <w:snapToGrid w:val="0"/>
      <w:spacing w:line="240" w:lineRule="atLeast"/>
      <w:ind w:firstLine="0" w:firstLineChars="0"/>
      <w:jc w:val="center"/>
    </w:pPr>
    <w:rPr>
      <w:rFonts w:eastAsia="仿宋_GB2312"/>
      <w:kern w:val="2"/>
      <w:sz w:val="21"/>
      <w:szCs w:val="24"/>
    </w:rPr>
  </w:style>
  <w:style w:type="paragraph" w:customStyle="1" w:styleId="100">
    <w:name w:val="表格6"/>
    <w:basedOn w:val="1"/>
    <w:qFormat/>
    <w:uiPriority w:val="0"/>
    <w:pPr>
      <w:widowControl/>
      <w:autoSpaceDE w:val="0"/>
      <w:autoSpaceDN w:val="0"/>
      <w:adjustRightInd w:val="0"/>
      <w:spacing w:line="360" w:lineRule="atLeast"/>
      <w:ind w:firstLine="0" w:firstLineChars="0"/>
      <w:jc w:val="center"/>
      <w:textAlignment w:val="bottom"/>
    </w:pPr>
  </w:style>
  <w:style w:type="character" w:customStyle="1" w:styleId="101">
    <w:name w:val="navadr"/>
    <w:basedOn w:val="29"/>
    <w:qFormat/>
    <w:uiPriority w:val="0"/>
  </w:style>
  <w:style w:type="character" w:customStyle="1" w:styleId="102">
    <w:name w:val="wdlg"/>
    <w:basedOn w:val="29"/>
    <w:qFormat/>
    <w:uiPriority w:val="0"/>
    <w:rPr>
      <w:rFonts w:ascii="宋体" w:hAnsi="宋体" w:eastAsia="宋体" w:cs="宋体"/>
      <w:b/>
      <w:bCs/>
      <w:color w:val="000000"/>
      <w:sz w:val="21"/>
      <w:szCs w:val="21"/>
      <w:u w:val="none"/>
    </w:rPr>
  </w:style>
  <w:style w:type="character" w:customStyle="1" w:styleId="103">
    <w:name w:val="zpimg"/>
    <w:basedOn w:val="29"/>
    <w:qFormat/>
    <w:uiPriority w:val="0"/>
  </w:style>
  <w:style w:type="character" w:customStyle="1" w:styleId="104">
    <w:name w:val="zhou"/>
    <w:basedOn w:val="29"/>
    <w:qFormat/>
    <w:uiPriority w:val="0"/>
    <w:rPr>
      <w:bdr w:val="single" w:color="666666" w:sz="6" w:space="0"/>
    </w:rPr>
  </w:style>
  <w:style w:type="character" w:customStyle="1" w:styleId="105">
    <w:name w:val="yue"/>
    <w:basedOn w:val="29"/>
    <w:qFormat/>
    <w:uiPriority w:val="0"/>
  </w:style>
  <w:style w:type="character" w:customStyle="1" w:styleId="106">
    <w:name w:val="current2"/>
    <w:basedOn w:val="29"/>
    <w:qFormat/>
    <w:uiPriority w:val="0"/>
    <w:rPr>
      <w:color w:val="FFFFFF"/>
      <w:sz w:val="21"/>
      <w:szCs w:val="21"/>
      <w:bdr w:val="single" w:color="0077C3" w:sz="6" w:space="0"/>
      <w:shd w:val="clear" w:fill="0077C3"/>
    </w:rPr>
  </w:style>
  <w:style w:type="character" w:customStyle="1" w:styleId="107">
    <w:name w:val="hs_prev_page"/>
    <w:basedOn w:val="29"/>
    <w:qFormat/>
    <w:uiPriority w:val="0"/>
    <w:rPr>
      <w:color w:val="C0C0C0"/>
    </w:rPr>
  </w:style>
  <w:style w:type="character" w:customStyle="1" w:styleId="108">
    <w:name w:val="prev_page"/>
    <w:basedOn w:val="29"/>
    <w:qFormat/>
    <w:uiPriority w:val="0"/>
    <w:rPr>
      <w:color w:val="FFFFFF"/>
      <w:bdr w:val="single" w:color="F53F00" w:sz="6" w:space="0"/>
      <w:shd w:val="clear" w:fill="F53F00"/>
    </w:rPr>
  </w:style>
  <w:style w:type="character" w:customStyle="1" w:styleId="109">
    <w:name w:val="firstspanwx"/>
    <w:basedOn w:val="29"/>
    <w:qFormat/>
    <w:uiPriority w:val="0"/>
  </w:style>
  <w:style w:type="character" w:customStyle="1" w:styleId="110">
    <w:name w:val="no_mr"/>
    <w:basedOn w:val="29"/>
    <w:qFormat/>
    <w:uiPriority w:val="0"/>
  </w:style>
  <w:style w:type="character" w:customStyle="1" w:styleId="111">
    <w:name w:val="red2"/>
    <w:basedOn w:val="29"/>
    <w:qFormat/>
    <w:uiPriority w:val="0"/>
    <w:rPr>
      <w:b/>
      <w:bCs/>
      <w:color w:val="DA2F27"/>
      <w:sz w:val="21"/>
      <w:szCs w:val="21"/>
    </w:rPr>
  </w:style>
  <w:style w:type="paragraph" w:customStyle="1" w:styleId="112">
    <w:name w:val="正文2"/>
    <w:basedOn w:val="1"/>
    <w:next w:val="113"/>
    <w:qFormat/>
    <w:uiPriority w:val="0"/>
    <w:pPr>
      <w:spacing w:line="440" w:lineRule="exact"/>
      <w:ind w:firstLine="480"/>
      <w:jc w:val="center"/>
    </w:pPr>
    <w:rPr>
      <w:rFonts w:ascii="宋体"/>
    </w:rPr>
  </w:style>
  <w:style w:type="paragraph" w:customStyle="1" w:styleId="113">
    <w:name w:val="魏秀珍报告正文"/>
    <w:qFormat/>
    <w:uiPriority w:val="0"/>
    <w:pPr>
      <w:spacing w:line="360" w:lineRule="auto"/>
      <w:ind w:firstLine="480"/>
      <w:jc w:val="both"/>
    </w:pPr>
    <w:rPr>
      <w:rFonts w:ascii="Times New Roman" w:hAnsi="Times New Roman" w:eastAsia="宋体" w:cs="宋体"/>
      <w:kern w:val="2"/>
      <w:sz w:val="24"/>
      <w:lang w:val="en-US" w:eastAsia="zh-CN" w:bidi="ar-SA"/>
    </w:rPr>
  </w:style>
  <w:style w:type="paragraph" w:customStyle="1" w:styleId="114">
    <w:name w:val="w样小4正文"/>
    <w:basedOn w:val="1"/>
    <w:qFormat/>
    <w:uiPriority w:val="0"/>
    <w:pPr>
      <w:adjustRightInd w:val="0"/>
      <w:snapToGrid w:val="0"/>
      <w:ind w:firstLine="480"/>
    </w:pPr>
    <w:rPr>
      <w:szCs w:val="24"/>
    </w:rPr>
  </w:style>
  <w:style w:type="paragraph" w:customStyle="1" w:styleId="115">
    <w:name w:val="表格"/>
    <w:basedOn w:val="1"/>
    <w:next w:val="1"/>
    <w:qFormat/>
    <w:uiPriority w:val="0"/>
    <w:pPr>
      <w:spacing w:line="360" w:lineRule="exact"/>
      <w:ind w:left="-42" w:leftChars="-20" w:right="-42" w:rightChars="-20" w:firstLine="0" w:firstLineChars="0"/>
      <w:jc w:val="center"/>
    </w:pPr>
    <w:rPr>
      <w:rFonts w:ascii="Arial" w:hAnsi="Arial" w:eastAsiaTheme="minorEastAsia" w:cstheme="minorBidi"/>
      <w:kern w:val="2"/>
      <w:sz w:val="21"/>
      <w:szCs w:val="21"/>
    </w:rPr>
  </w:style>
  <w:style w:type="paragraph" w:customStyle="1" w:styleId="116">
    <w:name w:val="正文。"/>
    <w:basedOn w:val="1"/>
    <w:qFormat/>
    <w:uiPriority w:val="0"/>
    <w:pPr>
      <w:spacing w:line="460" w:lineRule="exact"/>
      <w:ind w:firstLine="480"/>
    </w:pPr>
    <w:rPr>
      <w:kern w:val="2"/>
      <w:szCs w:val="24"/>
    </w:rPr>
  </w:style>
  <w:style w:type="paragraph" w:styleId="117">
    <w:name w:val="List Paragraph"/>
    <w:basedOn w:val="1"/>
    <w:qFormat/>
    <w:uiPriority w:val="99"/>
    <w:pPr>
      <w:ind w:firstLine="420"/>
    </w:pPr>
  </w:style>
  <w:style w:type="paragraph" w:customStyle="1" w:styleId="118">
    <w:name w:val="正文1"/>
    <w:basedOn w:val="1"/>
    <w:qFormat/>
    <w:uiPriority w:val="0"/>
    <w:pPr>
      <w:spacing w:line="520" w:lineRule="exact"/>
    </w:pPr>
    <w:rPr>
      <w:rFonts w:asciiTheme="minorHAnsi" w:hAnsiTheme="minorHAnsi" w:eastAsiaTheme="minorEastAsia" w:cstheme="minorBidi"/>
      <w:color w:val="000000"/>
      <w:kern w:val="2"/>
      <w:sz w:val="28"/>
      <w:szCs w:val="22"/>
    </w:rPr>
  </w:style>
  <w:style w:type="paragraph" w:customStyle="1" w:styleId="119">
    <w:name w:val="ZH表头"/>
    <w:qFormat/>
    <w:uiPriority w:val="0"/>
    <w:pPr>
      <w:widowControl w:val="0"/>
      <w:adjustRightInd w:val="0"/>
      <w:snapToGrid w:val="0"/>
      <w:spacing w:before="50" w:beforeLines="50"/>
      <w:jc w:val="center"/>
    </w:pPr>
    <w:rPr>
      <w:rFonts w:ascii="Times New Roman" w:hAnsi="Times New Roman" w:eastAsia="宋体" w:cs="Times New Roman"/>
      <w:b/>
      <w:sz w:val="21"/>
      <w:lang w:val="en-US" w:eastAsia="zh-CN" w:bidi="ar-SA"/>
    </w:rPr>
  </w:style>
  <w:style w:type="paragraph" w:customStyle="1" w:styleId="120">
    <w:name w:val="表格内文字 小5"/>
    <w:next w:val="13"/>
    <w:qFormat/>
    <w:uiPriority w:val="0"/>
    <w:pPr>
      <w:tabs>
        <w:tab w:val="left" w:pos="3345"/>
      </w:tabs>
      <w:adjustRightInd w:val="0"/>
      <w:snapToGrid w:val="0"/>
      <w:ind w:left="-50" w:leftChars="-50" w:right="-50" w:rightChars="-50"/>
      <w:jc w:val="center"/>
    </w:pPr>
    <w:rPr>
      <w:rFonts w:ascii="Times New Roman" w:hAnsi="Times New Roman" w:eastAsia="宋体" w:cs="宋体"/>
      <w:iCs/>
      <w:color w:val="000000"/>
      <w:sz w:val="21"/>
      <w:szCs w:val="18"/>
      <w:lang w:val="en-US" w:eastAsia="zh-CN" w:bidi="ar-SA"/>
    </w:rPr>
  </w:style>
  <w:style w:type="paragraph" w:customStyle="1" w:styleId="121">
    <w:name w:val="表格头"/>
    <w:basedOn w:val="1"/>
    <w:qFormat/>
    <w:uiPriority w:val="99"/>
    <w:pPr>
      <w:autoSpaceDE w:val="0"/>
      <w:autoSpaceDN w:val="0"/>
      <w:spacing w:line="240" w:lineRule="auto"/>
      <w:ind w:firstLine="0" w:firstLineChars="0"/>
      <w:jc w:val="center"/>
    </w:pPr>
    <w:rPr>
      <w:b/>
      <w:szCs w:val="24"/>
    </w:rPr>
  </w:style>
  <w:style w:type="character" w:customStyle="1" w:styleId="122">
    <w:name w:val="标题 3 Char1"/>
    <w:qFormat/>
    <w:uiPriority w:val="99"/>
    <w:rPr>
      <w:rFonts w:ascii="Arial" w:hAnsi="Arial" w:eastAsia="黑体" w:cs="Times New Roman"/>
      <w:b/>
      <w:bCs/>
      <w:kern w:val="0"/>
      <w:sz w:val="28"/>
      <w:szCs w:val="28"/>
    </w:rPr>
  </w:style>
  <w:style w:type="paragraph" w:customStyle="1" w:styleId="123">
    <w:name w:val="WPSOffice手动目录 1"/>
    <w:qFormat/>
    <w:uiPriority w:val="0"/>
    <w:pPr>
      <w:ind w:leftChars="0"/>
    </w:pPr>
    <w:rPr>
      <w:rFonts w:ascii="Times New Roman" w:hAnsi="Times New Roman" w:eastAsia="宋体" w:cs="Times New Roman"/>
      <w:sz w:val="20"/>
      <w:szCs w:val="20"/>
    </w:rPr>
  </w:style>
  <w:style w:type="paragraph" w:customStyle="1" w:styleId="124">
    <w:name w:val="WPSOffice手动目录 2"/>
    <w:qFormat/>
    <w:uiPriority w:val="0"/>
    <w:pPr>
      <w:ind w:leftChars="200"/>
    </w:pPr>
    <w:rPr>
      <w:rFonts w:ascii="Times New Roman" w:hAnsi="Times New Roman" w:eastAsia="宋体" w:cs="Times New Roman"/>
      <w:sz w:val="20"/>
      <w:szCs w:val="20"/>
    </w:rPr>
  </w:style>
  <w:style w:type="paragraph" w:customStyle="1" w:styleId="125">
    <w:name w:val="WPSOffice手动目录 3"/>
    <w:qFormat/>
    <w:uiPriority w:val="0"/>
    <w:pPr>
      <w:ind w:leftChars="400"/>
    </w:pPr>
    <w:rPr>
      <w:rFonts w:ascii="Times New Roman" w:hAnsi="Times New Roman" w:eastAsia="宋体" w:cs="Times New Roman"/>
      <w:sz w:val="20"/>
      <w:szCs w:val="20"/>
    </w:rPr>
  </w:style>
  <w:style w:type="character" w:customStyle="1" w:styleId="126">
    <w:name w:val="题注 字符"/>
    <w:link w:val="14"/>
    <w:qFormat/>
    <w:uiPriority w:val="99"/>
    <w:rPr>
      <w:rFonts w:ascii="Arial" w:hAnsi="Arial" w:eastAsia="黑体" w:cs="Arial"/>
      <w:sz w:val="20"/>
      <w:szCs w:val="20"/>
    </w:rPr>
  </w:style>
  <w:style w:type="paragraph" w:customStyle="1" w:styleId="127">
    <w:name w:val="Table Paragraph"/>
    <w:basedOn w:val="1"/>
    <w:qFormat/>
    <w:uiPriority w:val="1"/>
    <w:pPr>
      <w:overflowPunct/>
      <w:spacing w:line="240" w:lineRule="auto"/>
      <w:ind w:firstLine="0" w:firstLineChars="0"/>
      <w:jc w:val="left"/>
    </w:pPr>
    <w:rPr>
      <w:rFonts w:ascii="Calibri" w:hAnsi="Calibri" w:eastAsia="宋体" w:cs="Times New Roman"/>
      <w:color w:val="auto"/>
      <w:sz w:val="22"/>
      <w:lang w:eastAsia="en-US"/>
    </w:rPr>
  </w:style>
  <w:style w:type="character" w:customStyle="1" w:styleId="128">
    <w:name w:val="time"/>
    <w:basedOn w:val="29"/>
    <w:qFormat/>
    <w:uiPriority w:val="0"/>
    <w:rPr>
      <w:rFonts w:ascii="Verdana" w:hAnsi="Verdana" w:cs="Verdana"/>
      <w:color w:val="666666"/>
      <w:sz w:val="13"/>
      <w:szCs w:val="13"/>
    </w:rPr>
  </w:style>
  <w:style w:type="character" w:customStyle="1" w:styleId="129">
    <w:name w:val="time1"/>
    <w:basedOn w:val="29"/>
    <w:qFormat/>
    <w:uiPriority w:val="0"/>
    <w:rPr>
      <w:rFonts w:hint="default" w:ascii="Verdana" w:hAnsi="Verdana" w:cs="Verdana"/>
      <w:color w:val="999999"/>
    </w:rPr>
  </w:style>
  <w:style w:type="character" w:customStyle="1" w:styleId="130">
    <w:name w:val="time2"/>
    <w:basedOn w:val="29"/>
    <w:qFormat/>
    <w:uiPriority w:val="0"/>
    <w:rPr>
      <w:rFonts w:hint="default" w:ascii="Verdana" w:hAnsi="Verdana" w:cs="Verdana"/>
      <w:color w:val="666666"/>
      <w:sz w:val="13"/>
      <w:szCs w:val="13"/>
    </w:rPr>
  </w:style>
  <w:style w:type="character" w:customStyle="1" w:styleId="131">
    <w:name w:val="time3"/>
    <w:basedOn w:val="29"/>
    <w:qFormat/>
    <w:uiPriority w:val="0"/>
    <w:rPr>
      <w:rFonts w:hint="default" w:ascii="Verdana" w:hAnsi="Verdana" w:cs="Verdana"/>
      <w:color w:val="999999"/>
    </w:rPr>
  </w:style>
  <w:style w:type="character" w:customStyle="1" w:styleId="132">
    <w:name w:val="from"/>
    <w:basedOn w:val="29"/>
    <w:qFormat/>
    <w:uiPriority w:val="0"/>
    <w:rPr>
      <w:color w:val="999999"/>
    </w:rPr>
  </w:style>
  <w:style w:type="character" w:customStyle="1" w:styleId="133">
    <w:name w:val="from1"/>
    <w:basedOn w:val="29"/>
    <w:qFormat/>
    <w:uiPriority w:val="0"/>
    <w:rPr>
      <w:color w:val="999999"/>
    </w:rPr>
  </w:style>
  <w:style w:type="character" w:customStyle="1" w:styleId="134">
    <w:name w:val="disabled2"/>
    <w:basedOn w:val="29"/>
    <w:qFormat/>
    <w:uiPriority w:val="0"/>
    <w:rPr>
      <w:color w:val="CCCCCC"/>
      <w:bdr w:val="single" w:color="CCCCCC" w:sz="4" w:space="0"/>
    </w:rPr>
  </w:style>
  <w:style w:type="character" w:customStyle="1" w:styleId="135">
    <w:name w:val="left2"/>
    <w:basedOn w:val="29"/>
    <w:qFormat/>
    <w:uiPriority w:val="0"/>
  </w:style>
  <w:style w:type="character" w:customStyle="1" w:styleId="136">
    <w:name w:val="right2"/>
    <w:basedOn w:val="29"/>
    <w:qFormat/>
    <w:uiPriority w:val="0"/>
  </w:style>
  <w:style w:type="paragraph" w:customStyle="1" w:styleId="137">
    <w:name w:val="3级"/>
    <w:basedOn w:val="28"/>
    <w:next w:val="1"/>
    <w:qFormat/>
    <w:uiPriority w:val="99"/>
    <w:pPr>
      <w:keepNext/>
      <w:keepLines/>
      <w:adjustRightInd w:val="0"/>
      <w:snapToGrid w:val="0"/>
      <w:spacing w:before="0" w:after="0"/>
      <w:ind w:firstLine="0" w:firstLineChars="0"/>
      <w:jc w:val="left"/>
      <w:textAlignment w:val="center"/>
      <w:outlineLvl w:val="2"/>
    </w:pPr>
    <w:rPr>
      <w:rFonts w:ascii="Times New Roman" w:hAnsi="Times New Roman"/>
      <w:iCs/>
      <w:color w:val="auto"/>
      <w:sz w:val="28"/>
      <w:szCs w:val="28"/>
    </w:rPr>
  </w:style>
  <w:style w:type="paragraph" w:customStyle="1" w:styleId="138">
    <w:name w:val="表标题"/>
    <w:basedOn w:val="139"/>
    <w:next w:val="1"/>
    <w:qFormat/>
    <w:uiPriority w:val="0"/>
    <w:pPr>
      <w:spacing w:line="240" w:lineRule="auto"/>
      <w:jc w:val="center"/>
      <w:outlineLvl w:val="9"/>
    </w:pPr>
    <w:rPr>
      <w:b/>
    </w:rPr>
  </w:style>
  <w:style w:type="paragraph" w:customStyle="1" w:styleId="139">
    <w:name w:val="标题3-本文"/>
    <w:basedOn w:val="140"/>
    <w:qFormat/>
    <w:uiPriority w:val="0"/>
    <w:pPr>
      <w:jc w:val="left"/>
      <w:outlineLvl w:val="2"/>
    </w:pPr>
    <w:rPr>
      <w:b w:val="0"/>
      <w:sz w:val="24"/>
    </w:rPr>
  </w:style>
  <w:style w:type="paragraph" w:customStyle="1" w:styleId="140">
    <w:name w:val="标题2-本文"/>
    <w:basedOn w:val="141"/>
    <w:qFormat/>
    <w:uiPriority w:val="0"/>
    <w:pPr>
      <w:spacing w:line="360" w:lineRule="auto"/>
      <w:outlineLvl w:val="1"/>
    </w:pPr>
    <w:rPr>
      <w:rFonts w:eastAsia="宋体"/>
      <w:sz w:val="28"/>
    </w:rPr>
  </w:style>
  <w:style w:type="paragraph" w:customStyle="1" w:styleId="141">
    <w:name w:val="标题1-本文"/>
    <w:basedOn w:val="1"/>
    <w:qFormat/>
    <w:uiPriority w:val="0"/>
    <w:pPr>
      <w:autoSpaceDE w:val="0"/>
      <w:autoSpaceDN w:val="0"/>
      <w:adjustRightInd w:val="0"/>
      <w:spacing w:line="240" w:lineRule="auto"/>
      <w:ind w:firstLine="0" w:firstLineChars="0"/>
      <w:jc w:val="center"/>
      <w:outlineLvl w:val="0"/>
    </w:pPr>
    <w:rPr>
      <w:rFonts w:eastAsia="黑体"/>
      <w:b/>
      <w:sz w:val="36"/>
      <w:szCs w:val="21"/>
    </w:rPr>
  </w:style>
  <w:style w:type="paragraph" w:customStyle="1" w:styleId="142">
    <w:name w:val="表文字"/>
    <w:basedOn w:val="1"/>
    <w:qFormat/>
    <w:uiPriority w:val="0"/>
    <w:pPr>
      <w:autoSpaceDE w:val="0"/>
      <w:autoSpaceDN w:val="0"/>
      <w:adjustRightInd w:val="0"/>
      <w:spacing w:line="240" w:lineRule="auto"/>
      <w:ind w:firstLine="0" w:firstLineChars="0"/>
      <w:jc w:val="center"/>
    </w:pPr>
    <w:rPr>
      <w:sz w:val="21"/>
      <w:szCs w:val="21"/>
    </w:rPr>
  </w:style>
  <w:style w:type="character" w:customStyle="1" w:styleId="143">
    <w:name w:val="hover32"/>
    <w:basedOn w:val="29"/>
    <w:qFormat/>
    <w:uiPriority w:val="0"/>
    <w:rPr>
      <w:color w:val="015293"/>
    </w:rPr>
  </w:style>
  <w:style w:type="character" w:customStyle="1" w:styleId="144">
    <w:name w:val="replayed"/>
    <w:basedOn w:val="29"/>
    <w:qFormat/>
    <w:uiPriority w:val="0"/>
    <w:rPr>
      <w:color w:val="5B7BC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footer" Target="foot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wmf"/><Relationship Id="rId55" Type="http://schemas.openxmlformats.org/officeDocument/2006/relationships/image" Target="media/image37.wmf"/><Relationship Id="rId54" Type="http://schemas.openxmlformats.org/officeDocument/2006/relationships/image" Target="media/image36.wmf"/><Relationship Id="rId53" Type="http://schemas.openxmlformats.org/officeDocument/2006/relationships/image" Target="media/image35.wmf"/><Relationship Id="rId52" Type="http://schemas.openxmlformats.org/officeDocument/2006/relationships/image" Target="media/image34.wmf"/><Relationship Id="rId51" Type="http://schemas.openxmlformats.org/officeDocument/2006/relationships/image" Target="media/image33.wmf"/><Relationship Id="rId50" Type="http://schemas.openxmlformats.org/officeDocument/2006/relationships/image" Target="media/image32.wmf"/><Relationship Id="rId5" Type="http://schemas.openxmlformats.org/officeDocument/2006/relationships/footer" Target="footer1.xml"/><Relationship Id="rId49" Type="http://schemas.openxmlformats.org/officeDocument/2006/relationships/image" Target="media/image31.wmf"/><Relationship Id="rId48" Type="http://schemas.openxmlformats.org/officeDocument/2006/relationships/image" Target="media/image30.wmf"/><Relationship Id="rId47" Type="http://schemas.openxmlformats.org/officeDocument/2006/relationships/image" Target="media/image29.wmf"/><Relationship Id="rId46" Type="http://schemas.openxmlformats.org/officeDocument/2006/relationships/image" Target="media/image28.wmf"/><Relationship Id="rId45" Type="http://schemas.openxmlformats.org/officeDocument/2006/relationships/image" Target="media/image27.wmf"/><Relationship Id="rId44" Type="http://schemas.openxmlformats.org/officeDocument/2006/relationships/image" Target="media/image26.wmf"/><Relationship Id="rId43" Type="http://schemas.openxmlformats.org/officeDocument/2006/relationships/image" Target="media/image25.wmf"/><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oleObject" Target="embeddings/oleObject3.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2.wmf"/><Relationship Id="rId27" Type="http://schemas.openxmlformats.org/officeDocument/2006/relationships/oleObject" Target="embeddings/oleObject1.bin"/><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8" textRotate="1"/>
    <customShpInfo spid="_x0000_s3075"/>
    <customShpInfo spid="_x0000_s2119"/>
    <customShpInfo spid="_x0000_s2118"/>
    <customShpInfo spid="_x0000_s2117"/>
    <customShpInfo spid="_x0000_s2116"/>
    <customShpInfo spid="_x0000_s2115"/>
    <customShpInfo spid="_x0000_s2114"/>
    <customShpInfo spid="_x0000_s212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225</Pages>
  <Words>142428</Words>
  <Characters>168458</Characters>
  <Lines>1034</Lines>
  <Paragraphs>291</Paragraphs>
  <TotalTime>0</TotalTime>
  <ScaleCrop>false</ScaleCrop>
  <LinksUpToDate>false</LinksUpToDate>
  <CharactersWithSpaces>172432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2021-06-15T08:49:00Z</dcterms:created>
  <dc:creator>Administrator</dc:creator>
  <cp:lastModifiedBy>温妤9.12</cp:lastModifiedBy>
  <dcterms:modified xsi:type="dcterms:W3CDTF">2022-11-14T01:50:22Z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E495C3D20B0544D3BFCAE93EFC7D74C7</vt:lpwstr>
  </property>
</Properties>
</file>