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安环函〔202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277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安康市生态环境局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陕西省白河县裴家河地区铜铅锌多金属矿预普查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项目环境影响报告表的批复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eastAsia" w:asci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中国建筑材料工业地质勘查中心陕西总队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你队</w:t>
      </w:r>
      <w:r>
        <w:rPr>
          <w:rFonts w:hint="eastAsia" w:ascii="仿宋_GB2312" w:hAnsi="仿宋_GB2312" w:eastAsia="仿宋_GB2312" w:cs="仿宋_GB2312"/>
          <w:sz w:val="32"/>
          <w:szCs w:val="32"/>
        </w:rPr>
        <w:t>报来《关于陕西省白河县裴家河地区铜铅锌多金属矿预普查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项目环境影响报告表的申请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》和相关资料收悉。经研究，现批复如下：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5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勘查区位于白河县正西方向35km处，西起龙家河到太平山北一线，东至关庙垭到仓上镇西一线，东西长约10.4km；南起张王庙沟到郭花沟一线，北至燕子崖到椅子坪一线，南北宽约10.6km，总面积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114.09km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。普查主要采用钻探探矿工艺，本次探矿工程共布置</w:t>
      </w:r>
      <w:r>
        <w:rPr>
          <w:rFonts w:hint="eastAsia" w:ascii="仿宋_GB2312" w:hAnsi="仿宋_GB2312" w:eastAsia="仿宋_GB2312" w:cs="仿宋_GB2312"/>
          <w:sz w:val="32"/>
          <w:szCs w:val="32"/>
        </w:rPr>
        <w:t>7个钻探探孔，分别分布于安康市白河县和安康市旬阳县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项目总投资为335万元，其中环保投资34万元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投资的10.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经审查，在全面落实环境影响报告表提出的各项环境保护要求后，项目实施对环境的不利影响能够得到减缓。</w:t>
      </w:r>
      <w:r>
        <w:rPr>
          <w:rFonts w:hint="eastAsia" w:ascii="仿宋_GB2312" w:hAnsi="仿宋_GB2312" w:eastAsia="仿宋_GB2312" w:cs="仿宋_GB2312"/>
          <w:sz w:val="32"/>
          <w:szCs w:val="32"/>
        </w:rPr>
        <w:t>该项目环境影响报告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中所列建设项目的性质、规模、地点、生产工艺和拟采取的环境保护措施可作为项目实施的依据。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5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二、项目建设与运营管理中应重点做好的工作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加强施工期的环境管理。严格控制施工用地范围，表土单独收集，采取有效措施控制施工期扬尘、噪声等对环境的影响，避免生态破坏。施工结束后对临时占地及时进行恢复，待普查工作完成后按照绿色勘查的要求及时复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落实废水处理措施。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施工过程中的钻探泥浆废水全部收集经沉淀处理后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循环使用不外排</w:t>
      </w:r>
      <w:r>
        <w:rPr>
          <w:rFonts w:hint="eastAsia" w:ascii="仿宋_GB2312" w:hAnsi="仿宋_GB2312" w:eastAsia="仿宋_GB2312" w:cs="仿宋_GB2312"/>
          <w:sz w:val="32"/>
          <w:szCs w:val="32"/>
        </w:rPr>
        <w:t>，沉淀淤泥定期清运处理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施工期间施工人员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产生的生活污水依托附近现有处理设施处置。</w:t>
      </w:r>
    </w:p>
    <w:p>
      <w:pPr>
        <w:keepNext w:val="0"/>
        <w:keepLines w:val="0"/>
        <w:pageBreakBefore w:val="0"/>
        <w:tabs>
          <w:tab w:val="left" w:pos="44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做好固体废物的分类收集和处置。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钻探泥浆经脱水处理后填埋处置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严禁随意抛撒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生活垃圾集中收集定期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由环卫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部门处置。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5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三、有关事项要求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(一)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项目建设必须严格执行环境保护设施与主体工程同时设计、同时施工、同时投产使用的环境保护“三同时”制度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经批准后，项目的性质、规模、地点、采用的生产工艺或者污染防治、防治生态破坏的措施发生重大变动的，其环境影响评价文件应当重新报批。环境影响报告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自批准之日起超过5年，方决定该项目开工建设的，应当报我局重新审核。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单位是建设项目选址、建设、运营全过程落实环境影响保护措施、公开环境信息的主体，应按照《建设项目环境影响评价信息公开机制方案》等要求依法依规公开建设项目环评信息，畅通公众参与和社会监督渠道，保障可能受建设项目环境影响的公众权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按照《建设项目环境保护事中事后监督管理办法（试行）》的要求，安康市生态环境局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旬阳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和白河</w:t>
      </w:r>
      <w:r>
        <w:rPr>
          <w:rFonts w:hint="eastAsia" w:ascii="仿宋_GB2312" w:hAnsi="仿宋_GB2312" w:eastAsia="仿宋_GB2312" w:cs="仿宋_GB2312"/>
          <w:sz w:val="32"/>
          <w:szCs w:val="32"/>
        </w:rPr>
        <w:t>分局负责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辖区内</w:t>
      </w:r>
      <w:r>
        <w:rPr>
          <w:rFonts w:hint="eastAsia" w:ascii="仿宋_GB2312" w:hAnsi="仿宋_GB2312" w:eastAsia="仿宋_GB2312" w:cs="仿宋_GB2312"/>
          <w:sz w:val="32"/>
          <w:szCs w:val="32"/>
        </w:rPr>
        <w:t>该项目的事中事后监督管理，安康市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生态环境保护综合执法</w:t>
      </w:r>
      <w:r>
        <w:rPr>
          <w:rFonts w:hint="eastAsia" w:ascii="仿宋_GB2312" w:hAnsi="仿宋_GB2312" w:eastAsia="仿宋_GB2312" w:cs="仿宋_GB2312"/>
          <w:sz w:val="32"/>
          <w:szCs w:val="32"/>
        </w:rPr>
        <w:t>支队对事中事后监督管理工作进行监督和指导。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你公司应在接到本批复10个工作日内，将批准后的环境影响报告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表分别</w:t>
      </w:r>
      <w:r>
        <w:rPr>
          <w:rFonts w:hint="eastAsia" w:ascii="仿宋_GB2312" w:hAnsi="仿宋_GB2312" w:eastAsia="仿宋_GB2312" w:cs="仿宋_GB2312"/>
          <w:sz w:val="32"/>
          <w:szCs w:val="32"/>
        </w:rPr>
        <w:t>报安康市生态环境局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旬阳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分局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备案，并按规定接受各级生态环境主管部门的监督检查。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800" w:firstLineChars="1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48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880" w:firstLineChars="9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安康市生态环境局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32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480"/>
        <w:textAlignment w:val="auto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60" w:firstLineChars="5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抄送：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生态环境保护综合执法</w:t>
      </w:r>
      <w:r>
        <w:rPr>
          <w:rFonts w:hint="eastAsia" w:ascii="仿宋_GB2312" w:hAnsi="仿宋_GB2312" w:eastAsia="仿宋_GB2312" w:cs="仿宋_GB2312"/>
          <w:sz w:val="32"/>
          <w:szCs w:val="32"/>
        </w:rPr>
        <w:t>支队</w:t>
      </w: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市生态环境局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旬阳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白河</w:t>
      </w:r>
      <w:r>
        <w:rPr>
          <w:rFonts w:hint="eastAsia" w:ascii="仿宋_GB2312" w:hAnsi="仿宋_GB2312" w:eastAsia="仿宋_GB2312" w:cs="仿宋_GB2312"/>
          <w:sz w:val="32"/>
          <w:szCs w:val="32"/>
        </w:rPr>
        <w:t>分局</w:t>
      </w:r>
      <w:r>
        <w:rPr>
          <w:rFonts w:hint="eastAsia" w:ascii="仿宋" w:hAnsi="仿宋" w:eastAsia="仿宋" w:cs="仿宋"/>
          <w:color w:val="000000"/>
          <w:spacing w:val="15"/>
          <w:kern w:val="0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B6EAA"/>
    <w:rsid w:val="35C917A7"/>
    <w:rsid w:val="3AD22379"/>
    <w:rsid w:val="3E4C05D4"/>
    <w:rsid w:val="560D4600"/>
    <w:rsid w:val="67F433E3"/>
    <w:rsid w:val="77E3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spacing w:after="120" w:line="240" w:lineRule="auto"/>
      <w:ind w:left="420" w:leftChars="200" w:firstLine="420" w:firstLineChars="200"/>
    </w:pPr>
    <w:rPr>
      <w:rFonts w:ascii="Times New Roman" w:eastAsia="宋体"/>
    </w:rPr>
  </w:style>
  <w:style w:type="paragraph" w:styleId="3">
    <w:name w:val="Body Text Indent"/>
    <w:basedOn w:val="1"/>
    <w:next w:val="4"/>
    <w:qFormat/>
    <w:uiPriority w:val="99"/>
    <w:pPr>
      <w:spacing w:line="360" w:lineRule="auto"/>
      <w:ind w:firstLine="480"/>
    </w:pPr>
    <w:rPr>
      <w:rFonts w:ascii="仿宋_GB2312" w:eastAsia="仿宋_GB2312"/>
      <w:kern w:val="0"/>
      <w:sz w:val="24"/>
      <w:szCs w:val="24"/>
    </w:r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Body Text First Indent"/>
    <w:basedOn w:val="4"/>
    <w:qFormat/>
    <w:uiPriority w:val="0"/>
    <w:pPr>
      <w:topLinePunct w:val="0"/>
      <w:autoSpaceDE/>
      <w:autoSpaceDN/>
      <w:spacing w:after="120" w:line="240" w:lineRule="auto"/>
      <w:ind w:firstLine="420" w:firstLineChars="100"/>
      <w:jc w:val="both"/>
    </w:pPr>
    <w:rPr>
      <w:kern w:val="2"/>
      <w:sz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next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5"/>
    <w:basedOn w:val="10"/>
    <w:qFormat/>
    <w:uiPriority w:val="0"/>
    <w:pPr>
      <w:snapToGrid w:val="0"/>
      <w:spacing w:line="360" w:lineRule="auto"/>
      <w:ind w:firstLine="510"/>
    </w:pPr>
    <w:rPr>
      <w:sz w:val="24"/>
    </w:rPr>
  </w:style>
  <w:style w:type="paragraph" w:customStyle="1" w:styleId="10">
    <w:name w:val="正文1"/>
    <w:basedOn w:val="1"/>
    <w:next w:val="1"/>
    <w:qFormat/>
    <w:uiPriority w:val="0"/>
    <w:pPr>
      <w:snapToGrid w:val="0"/>
      <w:spacing w:before="62" w:beforeLines="20" w:after="62" w:afterLines="20" w:line="312" w:lineRule="auto"/>
      <w:ind w:firstLine="475" w:firstLineChars="198"/>
    </w:pPr>
    <w:rPr>
      <w:rFonts w:ascii="宋体" w:hAnsi="宋体" w:eastAsia="宋体"/>
      <w:color w:val="000000"/>
      <w:kern w:val="2"/>
      <w:sz w:val="24"/>
      <w:lang w:val="en-US" w:eastAsia="zh-CN" w:bidi="ar-SA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2021-10-14T02:32:00Z</cp:lastPrinted>
  <dcterms:modified xsi:type="dcterms:W3CDTF">2021-11-02T01:12:37Z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C44CE3CD15F24C1D82BE663A8225E418</vt:lpwstr>
  </property>
</Properties>
</file>