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ind w:firstLine="480"/>
        <w:rPr>
          <w:kern w:val="44"/>
        </w:rPr>
      </w:pPr>
      <w:bookmarkStart w:id="1" w:name="_GoBack"/>
      <w:bookmarkEnd w:id="1"/>
    </w:p>
    <w:p>
      <w:pPr>
        <w:pStyle w:val="43"/>
        <w:ind w:firstLine="480"/>
        <w:rPr>
          <w:kern w:val="44"/>
        </w:rPr>
      </w:pPr>
    </w:p>
    <w:p/>
    <w:p>
      <w:pPr>
        <w:pStyle w:val="43"/>
        <w:ind w:firstLine="480"/>
        <w:rPr>
          <w:kern w:val="44"/>
        </w:rPr>
      </w:pPr>
    </w:p>
    <w:p>
      <w:pPr>
        <w:pStyle w:val="43"/>
        <w:spacing w:line="720" w:lineRule="auto"/>
        <w:ind w:firstLine="0" w:firstLineChars="0"/>
        <w:jc w:val="center"/>
        <w:rPr>
          <w:rFonts w:ascii="Times New Roman" w:hAnsi="Times New Roman" w:eastAsia="黑体" w:cs="Times New Roman"/>
          <w:sz w:val="44"/>
          <w:szCs w:val="44"/>
        </w:rPr>
      </w:pPr>
      <w:r>
        <w:rPr>
          <w:rFonts w:hint="eastAsia" w:ascii="Times New Roman" w:hAnsi="Times New Roman" w:eastAsia="黑体" w:cs="Times New Roman"/>
          <w:sz w:val="44"/>
          <w:szCs w:val="44"/>
        </w:rPr>
        <w:t>宁陕至石泉高速公路（重大变动）</w:t>
      </w:r>
    </w:p>
    <w:p>
      <w:pPr>
        <w:pStyle w:val="43"/>
        <w:spacing w:line="720" w:lineRule="auto"/>
        <w:ind w:firstLine="0" w:firstLineChars="0"/>
        <w:jc w:val="center"/>
        <w:rPr>
          <w:rFonts w:ascii="Times New Roman" w:hAnsi="Times New Roman" w:eastAsia="黑体" w:cs="Times New Roman"/>
          <w:kern w:val="44"/>
          <w:sz w:val="48"/>
          <w:szCs w:val="48"/>
        </w:rPr>
      </w:pPr>
      <w:r>
        <w:rPr>
          <w:rFonts w:hint="eastAsia" w:ascii="Times New Roman" w:hAnsi="黑体" w:eastAsia="黑体" w:cs="Times New Roman"/>
          <w:sz w:val="44"/>
          <w:szCs w:val="44"/>
        </w:rPr>
        <w:t>环境影响评价公众参与说明</w:t>
      </w: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widowControl/>
        <w:jc w:val="left"/>
        <w:rPr>
          <w:rFonts w:eastAsia="黑体" w:cs="Times New Roman"/>
          <w:bCs/>
          <w:kern w:val="44"/>
          <w:sz w:val="32"/>
          <w:szCs w:val="32"/>
        </w:rPr>
      </w:pPr>
    </w:p>
    <w:p>
      <w:pPr>
        <w:ind w:firstLine="993"/>
        <w:rPr>
          <w:rFonts w:eastAsia="仿宋_GB2312" w:asciiTheme="minorHAnsi" w:hAnsiTheme="minorHAnsi"/>
          <w:bCs/>
          <w:sz w:val="32"/>
          <w:szCs w:val="32"/>
        </w:rPr>
      </w:pPr>
      <w:r>
        <w:rPr>
          <w:rFonts w:hint="eastAsia" w:eastAsia="仿宋_GB2312"/>
          <w:bCs/>
          <w:sz w:val="32"/>
          <w:szCs w:val="32"/>
        </w:rPr>
        <w:t>建设单位：陕西葛洲坝延黄宁石高速公路有限公司</w:t>
      </w:r>
    </w:p>
    <w:p>
      <w:pPr>
        <w:ind w:firstLine="993"/>
        <w:rPr>
          <w:rFonts w:eastAsia="仿宋_GB2312"/>
          <w:bCs/>
          <w:sz w:val="32"/>
          <w:szCs w:val="32"/>
        </w:rPr>
      </w:pPr>
      <w:r>
        <w:rPr>
          <w:rFonts w:hint="eastAsia" w:eastAsia="仿宋_GB2312"/>
          <w:bCs/>
          <w:sz w:val="32"/>
          <w:szCs w:val="32"/>
        </w:rPr>
        <w:t>完成时间：二零二零年十月</w:t>
      </w:r>
    </w:p>
    <w:p>
      <w:pPr>
        <w:widowControl/>
        <w:jc w:val="left"/>
        <w:rPr>
          <w:rFonts w:eastAsia="仿宋_GB2312"/>
          <w:bCs/>
          <w:kern w:val="0"/>
          <w:sz w:val="32"/>
          <w:szCs w:val="32"/>
        </w:rPr>
        <w:sectPr>
          <w:pgSz w:w="11906" w:h="16838"/>
          <w:pgMar w:top="1418" w:right="1418" w:bottom="1418" w:left="1418" w:header="851" w:footer="992" w:gutter="0"/>
          <w:pgNumType w:fmt="upperRoman" w:start="1"/>
          <w:cols w:space="720" w:num="1"/>
          <w:docGrid w:type="lines" w:linePitch="312" w:charSpace="0"/>
        </w:sectPr>
      </w:pP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1 概述</w:t>
      </w:r>
    </w:p>
    <w:p>
      <w:pPr>
        <w:pStyle w:val="34"/>
        <w:ind w:firstLine="480"/>
        <w:rPr>
          <w:bCs/>
        </w:rPr>
      </w:pPr>
      <w:r>
        <w:rPr>
          <w:rFonts w:hint="eastAsia"/>
          <w:bCs/>
        </w:rPr>
        <w:t>宁陕至石泉高速公路路线起于宁陕县筒车湾镇西侧约1km处，终点利用现有石泉立交与十天高速相连，路线方案全长50.954公里。</w:t>
      </w:r>
    </w:p>
    <w:p>
      <w:pPr>
        <w:pStyle w:val="34"/>
        <w:ind w:firstLine="480"/>
        <w:rPr>
          <w:bCs/>
        </w:rPr>
      </w:pPr>
      <w:r>
        <w:rPr>
          <w:rFonts w:hint="eastAsia"/>
          <w:bCs/>
        </w:rPr>
        <w:t>本项目采用双向四车道高速公路标准建设，设计时速80公里/小时，路基宽度25.5米。项目全线新建桥梁</w:t>
      </w:r>
      <w:r>
        <w:rPr>
          <w:szCs w:val="21"/>
        </w:rPr>
        <w:t>24645.784m/42</w:t>
      </w:r>
      <w:r>
        <w:rPr>
          <w:rFonts w:hint="eastAsia"/>
          <w:szCs w:val="21"/>
        </w:rPr>
        <w:t>座</w:t>
      </w:r>
      <w:r>
        <w:rPr>
          <w:rFonts w:hint="eastAsia"/>
          <w:bCs/>
        </w:rPr>
        <w:t>，桥梁占路线总长48</w:t>
      </w:r>
      <w:r>
        <w:rPr>
          <w:szCs w:val="21"/>
        </w:rPr>
        <w:t>.37</w:t>
      </w:r>
      <w:r>
        <w:rPr>
          <w:rFonts w:hint="eastAsia"/>
          <w:bCs/>
        </w:rPr>
        <w:t>%；全线新建隧道</w:t>
      </w:r>
      <w:r>
        <w:rPr>
          <w:szCs w:val="21"/>
        </w:rPr>
        <w:t>19498.15m/12</w:t>
      </w:r>
      <w:r>
        <w:rPr>
          <w:rFonts w:hint="eastAsia"/>
          <w:szCs w:val="21"/>
        </w:rPr>
        <w:t>座</w:t>
      </w:r>
      <w:r>
        <w:rPr>
          <w:rFonts w:hint="eastAsia"/>
          <w:bCs/>
        </w:rPr>
        <w:t>，隧道占路线总长38.27%。全线拟设互通式立交5座，服务区1处。</w:t>
      </w:r>
    </w:p>
    <w:p>
      <w:pPr>
        <w:pStyle w:val="34"/>
        <w:ind w:firstLine="480"/>
        <w:rPr>
          <w:bCs/>
        </w:rPr>
      </w:pPr>
      <w:r>
        <w:rPr>
          <w:rFonts w:hint="eastAsia"/>
          <w:bCs/>
        </w:rPr>
        <w:t>项目已于2019年6月18日取得了陕环评批复[2019]22号“陕西省生态环境厅关于陕西葛洲坝延黄宁石高速公路有限公司宁陕至石泉高速公路环境影响报告书的批复”，在后期线路施工设计阶段最终确定的线路走线与“环评”批复阶段大体一致，但是局部路线布置有调整，按照《</w:t>
      </w:r>
      <w:r>
        <w:rPr>
          <w:rFonts w:hint="eastAsia"/>
        </w:rPr>
        <w:t>关于印发环评管理中部分行业建设项目重大变动清单的通知</w:t>
      </w:r>
      <w:r>
        <w:rPr>
          <w:rFonts w:hint="eastAsia"/>
          <w:bCs/>
        </w:rPr>
        <w:t>》</w:t>
      </w:r>
      <w:r>
        <w:rPr>
          <w:rFonts w:hint="eastAsia"/>
        </w:rPr>
        <w:t>环办〔</w:t>
      </w:r>
      <w:r>
        <w:t>2015</w:t>
      </w:r>
      <w:r>
        <w:rPr>
          <w:rFonts w:hint="eastAsia"/>
        </w:rPr>
        <w:t>〕</w:t>
      </w:r>
      <w:r>
        <w:t>52</w:t>
      </w:r>
      <w:r>
        <w:rPr>
          <w:rFonts w:hint="eastAsia"/>
        </w:rPr>
        <w:t>号文</w:t>
      </w:r>
      <w:r>
        <w:rPr>
          <w:rFonts w:hint="eastAsia"/>
          <w:bCs/>
        </w:rPr>
        <w:t>，宁陕至石泉高速公路项目环境影响评价需要重新上报审批。项目拟于2019年3月开工建设，预计2022年9月竣工通车，工期三年。</w:t>
      </w:r>
    </w:p>
    <w:p>
      <w:pPr>
        <w:pStyle w:val="34"/>
        <w:ind w:firstLine="480"/>
        <w:rPr>
          <w:kern w:val="0"/>
        </w:rPr>
      </w:pPr>
      <w:r>
        <w:rPr>
          <w:rFonts w:hint="eastAsia"/>
          <w:kern w:val="0"/>
        </w:rPr>
        <w:t>本项目在环评期间，我单位按照《环境影响评价公众参与办法》的相关要求开展了公众参与工作，整个公众参与工作贯穿于环评工作的全过程，主要分为三个阶段。</w:t>
      </w:r>
    </w:p>
    <w:p>
      <w:pPr>
        <w:pStyle w:val="34"/>
        <w:ind w:firstLine="480"/>
        <w:rPr>
          <w:kern w:val="0"/>
        </w:rPr>
      </w:pPr>
      <w:r>
        <w:rPr>
          <w:rFonts w:hint="eastAsia"/>
          <w:kern w:val="0"/>
        </w:rPr>
        <w:t>（1）第一阶段</w:t>
      </w:r>
    </w:p>
    <w:p>
      <w:pPr>
        <w:pStyle w:val="34"/>
        <w:ind w:firstLine="480"/>
        <w:rPr>
          <w:kern w:val="0"/>
        </w:rPr>
      </w:pPr>
      <w:r>
        <w:rPr>
          <w:rFonts w:hint="eastAsia"/>
          <w:kern w:val="0"/>
        </w:rPr>
        <w:t>委托环评工作任务后7日内（环评委托日期为2019年10月28日），于2019年11月1日、11月4日，在石泉县人民政府网站（http://www.shiquan.gov.cn/）、宁陕县人民政府网站（http://www.ningshan.gov.cn/）发布了第一次网上公示，第一次公示内容及过程符合《环境影响评价公众参与暂行办法》的相关要求。</w:t>
      </w:r>
    </w:p>
    <w:p>
      <w:pPr>
        <w:pStyle w:val="34"/>
        <w:ind w:firstLine="480"/>
        <w:rPr>
          <w:kern w:val="0"/>
        </w:rPr>
      </w:pPr>
      <w:r>
        <w:rPr>
          <w:rFonts w:hint="eastAsia"/>
          <w:kern w:val="0"/>
        </w:rPr>
        <w:t>（2）第二阶段</w:t>
      </w:r>
    </w:p>
    <w:p>
      <w:pPr>
        <w:pStyle w:val="34"/>
        <w:ind w:firstLine="480"/>
        <w:rPr>
          <w:kern w:val="0"/>
        </w:rPr>
      </w:pPr>
      <w:r>
        <w:rPr>
          <w:rFonts w:hint="eastAsia"/>
          <w:kern w:val="0"/>
        </w:rPr>
        <w:t>《宁陕至石泉高速公路（重大变动）环境影响报告书（征求意见稿）》（以下简称“征求意见稿”）编制完成后，于2020年6月27日将征求意见稿信息通过网络平台、报纸及现场张贴公告等三种方式进行信息公开，告知了征求意见的内容。本次征求意见的期限为10个工作日。征求意见内容、过程及途径符合《环境影响评价公众参与办法》的相关要求。</w:t>
      </w:r>
    </w:p>
    <w:p>
      <w:pPr>
        <w:pStyle w:val="34"/>
        <w:ind w:firstLine="480"/>
        <w:rPr>
          <w:kern w:val="0"/>
        </w:rPr>
      </w:pPr>
      <w:r>
        <w:rPr>
          <w:rFonts w:hint="eastAsia"/>
          <w:kern w:val="0"/>
        </w:rPr>
        <w:t>（3）第三阶段</w:t>
      </w:r>
    </w:p>
    <w:p>
      <w:pPr>
        <w:pStyle w:val="34"/>
        <w:ind w:firstLine="480"/>
        <w:rPr>
          <w:kern w:val="0"/>
        </w:rPr>
      </w:pPr>
      <w:r>
        <w:rPr>
          <w:rFonts w:hint="eastAsia"/>
          <w:kern w:val="0"/>
        </w:rPr>
        <w:t>对收集的公众意见进行整理、汇总，形成了《宁陕至石泉高速公路（重大变动）环境影响评价公众参与说明》。</w:t>
      </w:r>
    </w:p>
    <w:p>
      <w:pPr>
        <w:keepNext/>
        <w:keepLines/>
        <w:widowControl/>
        <w:spacing w:beforeLines="50" w:line="360" w:lineRule="auto"/>
        <w:outlineLvl w:val="0"/>
        <w:rPr>
          <w:rFonts w:ascii="微软雅黑" w:hAnsi="微软雅黑" w:eastAsia="微软雅黑" w:cs="宋体"/>
          <w:kern w:val="0"/>
          <w:sz w:val="18"/>
          <w:szCs w:val="18"/>
        </w:rPr>
      </w:pPr>
      <w:r>
        <w:rPr>
          <w:rFonts w:hint="eastAsia" w:eastAsia="黑体" w:cs="Times New Roman"/>
          <w:bCs/>
          <w:kern w:val="0"/>
          <w:sz w:val="28"/>
          <w:szCs w:val="20"/>
        </w:rPr>
        <w:t>2 首次环境影响评价信息公开情况</w:t>
      </w:r>
    </w:p>
    <w:p>
      <w:pPr>
        <w:widowControl/>
        <w:spacing w:afterLines="50" w:line="360" w:lineRule="auto"/>
        <w:jc w:val="left"/>
        <w:outlineLvl w:val="1"/>
        <w:rPr>
          <w:rFonts w:eastAsia="黑体" w:cs="宋体"/>
          <w:kern w:val="0"/>
          <w:sz w:val="24"/>
          <w:szCs w:val="18"/>
        </w:rPr>
      </w:pPr>
      <w:r>
        <w:rPr>
          <w:rFonts w:hint="eastAsia" w:eastAsia="黑体" w:cs="宋体"/>
          <w:bCs/>
          <w:kern w:val="0"/>
          <w:sz w:val="24"/>
        </w:rPr>
        <w:t xml:space="preserve">2.1 </w:t>
      </w:r>
      <w:r>
        <w:rPr>
          <w:rFonts w:hint="eastAsia" w:hAnsi="微软雅黑" w:eastAsia="黑体" w:cs="宋体"/>
          <w:bCs/>
          <w:kern w:val="0"/>
          <w:sz w:val="24"/>
        </w:rPr>
        <w:t>公开内容及日期</w:t>
      </w:r>
    </w:p>
    <w:p>
      <w:pPr>
        <w:pStyle w:val="34"/>
        <w:ind w:firstLine="480"/>
        <w:rPr>
          <w:kern w:val="0"/>
        </w:rPr>
      </w:pPr>
      <w:r>
        <w:rPr>
          <w:rFonts w:hint="eastAsia"/>
          <w:kern w:val="0"/>
        </w:rPr>
        <w:t>陕西葛洲坝延黄宁石高速公路有限公司委托环评工作任务后</w:t>
      </w:r>
      <w:r>
        <w:rPr>
          <w:kern w:val="0"/>
        </w:rPr>
        <w:t>7</w:t>
      </w:r>
      <w:r>
        <w:rPr>
          <w:rFonts w:hint="eastAsia"/>
          <w:kern w:val="0"/>
        </w:rPr>
        <w:t>日内（环评委托日期为2019年10月28日），于2019年11月1日、11月4日，分别在石泉县人民政府网站（http://www.shiquan.gov.cn/）、宁陕县人民政府网站（http://www.ningshan.gov.cn/）发布了第一次网上公示。公示信息中介绍了建设工程项目的有关内容，其中包括建设项目基本情况、建设单位名称和联系方式、环境影响报告书编制单位的名称、征求公众意见的主要事项、提交公众意见表的方式和途径等。</w:t>
      </w:r>
    </w:p>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2.2 公开方式</w:t>
      </w:r>
    </w:p>
    <w:p>
      <w:pPr>
        <w:pStyle w:val="34"/>
        <w:ind w:firstLine="480"/>
        <w:rPr>
          <w:kern w:val="0"/>
        </w:rPr>
      </w:pPr>
      <w:r>
        <w:rPr>
          <w:kern w:val="0"/>
        </w:rPr>
        <w:t>本次网络公示选择的</w:t>
      </w:r>
      <w:r>
        <w:rPr>
          <w:rFonts w:hint="eastAsia"/>
          <w:kern w:val="0"/>
        </w:rPr>
        <w:t>宁陕县人民政府网站（http://www.ningshan.gov.cn/）、石泉县人民政府网站（http://www.shiquan.gov.cn/），为宁陕县人民政府和石泉县人民政府官方网站。项目建设地位于宁陕县和石泉县境内，因此本次网络公示载体选择符合公参参与的要求。网站公示截图见图1和图2。</w:t>
      </w:r>
    </w:p>
    <w:p>
      <w:pPr>
        <w:pStyle w:val="34"/>
        <w:ind w:firstLine="480"/>
        <w:rPr>
          <w:kern w:val="0"/>
        </w:rPr>
      </w:pPr>
    </w:p>
    <w:p>
      <w:pPr>
        <w:pStyle w:val="34"/>
        <w:ind w:firstLine="480"/>
        <w:rPr>
          <w:kern w:val="0"/>
        </w:rPr>
      </w:pPr>
    </w:p>
    <w:p>
      <w:pPr>
        <w:pStyle w:val="34"/>
        <w:ind w:firstLine="480"/>
        <w:rPr>
          <w:kern w:val="0"/>
        </w:rPr>
      </w:pPr>
    </w:p>
    <w:p>
      <w:pPr>
        <w:pStyle w:val="34"/>
        <w:ind w:firstLine="0" w:firstLineChars="0"/>
        <w:jc w:val="center"/>
        <w:rPr>
          <w:kern w:val="0"/>
        </w:rPr>
      </w:pPr>
      <w:r>
        <w:rPr>
          <w:kern w:val="0"/>
        </w:rPr>
        <w:drawing>
          <wp:inline distT="0" distB="0" distL="0" distR="0">
            <wp:extent cx="4362450" cy="3162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68532" cy="3167779"/>
                    </a:xfrm>
                    <a:prstGeom prst="rect">
                      <a:avLst/>
                    </a:prstGeom>
                    <a:noFill/>
                    <a:ln>
                      <a:noFill/>
                    </a:ln>
                  </pic:spPr>
                </pic:pic>
              </a:graphicData>
            </a:graphic>
          </wp:inline>
        </w:drawing>
      </w:r>
    </w:p>
    <w:p>
      <w:pPr>
        <w:pStyle w:val="34"/>
        <w:ind w:firstLine="0" w:firstLineChars="0"/>
        <w:jc w:val="center"/>
        <w:rPr>
          <w:kern w:val="0"/>
        </w:rPr>
      </w:pPr>
      <w:r>
        <w:rPr>
          <w:kern w:val="0"/>
        </w:rPr>
        <w:drawing>
          <wp:inline distT="0" distB="0" distL="0" distR="0">
            <wp:extent cx="4352925" cy="3252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85644" cy="3277358"/>
                    </a:xfrm>
                    <a:prstGeom prst="rect">
                      <a:avLst/>
                    </a:prstGeom>
                    <a:noFill/>
                    <a:ln>
                      <a:noFill/>
                    </a:ln>
                  </pic:spPr>
                </pic:pic>
              </a:graphicData>
            </a:graphic>
          </wp:inline>
        </w:drawing>
      </w:r>
    </w:p>
    <w:p>
      <w:pPr>
        <w:pStyle w:val="34"/>
        <w:ind w:firstLine="0" w:firstLineChars="0"/>
        <w:jc w:val="center"/>
        <w:rPr>
          <w:kern w:val="0"/>
        </w:rPr>
      </w:pPr>
      <w:r>
        <w:rPr>
          <w:kern w:val="0"/>
        </w:rPr>
        <w:drawing>
          <wp:inline distT="0" distB="0" distL="0" distR="0">
            <wp:extent cx="4362450" cy="1558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53775" cy="1591784"/>
                    </a:xfrm>
                    <a:prstGeom prst="rect">
                      <a:avLst/>
                    </a:prstGeom>
                    <a:noFill/>
                    <a:ln>
                      <a:noFill/>
                    </a:ln>
                  </pic:spPr>
                </pic:pic>
              </a:graphicData>
            </a:graphic>
          </wp:inline>
        </w:drawing>
      </w:r>
    </w:p>
    <w:p>
      <w:pPr>
        <w:pStyle w:val="31"/>
        <w:spacing w:before="156"/>
        <w:rPr>
          <w:kern w:val="0"/>
        </w:rPr>
      </w:pPr>
      <w:r>
        <w:rPr>
          <w:rFonts w:hint="eastAsia"/>
          <w:kern w:val="0"/>
        </w:rPr>
        <w:t>图1  第一次网络公示截图（宁陕县人民政府网站）</w:t>
      </w:r>
    </w:p>
    <w:p>
      <w:pPr>
        <w:pStyle w:val="31"/>
        <w:spacing w:before="156"/>
        <w:rPr>
          <w:kern w:val="0"/>
        </w:rPr>
      </w:pPr>
      <w:r>
        <w:rPr>
          <w:kern w:val="0"/>
        </w:rPr>
        <w:drawing>
          <wp:inline distT="0" distB="0" distL="0" distR="0">
            <wp:extent cx="4182745" cy="3138805"/>
            <wp:effectExtent l="19050" t="0" r="816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04464" cy="3155247"/>
                    </a:xfrm>
                    <a:prstGeom prst="rect">
                      <a:avLst/>
                    </a:prstGeom>
                    <a:noFill/>
                    <a:ln>
                      <a:noFill/>
                    </a:ln>
                  </pic:spPr>
                </pic:pic>
              </a:graphicData>
            </a:graphic>
          </wp:inline>
        </w:drawing>
      </w:r>
    </w:p>
    <w:p>
      <w:pPr>
        <w:pStyle w:val="31"/>
        <w:spacing w:before="156"/>
        <w:rPr>
          <w:kern w:val="0"/>
        </w:rPr>
      </w:pPr>
      <w:r>
        <w:rPr>
          <w:kern w:val="0"/>
        </w:rPr>
        <w:drawing>
          <wp:inline distT="0" distB="0" distL="0" distR="0">
            <wp:extent cx="4135755" cy="308991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b="1451"/>
                    <a:stretch>
                      <a:fillRect/>
                    </a:stretch>
                  </pic:blipFill>
                  <pic:spPr>
                    <a:xfrm>
                      <a:off x="0" y="0"/>
                      <a:ext cx="4149009" cy="3099834"/>
                    </a:xfrm>
                    <a:prstGeom prst="rect">
                      <a:avLst/>
                    </a:prstGeom>
                    <a:noFill/>
                    <a:ln>
                      <a:noFill/>
                    </a:ln>
                  </pic:spPr>
                </pic:pic>
              </a:graphicData>
            </a:graphic>
          </wp:inline>
        </w:drawing>
      </w:r>
    </w:p>
    <w:p>
      <w:pPr>
        <w:pStyle w:val="31"/>
        <w:spacing w:before="156"/>
        <w:rPr>
          <w:kern w:val="0"/>
        </w:rPr>
      </w:pPr>
      <w:r>
        <w:rPr>
          <w:kern w:val="0"/>
        </w:rPr>
        <w:drawing>
          <wp:inline distT="0" distB="0" distL="0" distR="0">
            <wp:extent cx="4167505" cy="1850390"/>
            <wp:effectExtent l="19050" t="0" r="4089"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b="8722"/>
                    <a:stretch>
                      <a:fillRect/>
                    </a:stretch>
                  </pic:blipFill>
                  <pic:spPr>
                    <a:xfrm>
                      <a:off x="0" y="0"/>
                      <a:ext cx="4219740" cy="1873607"/>
                    </a:xfrm>
                    <a:prstGeom prst="rect">
                      <a:avLst/>
                    </a:prstGeom>
                    <a:noFill/>
                    <a:ln>
                      <a:noFill/>
                    </a:ln>
                  </pic:spPr>
                </pic:pic>
              </a:graphicData>
            </a:graphic>
          </wp:inline>
        </w:drawing>
      </w:r>
    </w:p>
    <w:p>
      <w:pPr>
        <w:pStyle w:val="31"/>
        <w:spacing w:before="156"/>
        <w:rPr>
          <w:kern w:val="0"/>
        </w:rPr>
      </w:pPr>
      <w:r>
        <w:rPr>
          <w:rFonts w:hint="eastAsia"/>
          <w:kern w:val="0"/>
        </w:rPr>
        <w:t>图2  第一次网络公示截图（石泉县人民政府网站）</w:t>
      </w:r>
    </w:p>
    <w:p>
      <w:pPr>
        <w:pStyle w:val="31"/>
        <w:spacing w:before="156"/>
        <w:rPr>
          <w:kern w:val="0"/>
        </w:rPr>
      </w:pPr>
      <w:r>
        <w:drawing>
          <wp:inline distT="0" distB="0" distL="0" distR="0">
            <wp:extent cx="2438400" cy="1779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rcRect l="6061"/>
                    <a:stretch>
                      <a:fillRect/>
                    </a:stretch>
                  </pic:blipFill>
                  <pic:spPr>
                    <a:xfrm>
                      <a:off x="0" y="0"/>
                      <a:ext cx="2465744" cy="1800274"/>
                    </a:xfrm>
                    <a:prstGeom prst="rect">
                      <a:avLst/>
                    </a:prstGeom>
                    <a:ln>
                      <a:noFill/>
                    </a:ln>
                  </pic:spPr>
                </pic:pic>
              </a:graphicData>
            </a:graphic>
          </wp:inline>
        </w:drawing>
      </w:r>
      <w:r>
        <w:rPr>
          <w:rFonts w:hint="eastAsia"/>
          <w:kern w:val="0"/>
        </w:rPr>
        <w:t xml:space="preserve"> </w:t>
      </w:r>
      <w:r>
        <w:rPr>
          <w:kern w:val="0"/>
        </w:rPr>
        <w:t xml:space="preserve"> </w:t>
      </w:r>
      <w:r>
        <w:drawing>
          <wp:inline distT="0" distB="0" distL="0" distR="0">
            <wp:extent cx="2324100" cy="17976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stretch>
                      <a:fillRect/>
                    </a:stretch>
                  </pic:blipFill>
                  <pic:spPr>
                    <a:xfrm>
                      <a:off x="0" y="0"/>
                      <a:ext cx="2340819" cy="1811093"/>
                    </a:xfrm>
                    <a:prstGeom prst="rect">
                      <a:avLst/>
                    </a:prstGeom>
                  </pic:spPr>
                </pic:pic>
              </a:graphicData>
            </a:graphic>
          </wp:inline>
        </w:drawing>
      </w:r>
    </w:p>
    <w:p>
      <w:pPr>
        <w:pStyle w:val="31"/>
        <w:spacing w:before="156"/>
        <w:rPr>
          <w:kern w:val="0"/>
        </w:rPr>
      </w:pPr>
      <w:r>
        <w:rPr>
          <w:rFonts w:hint="eastAsia"/>
          <w:kern w:val="0"/>
        </w:rPr>
        <w:t>图3</w:t>
      </w:r>
      <w:r>
        <w:rPr>
          <w:kern w:val="0"/>
        </w:rPr>
        <w:t xml:space="preserve">  </w:t>
      </w:r>
      <w:r>
        <w:rPr>
          <w:rFonts w:hint="eastAsia"/>
          <w:kern w:val="0"/>
        </w:rPr>
        <w:t>现场张贴公示</w:t>
      </w:r>
    </w:p>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2.3 公众意见情况</w:t>
      </w:r>
    </w:p>
    <w:p>
      <w:pPr>
        <w:pStyle w:val="34"/>
        <w:ind w:firstLine="480"/>
        <w:rPr>
          <w:kern w:val="0"/>
        </w:rPr>
      </w:pPr>
      <w:r>
        <w:rPr>
          <w:rFonts w:hint="eastAsia"/>
          <w:kern w:val="0"/>
        </w:rPr>
        <w:t>第一次公示发布以后，邮件、电话、信件、传真等其他渠道均未收到公众反馈环评相关意见。</w:t>
      </w: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3 征求意见稿公示情况</w:t>
      </w:r>
    </w:p>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3.1 公示内容及时限</w:t>
      </w:r>
    </w:p>
    <w:p>
      <w:pPr>
        <w:pStyle w:val="34"/>
        <w:ind w:firstLine="480"/>
        <w:rPr>
          <w:kern w:val="0"/>
        </w:rPr>
      </w:pPr>
      <w:r>
        <w:rPr>
          <w:rFonts w:hint="eastAsia"/>
          <w:kern w:val="0"/>
        </w:rPr>
        <w:t>本项目《</w:t>
      </w:r>
      <w:r>
        <w:rPr>
          <w:rFonts w:hint="eastAsia"/>
          <w:bCs/>
        </w:rPr>
        <w:t>宁陕至石泉高速公路（重大变动）</w:t>
      </w:r>
      <w:r>
        <w:rPr>
          <w:rFonts w:hint="eastAsia"/>
          <w:kern w:val="0"/>
        </w:rPr>
        <w:t>环境影响报告书（征求意见稿）》（以下简称“征求意见稿”）编制完成后，于</w:t>
      </w:r>
      <w:r>
        <w:rPr>
          <w:kern w:val="0"/>
        </w:rPr>
        <w:t>20</w:t>
      </w:r>
      <w:r>
        <w:rPr>
          <w:rFonts w:hint="eastAsia"/>
          <w:kern w:val="0"/>
        </w:rPr>
        <w:t>20年6月27日将征求意见稿信息在网站、报纸上进行了公示，并同时在项目评价范围的村庄张贴公众参与公告，告知了征求意见的内容。</w:t>
      </w:r>
    </w:p>
    <w:p>
      <w:pPr>
        <w:pStyle w:val="34"/>
        <w:ind w:firstLine="480"/>
        <w:rPr>
          <w:kern w:val="0"/>
        </w:rPr>
      </w:pPr>
      <w:r>
        <w:rPr>
          <w:rFonts w:hint="eastAsia"/>
          <w:kern w:val="0"/>
        </w:rPr>
        <w:t>主要公示内容包括：征求意见稿全文的网络链接及查阅纸质报告书的方式和途径、征求意见的公众范围、公众意见表的网络链接、公众提出意见的方式和途径、公众提出意见的起止时间。其中公众意见提出的起止时间为2020年6月28日~7月9日，共10个工作日。</w:t>
      </w:r>
    </w:p>
    <w:p>
      <w:pPr>
        <w:pStyle w:val="34"/>
        <w:ind w:firstLine="480"/>
        <w:rPr>
          <w:kern w:val="0"/>
        </w:rPr>
      </w:pPr>
      <w:r>
        <w:rPr>
          <w:rFonts w:hint="eastAsia"/>
          <w:kern w:val="0"/>
        </w:rPr>
        <w:t>根据《环境影响评价公众参与办法》第十条和第十一条的规定</w:t>
      </w:r>
    </w:p>
    <w:p>
      <w:pPr>
        <w:pStyle w:val="34"/>
        <w:ind w:firstLine="480"/>
        <w:rPr>
          <w:kern w:val="0"/>
        </w:rPr>
      </w:pPr>
      <w:r>
        <w:rPr>
          <w:rFonts w:hint="eastAsia"/>
          <w:kern w:val="0"/>
        </w:rPr>
        <w:t>“第十条 建设项目环境影响报告书征求意见稿形成后，建设单位应当公开下列信息，征求与该建设项目环境影响有关的意见：</w:t>
      </w:r>
    </w:p>
    <w:p>
      <w:pPr>
        <w:pStyle w:val="34"/>
        <w:ind w:firstLine="480"/>
        <w:rPr>
          <w:kern w:val="0"/>
        </w:rPr>
      </w:pPr>
      <w:r>
        <w:rPr>
          <w:rFonts w:hint="eastAsia"/>
          <w:kern w:val="0"/>
        </w:rPr>
        <w:t>（一）环境影响报告书征求意见稿全文的网络链接及查阅纸质报告书的方式和途径；</w:t>
      </w:r>
    </w:p>
    <w:p>
      <w:pPr>
        <w:pStyle w:val="34"/>
        <w:ind w:firstLine="480"/>
        <w:rPr>
          <w:kern w:val="0"/>
        </w:rPr>
      </w:pPr>
      <w:r>
        <w:rPr>
          <w:rFonts w:hint="eastAsia"/>
          <w:kern w:val="0"/>
        </w:rPr>
        <w:t>（二）征求意见的公众范围；</w:t>
      </w:r>
    </w:p>
    <w:p>
      <w:pPr>
        <w:pStyle w:val="34"/>
        <w:ind w:firstLine="480"/>
        <w:rPr>
          <w:kern w:val="0"/>
        </w:rPr>
      </w:pPr>
      <w:r>
        <w:rPr>
          <w:rFonts w:hint="eastAsia"/>
          <w:kern w:val="0"/>
        </w:rPr>
        <w:t>（三）公众意见表的网络链接；</w:t>
      </w:r>
    </w:p>
    <w:p>
      <w:pPr>
        <w:pStyle w:val="34"/>
        <w:ind w:firstLine="480"/>
        <w:rPr>
          <w:kern w:val="0"/>
        </w:rPr>
      </w:pPr>
      <w:r>
        <w:rPr>
          <w:rFonts w:hint="eastAsia"/>
          <w:kern w:val="0"/>
        </w:rPr>
        <w:t>（四）公众提出意见的方式和途径；</w:t>
      </w:r>
    </w:p>
    <w:p>
      <w:pPr>
        <w:pStyle w:val="34"/>
        <w:ind w:firstLine="480"/>
        <w:rPr>
          <w:kern w:val="0"/>
        </w:rPr>
      </w:pPr>
      <w:r>
        <w:rPr>
          <w:rFonts w:hint="eastAsia"/>
          <w:kern w:val="0"/>
        </w:rPr>
        <w:t>（五）公众提出意见的起止时间。</w:t>
      </w:r>
    </w:p>
    <w:p>
      <w:pPr>
        <w:pStyle w:val="34"/>
        <w:ind w:firstLine="480"/>
        <w:rPr>
          <w:kern w:val="0"/>
        </w:rPr>
      </w:pPr>
      <w:r>
        <w:rPr>
          <w:rFonts w:hint="eastAsia"/>
          <w:kern w:val="0"/>
        </w:rPr>
        <w:t>建设单位征求公众意见的期限不得少于10个工作日。</w:t>
      </w:r>
    </w:p>
    <w:p>
      <w:pPr>
        <w:pStyle w:val="34"/>
        <w:ind w:firstLine="480"/>
        <w:rPr>
          <w:kern w:val="0"/>
        </w:rPr>
      </w:pPr>
      <w:r>
        <w:rPr>
          <w:rFonts w:hint="eastAsia"/>
          <w:kern w:val="0"/>
        </w:rPr>
        <w:t>第十一条 依照本办法第十条规定应当公开的信息，建设单位应当通过下列三种方式同步公开：</w:t>
      </w:r>
    </w:p>
    <w:p>
      <w:pPr>
        <w:pStyle w:val="34"/>
        <w:ind w:firstLine="480"/>
        <w:rPr>
          <w:kern w:val="0"/>
        </w:rPr>
      </w:pPr>
      <w:r>
        <w:rPr>
          <w:rFonts w:hint="eastAsia"/>
          <w:kern w:val="0"/>
        </w:rPr>
        <w:t>（一）通过网络平台公开，且持续公开期限不得少于10个工作日；</w:t>
      </w:r>
    </w:p>
    <w:p>
      <w:pPr>
        <w:pStyle w:val="34"/>
        <w:ind w:firstLine="480"/>
        <w:rPr>
          <w:kern w:val="0"/>
        </w:rPr>
      </w:pPr>
      <w:r>
        <w:rPr>
          <w:rFonts w:hint="eastAsia"/>
          <w:kern w:val="0"/>
        </w:rPr>
        <w:t>（二）通过建设项目所在地公众易于接触的报纸公开，且在征求意见的10个工作日内公开信息不得少于2次；</w:t>
      </w:r>
    </w:p>
    <w:p>
      <w:pPr>
        <w:pStyle w:val="34"/>
        <w:ind w:firstLine="480"/>
        <w:rPr>
          <w:kern w:val="0"/>
        </w:rPr>
      </w:pPr>
      <w:r>
        <w:rPr>
          <w:rFonts w:hint="eastAsia"/>
          <w:kern w:val="0"/>
        </w:rPr>
        <w:t>（三）通过在建设项目所在地公众易于知悉的场所张贴公告的方式公开，且持续公开期限不得少于10个工作日。”</w:t>
      </w:r>
    </w:p>
    <w:p>
      <w:pPr>
        <w:pStyle w:val="34"/>
        <w:ind w:firstLine="480"/>
        <w:rPr>
          <w:kern w:val="0"/>
        </w:rPr>
      </w:pPr>
      <w:r>
        <w:rPr>
          <w:rFonts w:hint="eastAsia"/>
          <w:kern w:val="0"/>
        </w:rPr>
        <w:t>本次征求</w:t>
      </w:r>
      <w:r>
        <w:rPr>
          <w:kern w:val="0"/>
        </w:rPr>
        <w:t>意见的内容包括了《</w:t>
      </w:r>
      <w:r>
        <w:rPr>
          <w:rFonts w:hint="eastAsia"/>
          <w:kern w:val="0"/>
        </w:rPr>
        <w:t>环境影响评价公众参与办法</w:t>
      </w:r>
      <w:r>
        <w:rPr>
          <w:kern w:val="0"/>
        </w:rPr>
        <w:t>》</w:t>
      </w:r>
      <w:r>
        <w:rPr>
          <w:rFonts w:hint="eastAsia"/>
          <w:kern w:val="0"/>
        </w:rPr>
        <w:t>“</w:t>
      </w:r>
      <w:r>
        <w:rPr>
          <w:kern w:val="0"/>
        </w:rPr>
        <w:t>第十条</w:t>
      </w:r>
      <w:r>
        <w:rPr>
          <w:rFonts w:hint="eastAsia"/>
          <w:kern w:val="0"/>
        </w:rPr>
        <w:t>”</w:t>
      </w:r>
      <w:r>
        <w:rPr>
          <w:kern w:val="0"/>
        </w:rPr>
        <w:t>的所有内容</w:t>
      </w:r>
      <w:r>
        <w:rPr>
          <w:rFonts w:hint="eastAsia"/>
          <w:kern w:val="0"/>
        </w:rPr>
        <w:t>，征求</w:t>
      </w:r>
      <w:r>
        <w:rPr>
          <w:kern w:val="0"/>
        </w:rPr>
        <w:t>意见的期限为</w:t>
      </w:r>
      <w:r>
        <w:rPr>
          <w:rFonts w:hint="eastAsia"/>
          <w:kern w:val="0"/>
        </w:rPr>
        <w:t>10个工作日；公开方式严格采用</w:t>
      </w:r>
      <w:r>
        <w:rPr>
          <w:kern w:val="0"/>
        </w:rPr>
        <w:t>《</w:t>
      </w:r>
      <w:r>
        <w:rPr>
          <w:rFonts w:hint="eastAsia"/>
          <w:kern w:val="0"/>
        </w:rPr>
        <w:t>环境影响评价公众参与办法</w:t>
      </w:r>
      <w:r>
        <w:rPr>
          <w:kern w:val="0"/>
        </w:rPr>
        <w:t>》</w:t>
      </w:r>
      <w:r>
        <w:rPr>
          <w:rFonts w:hint="eastAsia"/>
          <w:kern w:val="0"/>
        </w:rPr>
        <w:t>“</w:t>
      </w:r>
      <w:r>
        <w:rPr>
          <w:kern w:val="0"/>
        </w:rPr>
        <w:t>第十一条</w:t>
      </w:r>
      <w:r>
        <w:rPr>
          <w:rFonts w:hint="eastAsia"/>
          <w:kern w:val="0"/>
        </w:rPr>
        <w:t>”规定的网络平台、报纸及现场张贴公告等三种方式。网络平台和现场公告均持续公开10工作日，报纸公开在征求意见的时段内，分别于2020年6月28日和29日刊登了两次公示信息。</w:t>
      </w:r>
    </w:p>
    <w:p>
      <w:pPr>
        <w:pStyle w:val="34"/>
        <w:ind w:firstLine="480"/>
        <w:rPr>
          <w:rFonts w:ascii="微软雅黑" w:hAnsi="微软雅黑" w:eastAsia="微软雅黑" w:cs="宋体"/>
          <w:kern w:val="0"/>
          <w:sz w:val="18"/>
          <w:szCs w:val="18"/>
        </w:rPr>
      </w:pPr>
      <w:r>
        <w:rPr>
          <w:rFonts w:hint="eastAsia"/>
          <w:kern w:val="0"/>
        </w:rPr>
        <w:t>因此，本次征求意见程序与内容、公开时限均符合</w:t>
      </w:r>
      <w:r>
        <w:rPr>
          <w:kern w:val="0"/>
        </w:rPr>
        <w:t>《</w:t>
      </w:r>
      <w:r>
        <w:rPr>
          <w:rFonts w:hint="eastAsia"/>
          <w:kern w:val="0"/>
        </w:rPr>
        <w:t>环境影响评价公众参与办法</w:t>
      </w:r>
      <w:r>
        <w:rPr>
          <w:kern w:val="0"/>
        </w:rPr>
        <w:t>》的要求</w:t>
      </w:r>
      <w:r>
        <w:rPr>
          <w:rFonts w:hint="eastAsia"/>
          <w:kern w:val="0"/>
        </w:rPr>
        <w:t>。</w:t>
      </w:r>
    </w:p>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3.2 公示方式</w:t>
      </w:r>
    </w:p>
    <w:p>
      <w:pPr>
        <w:widowControl/>
        <w:spacing w:afterLines="50" w:line="360" w:lineRule="auto"/>
        <w:jc w:val="left"/>
        <w:outlineLvl w:val="2"/>
        <w:rPr>
          <w:rFonts w:hAnsi="微软雅黑" w:cs="宋体"/>
          <w:b/>
          <w:bCs/>
          <w:kern w:val="0"/>
          <w:sz w:val="24"/>
        </w:rPr>
      </w:pPr>
      <w:r>
        <w:rPr>
          <w:rFonts w:hint="eastAsia" w:hAnsi="微软雅黑" w:cs="宋体"/>
          <w:b/>
          <w:bCs/>
          <w:kern w:val="0"/>
          <w:sz w:val="24"/>
        </w:rPr>
        <w:t>3.2.1 网络</w:t>
      </w:r>
    </w:p>
    <w:p>
      <w:pPr>
        <w:pStyle w:val="34"/>
        <w:ind w:firstLine="480"/>
        <w:rPr>
          <w:rFonts w:ascii="微软雅黑" w:hAnsi="微软雅黑" w:eastAsia="微软雅黑" w:cs="宋体"/>
          <w:kern w:val="0"/>
          <w:sz w:val="18"/>
          <w:szCs w:val="18"/>
        </w:rPr>
      </w:pPr>
      <w:r>
        <w:rPr>
          <w:rFonts w:hint="eastAsia"/>
          <w:kern w:val="0"/>
        </w:rPr>
        <w:t>本项目环境影响报告书征求意见稿完成以后，</w:t>
      </w:r>
      <w:r>
        <w:rPr>
          <w:kern w:val="0"/>
        </w:rPr>
        <w:t>20</w:t>
      </w:r>
      <w:r>
        <w:rPr>
          <w:rFonts w:hint="eastAsia"/>
          <w:kern w:val="0"/>
        </w:rPr>
        <w:t>20年6月27日在宁陕县人民政府网站（http://www.ningshan.gov.cn/）、石泉县人民政府网站（http://www.shiquan.gov.cn/）发布了报告书征求意见稿信息公示，同时附有报告书征求意见稿和公众意见表的下载链接，以便公众查阅并提出意见，征求意见期限为10个工作日。第二次网络公示截图见图4和图5。</w:t>
      </w:r>
    </w:p>
    <w:p>
      <w:pPr>
        <w:pStyle w:val="34"/>
        <w:ind w:firstLine="0" w:firstLineChars="0"/>
        <w:jc w:val="center"/>
        <w:rPr>
          <w:rFonts w:ascii="微软雅黑" w:hAnsi="微软雅黑" w:eastAsia="微软雅黑" w:cs="宋体"/>
          <w:kern w:val="0"/>
          <w:sz w:val="18"/>
          <w:szCs w:val="18"/>
        </w:rPr>
      </w:pPr>
      <w:r>
        <w:rPr>
          <w:rFonts w:ascii="微软雅黑" w:hAnsi="微软雅黑" w:eastAsia="微软雅黑" w:cs="宋体"/>
          <w:kern w:val="0"/>
          <w:sz w:val="18"/>
          <w:szCs w:val="18"/>
        </w:rPr>
        <w:drawing>
          <wp:inline distT="0" distB="0" distL="0" distR="0">
            <wp:extent cx="5276850" cy="4381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4381500"/>
                    </a:xfrm>
                    <a:prstGeom prst="rect">
                      <a:avLst/>
                    </a:prstGeom>
                    <a:noFill/>
                    <a:ln>
                      <a:noFill/>
                    </a:ln>
                  </pic:spPr>
                </pic:pic>
              </a:graphicData>
            </a:graphic>
          </wp:inline>
        </w:drawing>
      </w:r>
    </w:p>
    <w:p>
      <w:pPr>
        <w:widowControl/>
        <w:spacing w:line="415" w:lineRule="atLeast"/>
        <w:jc w:val="center"/>
        <w:rPr>
          <w:rFonts w:ascii="微软雅黑" w:hAnsi="微软雅黑" w:eastAsia="微软雅黑" w:cs="宋体"/>
          <w:kern w:val="0"/>
          <w:sz w:val="18"/>
          <w:szCs w:val="18"/>
        </w:rPr>
      </w:pPr>
      <w:r>
        <w:rPr>
          <w:rFonts w:ascii="微软雅黑" w:hAnsi="微软雅黑" w:eastAsia="微软雅黑" w:cs="宋体"/>
          <w:kern w:val="0"/>
          <w:sz w:val="18"/>
          <w:szCs w:val="18"/>
        </w:rPr>
        <w:drawing>
          <wp:inline distT="0" distB="0" distL="0" distR="0">
            <wp:extent cx="5276850" cy="3238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3238500"/>
                    </a:xfrm>
                    <a:prstGeom prst="rect">
                      <a:avLst/>
                    </a:prstGeom>
                    <a:noFill/>
                    <a:ln>
                      <a:noFill/>
                    </a:ln>
                  </pic:spPr>
                </pic:pic>
              </a:graphicData>
            </a:graphic>
          </wp:inline>
        </w:drawing>
      </w:r>
    </w:p>
    <w:p>
      <w:pPr>
        <w:pStyle w:val="31"/>
        <w:spacing w:before="156"/>
        <w:rPr>
          <w:kern w:val="0"/>
        </w:rPr>
      </w:pPr>
      <w:r>
        <w:rPr>
          <w:rFonts w:hint="eastAsia"/>
          <w:kern w:val="0"/>
        </w:rPr>
        <w:t>图3  本项目环境影响报告书征求意见稿网站公示（宁陕县）</w:t>
      </w:r>
    </w:p>
    <w:p>
      <w:pPr>
        <w:pStyle w:val="31"/>
        <w:spacing w:before="156"/>
        <w:rPr>
          <w:kern w:val="0"/>
        </w:rPr>
      </w:pPr>
      <w:r>
        <w:drawing>
          <wp:inline distT="0" distB="0" distL="0" distR="0">
            <wp:extent cx="5278120" cy="3411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5278120" cy="3411855"/>
                    </a:xfrm>
                    <a:prstGeom prst="rect">
                      <a:avLst/>
                    </a:prstGeom>
                  </pic:spPr>
                </pic:pic>
              </a:graphicData>
            </a:graphic>
          </wp:inline>
        </w:drawing>
      </w:r>
    </w:p>
    <w:p>
      <w:pPr>
        <w:pStyle w:val="31"/>
        <w:spacing w:before="156"/>
        <w:rPr>
          <w:kern w:val="0"/>
        </w:rPr>
      </w:pPr>
      <w:r>
        <w:drawing>
          <wp:inline distT="0" distB="0" distL="0" distR="0">
            <wp:extent cx="5278120" cy="24168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stretch>
                      <a:fillRect/>
                    </a:stretch>
                  </pic:blipFill>
                  <pic:spPr>
                    <a:xfrm>
                      <a:off x="0" y="0"/>
                      <a:ext cx="5278120" cy="2416810"/>
                    </a:xfrm>
                    <a:prstGeom prst="rect">
                      <a:avLst/>
                    </a:prstGeom>
                  </pic:spPr>
                </pic:pic>
              </a:graphicData>
            </a:graphic>
          </wp:inline>
        </w:drawing>
      </w:r>
    </w:p>
    <w:p>
      <w:pPr>
        <w:pStyle w:val="31"/>
        <w:spacing w:before="156"/>
        <w:rPr>
          <w:kern w:val="0"/>
        </w:rPr>
      </w:pPr>
      <w:r>
        <w:rPr>
          <w:rFonts w:hint="eastAsia"/>
          <w:kern w:val="0"/>
        </w:rPr>
        <w:t>图4</w:t>
      </w:r>
      <w:r>
        <w:rPr>
          <w:kern w:val="0"/>
        </w:rPr>
        <w:t xml:space="preserve">  </w:t>
      </w:r>
      <w:r>
        <w:rPr>
          <w:rFonts w:hint="eastAsia"/>
          <w:kern w:val="0"/>
        </w:rPr>
        <w:t>本项目环境影响报告书征求意见稿网站公示（石泉县）</w:t>
      </w:r>
    </w:p>
    <w:p>
      <w:pPr>
        <w:widowControl/>
        <w:spacing w:afterLines="50" w:line="360" w:lineRule="auto"/>
        <w:jc w:val="left"/>
        <w:outlineLvl w:val="2"/>
        <w:rPr>
          <w:rFonts w:hAnsi="微软雅黑" w:cs="宋体"/>
          <w:b/>
          <w:bCs/>
          <w:kern w:val="0"/>
          <w:sz w:val="24"/>
        </w:rPr>
      </w:pPr>
      <w:r>
        <w:rPr>
          <w:rFonts w:hint="eastAsia" w:hAnsi="微软雅黑" w:cs="宋体"/>
          <w:b/>
          <w:bCs/>
          <w:kern w:val="0"/>
          <w:sz w:val="24"/>
        </w:rPr>
        <w:t>3.2.2 报纸</w:t>
      </w:r>
    </w:p>
    <w:p>
      <w:pPr>
        <w:pStyle w:val="34"/>
        <w:ind w:firstLine="480"/>
        <w:rPr>
          <w:kern w:val="0"/>
        </w:rPr>
      </w:pPr>
      <w:r>
        <w:rPr>
          <w:rFonts w:hint="eastAsia"/>
          <w:kern w:val="0"/>
        </w:rPr>
        <w:t>本项目报告书征求意见稿完成以后，</w:t>
      </w:r>
      <w:r>
        <w:rPr>
          <w:kern w:val="0"/>
        </w:rPr>
        <w:t>20</w:t>
      </w:r>
      <w:r>
        <w:rPr>
          <w:rFonts w:hint="eastAsia"/>
          <w:kern w:val="0"/>
        </w:rPr>
        <w:t>20年6月28日和29日在《三秦都市报》刊登了报纸公示。《三秦都市报》是陕西省省级报纸，属于当地群众最容易接触到的报纸，因此，报纸公示载体选择符合要求。报纸公示截图见图5。</w:t>
      </w:r>
    </w:p>
    <w:p>
      <w:pPr>
        <w:pStyle w:val="34"/>
        <w:spacing w:line="0" w:lineRule="atLeast"/>
        <w:ind w:firstLine="0" w:firstLineChars="0"/>
        <w:jc w:val="center"/>
        <w:rPr>
          <w:kern w:val="0"/>
        </w:rPr>
      </w:pPr>
      <w:r>
        <w:rPr>
          <w:kern w:val="0"/>
        </w:rPr>
        <w:drawing>
          <wp:inline distT="0" distB="0" distL="0" distR="0">
            <wp:extent cx="5276850" cy="12382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t="11084" b="57590"/>
                    <a:stretch>
                      <a:fillRect/>
                    </a:stretch>
                  </pic:blipFill>
                  <pic:spPr>
                    <a:xfrm>
                      <a:off x="0" y="0"/>
                      <a:ext cx="5276850" cy="1238250"/>
                    </a:xfrm>
                    <a:prstGeom prst="rect">
                      <a:avLst/>
                    </a:prstGeom>
                    <a:noFill/>
                    <a:ln>
                      <a:noFill/>
                    </a:ln>
                  </pic:spPr>
                </pic:pic>
              </a:graphicData>
            </a:graphic>
          </wp:inline>
        </w:drawing>
      </w:r>
    </w:p>
    <w:p>
      <w:pPr>
        <w:pStyle w:val="34"/>
        <w:spacing w:line="0" w:lineRule="atLeast"/>
        <w:ind w:firstLine="0" w:firstLineChars="0"/>
        <w:jc w:val="center"/>
        <w:rPr>
          <w:kern w:val="0"/>
        </w:rPr>
      </w:pPr>
      <w:r>
        <w:rPr>
          <w:kern w:val="0"/>
        </w:rPr>
        <w:drawing>
          <wp:inline distT="0" distB="0" distL="0" distR="0">
            <wp:extent cx="5276850" cy="3295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t="2410" b="14217"/>
                    <a:stretch>
                      <a:fillRect/>
                    </a:stretch>
                  </pic:blipFill>
                  <pic:spPr>
                    <a:xfrm>
                      <a:off x="0" y="0"/>
                      <a:ext cx="5276850" cy="3295650"/>
                    </a:xfrm>
                    <a:prstGeom prst="rect">
                      <a:avLst/>
                    </a:prstGeom>
                    <a:noFill/>
                    <a:ln>
                      <a:noFill/>
                    </a:ln>
                  </pic:spPr>
                </pic:pic>
              </a:graphicData>
            </a:graphic>
          </wp:inline>
        </w:drawing>
      </w:r>
    </w:p>
    <w:p>
      <w:pPr>
        <w:widowControl/>
        <w:spacing w:line="0" w:lineRule="atLeast"/>
        <w:jc w:val="center"/>
        <w:rPr>
          <w:kern w:val="0"/>
        </w:rPr>
      </w:pPr>
      <w:r>
        <w:rPr>
          <w:kern w:val="0"/>
        </w:rPr>
        <w:drawing>
          <wp:inline distT="0" distB="0" distL="0" distR="0">
            <wp:extent cx="5276850" cy="12668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t="10362" b="57590"/>
                    <a:stretch>
                      <a:fillRect/>
                    </a:stretch>
                  </pic:blipFill>
                  <pic:spPr>
                    <a:xfrm>
                      <a:off x="0" y="0"/>
                      <a:ext cx="5276850" cy="1266825"/>
                    </a:xfrm>
                    <a:prstGeom prst="rect">
                      <a:avLst/>
                    </a:prstGeom>
                    <a:noFill/>
                    <a:ln>
                      <a:noFill/>
                    </a:ln>
                  </pic:spPr>
                </pic:pic>
              </a:graphicData>
            </a:graphic>
          </wp:inline>
        </w:drawing>
      </w:r>
    </w:p>
    <w:p>
      <w:pPr>
        <w:widowControl/>
        <w:spacing w:line="0" w:lineRule="atLeast"/>
        <w:jc w:val="center"/>
        <w:rPr>
          <w:kern w:val="0"/>
        </w:rPr>
      </w:pPr>
      <w:r>
        <w:rPr>
          <w:rFonts w:hint="eastAsia"/>
          <w:kern w:val="0"/>
        </w:rPr>
        <w:drawing>
          <wp:inline distT="0" distB="0" distL="0" distR="0">
            <wp:extent cx="5276850" cy="3600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t="1204" b="7711"/>
                    <a:stretch>
                      <a:fillRect/>
                    </a:stretch>
                  </pic:blipFill>
                  <pic:spPr>
                    <a:xfrm>
                      <a:off x="0" y="0"/>
                      <a:ext cx="5276850" cy="3600450"/>
                    </a:xfrm>
                    <a:prstGeom prst="rect">
                      <a:avLst/>
                    </a:prstGeom>
                    <a:noFill/>
                    <a:ln>
                      <a:noFill/>
                    </a:ln>
                  </pic:spPr>
                </pic:pic>
              </a:graphicData>
            </a:graphic>
          </wp:inline>
        </w:drawing>
      </w:r>
    </w:p>
    <w:p>
      <w:pPr>
        <w:widowControl/>
        <w:spacing w:line="415" w:lineRule="atLeast"/>
        <w:jc w:val="center"/>
        <w:rPr>
          <w:rFonts w:ascii="微软雅黑" w:hAnsi="微软雅黑" w:eastAsia="微软雅黑" w:cs="宋体"/>
          <w:kern w:val="0"/>
          <w:sz w:val="18"/>
          <w:szCs w:val="18"/>
        </w:rPr>
      </w:pPr>
      <w:r>
        <w:rPr>
          <w:rFonts w:hint="eastAsia"/>
          <w:kern w:val="0"/>
        </w:rPr>
        <w:t xml:space="preserve"> 图5   报纸公示截图</w:t>
      </w:r>
    </w:p>
    <w:p>
      <w:pPr>
        <w:widowControl/>
        <w:spacing w:afterLines="50" w:line="360" w:lineRule="auto"/>
        <w:jc w:val="left"/>
        <w:outlineLvl w:val="2"/>
        <w:rPr>
          <w:rFonts w:hAnsi="微软雅黑" w:cs="宋体"/>
          <w:b/>
          <w:bCs/>
          <w:kern w:val="0"/>
          <w:sz w:val="24"/>
        </w:rPr>
      </w:pPr>
      <w:r>
        <w:rPr>
          <w:rFonts w:hint="eastAsia" w:hAnsi="微软雅黑" w:cs="宋体"/>
          <w:b/>
          <w:bCs/>
          <w:kern w:val="0"/>
          <w:sz w:val="24"/>
        </w:rPr>
        <w:t>3.2.3 张贴</w:t>
      </w:r>
    </w:p>
    <w:p>
      <w:pPr>
        <w:pStyle w:val="34"/>
        <w:ind w:firstLine="480"/>
        <w:rPr>
          <w:kern w:val="0"/>
        </w:rPr>
      </w:pPr>
      <w:r>
        <w:rPr>
          <w:rFonts w:hint="eastAsia"/>
          <w:kern w:val="0"/>
        </w:rPr>
        <w:t>本项目报告书征求意见稿完成以后，在网络平台和报纸公示的同时，为进步一步方便公众知晓征求意见的情况，于2020年7月7日、8日在现场张贴了公告。张贴公告的场所均位于村委会、乡（镇）政府等村务、政务公开栏，或者位于公众经常聚集的文化广场、学校门口等场所，便于公众知晓征求意见的具体内容。</w:t>
      </w:r>
    </w:p>
    <w:p>
      <w:pPr>
        <w:pStyle w:val="34"/>
        <w:ind w:firstLine="480"/>
        <w:rPr>
          <w:kern w:val="0"/>
        </w:rPr>
      </w:pPr>
      <w:r>
        <w:rPr>
          <w:rFonts w:hint="eastAsia"/>
          <w:kern w:val="0"/>
        </w:rPr>
        <w:t>因此，张贴区域属于</w:t>
      </w:r>
      <w:r>
        <w:rPr>
          <w:kern w:val="0"/>
        </w:rPr>
        <w:t>《</w:t>
      </w:r>
      <w:r>
        <w:rPr>
          <w:rFonts w:hint="eastAsia"/>
          <w:kern w:val="0"/>
        </w:rPr>
        <w:t>环境影响评价公众参与办法</w:t>
      </w:r>
      <w:r>
        <w:rPr>
          <w:kern w:val="0"/>
        </w:rPr>
        <w:t>》中规定的</w:t>
      </w:r>
      <w:r>
        <w:rPr>
          <w:rFonts w:hint="eastAsia"/>
          <w:kern w:val="0"/>
        </w:rPr>
        <w:t>“公众易于知悉的场所”，符合相关要求。现场张贴公告照片见图6。</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5"/>
        <w:gridCol w:w="4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12"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drawing>
                <wp:inline distT="0" distB="0" distL="0" distR="0">
                  <wp:extent cx="2476500" cy="1858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2008" cy="1870132"/>
                          </a:xfrm>
                          <a:prstGeom prst="rect">
                            <a:avLst/>
                          </a:prstGeom>
                          <a:noFill/>
                          <a:ln>
                            <a:noFill/>
                          </a:ln>
                        </pic:spPr>
                      </pic:pic>
                    </a:graphicData>
                  </a:graphic>
                </wp:inline>
              </w:drawing>
            </w:r>
          </w:p>
        </w:tc>
        <w:tc>
          <w:tcPr>
            <w:tcW w:w="2552" w:type="pct"/>
            <w:tcBorders>
              <w:top w:val="single" w:color="auto" w:sz="12"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cs="Times New Roman"/>
                <w:snapToGrid w:val="0"/>
                <w:kern w:val="0"/>
                <w:szCs w:val="21"/>
              </w:rPr>
              <w:drawing>
                <wp:inline distT="0" distB="0" distL="0" distR="0">
                  <wp:extent cx="2471420" cy="18554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86342" cy="186700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筒车湾镇</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许家城村（木瓜园行政村）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000" w:type="pct"/>
            <w:gridSpan w:val="2"/>
            <w:tcBorders>
              <w:top w:val="single" w:color="auto" w:sz="4" w:space="0"/>
              <w:left w:val="nil"/>
              <w:bottom w:val="nil"/>
              <w:right w:val="nil"/>
            </w:tcBorders>
            <w:vAlign w:val="center"/>
          </w:tcPr>
          <w:p>
            <w:pPr>
              <w:pStyle w:val="31"/>
              <w:spacing w:before="156"/>
              <w:rPr>
                <w:kern w:val="0"/>
              </w:rPr>
            </w:pPr>
            <w:r>
              <w:rPr>
                <w:rFonts w:hint="eastAsia"/>
                <w:kern w:val="0"/>
              </w:rPr>
              <w:t>图6  现场公告照片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2448" w:type="pct"/>
            <w:tcBorders>
              <w:top w:val="nil"/>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drawing>
                <wp:inline distT="0" distB="0" distL="0" distR="0">
                  <wp:extent cx="2466975" cy="18510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3167" cy="1855995"/>
                          </a:xfrm>
                          <a:prstGeom prst="rect">
                            <a:avLst/>
                          </a:prstGeom>
                          <a:noFill/>
                          <a:ln>
                            <a:noFill/>
                          </a:ln>
                        </pic:spPr>
                      </pic:pic>
                    </a:graphicData>
                  </a:graphic>
                </wp:inline>
              </w:drawing>
            </w:r>
          </w:p>
        </w:tc>
        <w:tc>
          <w:tcPr>
            <w:tcW w:w="2552" w:type="pct"/>
            <w:tcBorders>
              <w:top w:val="nil"/>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cs="Times New Roman"/>
                <w:snapToGrid w:val="0"/>
                <w:kern w:val="0"/>
                <w:szCs w:val="21"/>
              </w:rPr>
              <w:drawing>
                <wp:inline distT="0" distB="0" distL="0" distR="0">
                  <wp:extent cx="2524125" cy="18942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9391" cy="1898187"/>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汤坪村</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汤坪卫生院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cs="Times New Roman"/>
                <w:snapToGrid w:val="0"/>
                <w:kern w:val="0"/>
                <w:szCs w:val="21"/>
              </w:rPr>
              <w:drawing>
                <wp:inline distT="0" distB="0" distL="0" distR="0">
                  <wp:extent cx="2428240" cy="18237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40801" cy="1832804"/>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cs="Times New Roman"/>
                <w:snapToGrid w:val="0"/>
                <w:kern w:val="0"/>
                <w:szCs w:val="21"/>
              </w:rPr>
              <w:drawing>
                <wp:inline distT="0" distB="0" distL="0" distR="0">
                  <wp:extent cx="2438400" cy="18294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43204" cy="1833507"/>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汤坪小学</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华严小学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jc w:val="center"/>
              <w:rPr>
                <w:rFonts w:cs="Times New Roman"/>
                <w:sz w:val="24"/>
                <w:szCs w:val="21"/>
              </w:rPr>
            </w:pPr>
            <w:r>
              <w:rPr>
                <w:rFonts w:cs="Times New Roman"/>
                <w:sz w:val="24"/>
                <w:szCs w:val="21"/>
              </w:rPr>
              <w:drawing>
                <wp:inline distT="0" distB="0" distL="0" distR="0">
                  <wp:extent cx="2418715" cy="1816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27581" cy="1822876"/>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57450" cy="18440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61093" cy="1846933"/>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szCs w:val="21"/>
              </w:rPr>
            </w:pPr>
            <w:r>
              <w:rPr>
                <w:rFonts w:hint="eastAsia" w:cs="Times New Roman"/>
                <w:snapToGrid w:val="0"/>
                <w:kern w:val="0"/>
                <w:szCs w:val="21"/>
              </w:rPr>
              <w:t>华严村</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宁陕县城关镇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30780" cy="18256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44786" cy="1835796"/>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66975" cy="18510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75497" cy="1857739"/>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rPr>
            </w:pPr>
            <w:r>
              <w:rPr>
                <w:rFonts w:hint="eastAsia" w:cs="Times New Roman"/>
                <w:snapToGrid w:val="0"/>
                <w:kern w:val="0"/>
              </w:rPr>
              <w:t>朱家嘴</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柏杨村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49195" cy="18383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52870" cy="1840762"/>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38400" cy="18307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53574" cy="1842393"/>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rPr>
            </w:pPr>
            <w:r>
              <w:rPr>
                <w:rFonts w:hint="eastAsia" w:cs="Times New Roman"/>
                <w:snapToGrid w:val="0"/>
                <w:kern w:val="0"/>
              </w:rPr>
              <w:t>石泉县城关镇</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双桥村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392045" cy="18097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6" cstate="print">
                            <a:extLst>
                              <a:ext uri="{28A0092B-C50C-407E-A947-70E740481C1C}">
                                <a14:useLocalDpi xmlns:a14="http://schemas.microsoft.com/office/drawing/2010/main" val="0"/>
                              </a:ext>
                            </a:extLst>
                          </a:blip>
                          <a:srcRect l="3082" t="6154" r="6006" b="2248"/>
                          <a:stretch>
                            <a:fillRect/>
                          </a:stretch>
                        </pic:blipFill>
                        <pic:spPr>
                          <a:xfrm>
                            <a:off x="0" y="0"/>
                            <a:ext cx="2410746" cy="1823899"/>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70785" cy="18002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t="1" b="2970"/>
                          <a:stretch>
                            <a:fillRect/>
                          </a:stretch>
                        </pic:blipFill>
                        <pic:spPr>
                          <a:xfrm>
                            <a:off x="0" y="0"/>
                            <a:ext cx="2493170" cy="181653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石磨小学</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武警春蕾希望学校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cs="Times New Roman"/>
                <w:kern w:val="0"/>
              </w:rPr>
              <w:drawing>
                <wp:inline distT="0" distB="0" distL="0" distR="0">
                  <wp:extent cx="2363470" cy="18065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 cstate="print">
                            <a:extLst>
                              <a:ext uri="{28A0092B-C50C-407E-A947-70E740481C1C}">
                                <a14:useLocalDpi xmlns:a14="http://schemas.microsoft.com/office/drawing/2010/main" val="0"/>
                              </a:ext>
                            </a:extLst>
                          </a:blip>
                          <a:srcRect l="5778" b="4029"/>
                          <a:stretch>
                            <a:fillRect/>
                          </a:stretch>
                        </pic:blipFill>
                        <pic:spPr>
                          <a:xfrm>
                            <a:off x="0" y="0"/>
                            <a:ext cx="2371838" cy="1813003"/>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23795" cy="18192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0800000" flipV="1">
                            <a:off x="0" y="0"/>
                            <a:ext cx="2428172" cy="1822226"/>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石泉县第三中学</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双沟村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cs="Times New Roman"/>
                <w:kern w:val="0"/>
              </w:rPr>
              <w:drawing>
                <wp:inline distT="0" distB="0" distL="0" distR="0">
                  <wp:extent cx="2461895" cy="18478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66452" cy="1850954"/>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474595" cy="18567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77204" cy="1859023"/>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百乐村</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板桥村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cs="Times New Roman"/>
                <w:kern w:val="0"/>
              </w:rPr>
              <w:drawing>
                <wp:inline distT="0" distB="0" distL="0" distR="0">
                  <wp:extent cx="2428875" cy="18237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30874" cy="1825349"/>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cs="Times New Roman"/>
                <w:snapToGrid w:val="0"/>
                <w:kern w:val="0"/>
              </w:rPr>
              <w:drawing>
                <wp:inline distT="0" distB="0" distL="0" distR="0">
                  <wp:extent cx="2390775" cy="179514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93263" cy="1797107"/>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丁家坝村卫生室</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银桥小学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cs="Times New Roman"/>
                <w:kern w:val="0"/>
              </w:rPr>
              <w:drawing>
                <wp:inline distT="0" distB="0" distL="0" distR="0">
                  <wp:extent cx="2438400" cy="18294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455150" cy="1842473"/>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kern w:val="0"/>
              </w:rPr>
            </w:pPr>
            <w:r>
              <w:rPr>
                <w:rFonts w:cs="Times New Roman"/>
                <w:kern w:val="0"/>
              </w:rPr>
              <w:drawing>
                <wp:inline distT="0" distB="0" distL="0" distR="0">
                  <wp:extent cx="2376170" cy="18192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5" cstate="print">
                            <a:extLst>
                              <a:ext uri="{28A0092B-C50C-407E-A947-70E740481C1C}">
                                <a14:useLocalDpi xmlns:a14="http://schemas.microsoft.com/office/drawing/2010/main" val="0"/>
                              </a:ext>
                            </a:extLst>
                          </a:blip>
                          <a:srcRect r="1965"/>
                          <a:stretch>
                            <a:fillRect/>
                          </a:stretch>
                        </pic:blipFill>
                        <pic:spPr>
                          <a:xfrm>
                            <a:off x="0" y="0"/>
                            <a:ext cx="2391973" cy="1831048"/>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丁家坝村</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丁家坝敬老院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drawing>
                <wp:inline distT="0" distB="0" distL="0" distR="0">
                  <wp:extent cx="2457450" cy="18040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r="3988" b="6077"/>
                          <a:stretch>
                            <a:fillRect/>
                          </a:stretch>
                        </pic:blipFill>
                        <pic:spPr>
                          <a:xfrm>
                            <a:off x="0" y="0"/>
                            <a:ext cx="2460785" cy="1806528"/>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drawing>
                <wp:inline distT="0" distB="0" distL="0" distR="0">
                  <wp:extent cx="2390775" cy="17938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399065" cy="1800383"/>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铜钱峡村</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银杏坝小学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drawing>
                <wp:inline distT="0" distB="0" distL="0" distR="0">
                  <wp:extent cx="2447925" cy="18383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49766" cy="1839535"/>
                          </a:xfrm>
                          <a:prstGeom prst="rect">
                            <a:avLst/>
                          </a:prstGeom>
                          <a:noFill/>
                          <a:ln>
                            <a:noFill/>
                          </a:ln>
                        </pic:spPr>
                      </pic:pic>
                    </a:graphicData>
                  </a:graphic>
                </wp:inline>
              </w:drawing>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drawing>
                <wp:inline distT="0" distB="0" distL="0" distR="0">
                  <wp:extent cx="2436495" cy="18288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438239" cy="1829782"/>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48" w:type="pct"/>
            <w:tcBorders>
              <w:top w:val="single" w:color="auto" w:sz="4" w:space="0"/>
              <w:left w:val="nil"/>
              <w:bottom w:val="single" w:color="auto" w:sz="4" w:space="0"/>
              <w:right w:val="single" w:color="auto" w:sz="4" w:space="0"/>
            </w:tcBorders>
            <w:vAlign w:val="center"/>
          </w:tcPr>
          <w:p>
            <w:pPr>
              <w:adjustRightInd w:val="0"/>
              <w:jc w:val="center"/>
              <w:textAlignment w:val="baseline"/>
              <w:rPr>
                <w:rFonts w:cs="Times New Roman"/>
                <w:kern w:val="0"/>
              </w:rPr>
            </w:pPr>
            <w:r>
              <w:rPr>
                <w:rFonts w:hint="eastAsia" w:cs="Times New Roman"/>
                <w:kern w:val="0"/>
              </w:rPr>
              <w:t>银杏坝村卫生室</w:t>
            </w:r>
          </w:p>
        </w:tc>
        <w:tc>
          <w:tcPr>
            <w:tcW w:w="2552" w:type="pct"/>
            <w:tcBorders>
              <w:top w:val="single" w:color="auto" w:sz="4" w:space="0"/>
              <w:left w:val="single" w:color="auto" w:sz="4" w:space="0"/>
              <w:bottom w:val="single" w:color="auto" w:sz="4" w:space="0"/>
              <w:right w:val="nil"/>
            </w:tcBorders>
            <w:vAlign w:val="center"/>
          </w:tcPr>
          <w:p>
            <w:pPr>
              <w:adjustRightInd w:val="0"/>
              <w:jc w:val="center"/>
              <w:textAlignment w:val="baseline"/>
              <w:rPr>
                <w:rFonts w:cs="Times New Roman"/>
                <w:snapToGrid w:val="0"/>
                <w:kern w:val="0"/>
              </w:rPr>
            </w:pPr>
            <w:r>
              <w:rPr>
                <w:rFonts w:hint="eastAsia" w:cs="Times New Roman"/>
                <w:snapToGrid w:val="0"/>
                <w:kern w:val="0"/>
              </w:rPr>
              <w:t>银杏坝村</w:t>
            </w:r>
          </w:p>
        </w:tc>
      </w:tr>
    </w:tbl>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3.3查阅情况</w:t>
      </w:r>
    </w:p>
    <w:p>
      <w:pPr>
        <w:pStyle w:val="34"/>
        <w:ind w:firstLine="480"/>
        <w:rPr>
          <w:kern w:val="0"/>
        </w:rPr>
      </w:pPr>
      <w:r>
        <w:rPr>
          <w:rFonts w:hint="eastAsia"/>
          <w:kern w:val="0"/>
        </w:rPr>
        <w:t>本项目报告书征求意见稿编制完成后，纸质版存放在我单位办公室内，在公示期间有专人负责报告书征求意见稿的查阅工作，为需要查阅的公众提供报告书征求意见稿纸质版并负责对公众提出意见进行收集和解释。</w:t>
      </w:r>
    </w:p>
    <w:p>
      <w:pPr>
        <w:pStyle w:val="34"/>
        <w:ind w:firstLine="480"/>
        <w:rPr>
          <w:rFonts w:ascii="微软雅黑" w:hAnsi="微软雅黑" w:eastAsia="微软雅黑" w:cs="宋体"/>
          <w:kern w:val="0"/>
          <w:sz w:val="18"/>
          <w:szCs w:val="18"/>
        </w:rPr>
      </w:pPr>
      <w:r>
        <w:rPr>
          <w:rFonts w:hint="eastAsia"/>
          <w:kern w:val="0"/>
        </w:rPr>
        <w:t>在公示期间，无公众查阅纸质版报告征求意见稿。</w:t>
      </w:r>
    </w:p>
    <w:p>
      <w:pPr>
        <w:widowControl/>
        <w:spacing w:afterLines="50" w:line="360" w:lineRule="auto"/>
        <w:jc w:val="left"/>
        <w:outlineLvl w:val="1"/>
        <w:rPr>
          <w:rFonts w:hAnsi="微软雅黑" w:eastAsia="黑体" w:cs="宋体"/>
          <w:bCs/>
          <w:kern w:val="0"/>
          <w:sz w:val="24"/>
        </w:rPr>
      </w:pPr>
      <w:r>
        <w:rPr>
          <w:rFonts w:hint="eastAsia" w:hAnsi="微软雅黑" w:eastAsia="黑体" w:cs="宋体"/>
          <w:bCs/>
          <w:kern w:val="0"/>
          <w:sz w:val="24"/>
        </w:rPr>
        <w:t>3.4公众提出意见情况</w:t>
      </w:r>
    </w:p>
    <w:p>
      <w:pPr>
        <w:pStyle w:val="34"/>
        <w:ind w:firstLine="480"/>
        <w:rPr>
          <w:kern w:val="0"/>
        </w:rPr>
      </w:pPr>
      <w:r>
        <w:rPr>
          <w:rFonts w:hint="eastAsia"/>
          <w:kern w:val="0"/>
        </w:rPr>
        <w:t>征求意见期间，邮件、电话、信件、传真等渠道均未收到公众反馈环评相关意见。</w:t>
      </w: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4 公众意见处理情况</w:t>
      </w:r>
    </w:p>
    <w:p>
      <w:pPr>
        <w:pStyle w:val="34"/>
        <w:ind w:firstLine="480"/>
        <w:rPr>
          <w:kern w:val="0"/>
        </w:rPr>
      </w:pPr>
      <w:r>
        <w:rPr>
          <w:kern w:val="0"/>
        </w:rPr>
        <w:t>第一次公示和第二公示期间均未收到公众反馈意见</w:t>
      </w:r>
      <w:r>
        <w:rPr>
          <w:rFonts w:hint="eastAsia"/>
          <w:kern w:val="0"/>
        </w:rPr>
        <w:t>。</w:t>
      </w: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5 其他</w:t>
      </w:r>
    </w:p>
    <w:p>
      <w:pPr>
        <w:pStyle w:val="34"/>
        <w:ind w:firstLine="480"/>
        <w:rPr>
          <w:rFonts w:eastAsia="黑体" w:cs="Times New Roman"/>
          <w:bCs/>
          <w:kern w:val="0"/>
          <w:sz w:val="28"/>
          <w:szCs w:val="20"/>
        </w:rPr>
      </w:pPr>
      <w:r>
        <w:rPr>
          <w:rFonts w:hint="eastAsia"/>
          <w:kern w:val="0"/>
        </w:rPr>
        <w:t>本说明存放于本项目的前期档案中，随时备查。</w:t>
      </w:r>
      <w:r>
        <w:rPr>
          <w:rFonts w:eastAsia="黑体" w:cs="Times New Roman"/>
          <w:bCs/>
          <w:kern w:val="0"/>
          <w:sz w:val="28"/>
          <w:szCs w:val="20"/>
        </w:rPr>
        <w:br w:type="page"/>
      </w: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7 诚信承诺</w:t>
      </w:r>
    </w:p>
    <w:p>
      <w:pPr>
        <w:pStyle w:val="34"/>
        <w:ind w:firstLine="480"/>
        <w:rPr>
          <w:kern w:val="0"/>
        </w:rPr>
      </w:pPr>
      <w:r>
        <w:rPr>
          <w:rFonts w:hint="eastAsia"/>
          <w:kern w:val="0"/>
        </w:rPr>
        <w:t>我单位已按照《环境影响评价公众参与办法》要求，在</w:t>
      </w:r>
      <w:r>
        <w:rPr>
          <w:rFonts w:hint="eastAsia"/>
          <w:bCs/>
        </w:rPr>
        <w:t>宁陕至石泉高速公路（重大变动）</w:t>
      </w:r>
      <w:r>
        <w:rPr>
          <w:rFonts w:hint="eastAsia"/>
          <w:kern w:val="0"/>
        </w:rPr>
        <w:t>环境影响报告书编制阶段开展了公众参与工作，在环境影响报告书中充分采纳了公众提出的与环境影响相关的合理意见，对未采纳的意见按要求进行了说明，并按照要求编制了公众参与说明。</w:t>
      </w:r>
    </w:p>
    <w:p>
      <w:pPr>
        <w:pStyle w:val="34"/>
        <w:ind w:firstLine="480"/>
        <w:rPr>
          <w:kern w:val="0"/>
        </w:rPr>
      </w:pPr>
      <w:r>
        <w:rPr>
          <w:rFonts w:hint="eastAsia"/>
          <w:kern w:val="0"/>
        </w:rPr>
        <w:t>我单位承诺，本次提交的《</w:t>
      </w:r>
      <w:r>
        <w:rPr>
          <w:rFonts w:hint="eastAsia"/>
          <w:bCs/>
        </w:rPr>
        <w:t>宁陕至石泉高速公路（重大变动）</w:t>
      </w:r>
      <w:r>
        <w:rPr>
          <w:rFonts w:hint="eastAsia"/>
          <w:kern w:val="0"/>
        </w:rPr>
        <w:t>环境影响评价参与说明》内容客观、真实，未包含依法不得公开的国家秘密、商业秘密、个人隐私。如存在弄虚作假、隐瞒欺骗等情况及由此导致的一切后果由陕西葛洲坝延黄宁石高速公路有限公司承担全部责任。</w:t>
      </w:r>
    </w:p>
    <w:p>
      <w:pPr>
        <w:pStyle w:val="34"/>
        <w:ind w:firstLine="480"/>
        <w:rPr>
          <w:kern w:val="0"/>
        </w:rPr>
      </w:pPr>
    </w:p>
    <w:p>
      <w:pPr>
        <w:pStyle w:val="34"/>
        <w:ind w:firstLine="480"/>
        <w:rPr>
          <w:kern w:val="0"/>
        </w:rPr>
      </w:pPr>
    </w:p>
    <w:p>
      <w:pPr>
        <w:pStyle w:val="34"/>
        <w:ind w:firstLine="480"/>
        <w:rPr>
          <w:kern w:val="0"/>
        </w:rPr>
      </w:pPr>
    </w:p>
    <w:p>
      <w:pPr>
        <w:pStyle w:val="34"/>
        <w:ind w:firstLine="480"/>
        <w:jc w:val="right"/>
        <w:rPr>
          <w:kern w:val="0"/>
        </w:rPr>
      </w:pPr>
      <w:r>
        <w:rPr>
          <w:rFonts w:hint="eastAsia"/>
          <w:kern w:val="0"/>
        </w:rPr>
        <w:t>承诺单位：陕西葛洲坝延黄宁石高速公路有限公司</w:t>
      </w:r>
    </w:p>
    <w:p>
      <w:pPr>
        <w:pStyle w:val="34"/>
        <w:ind w:firstLine="480"/>
        <w:jc w:val="right"/>
        <w:rPr>
          <w:kern w:val="0"/>
        </w:rPr>
      </w:pPr>
      <w:r>
        <w:rPr>
          <w:rFonts w:hint="eastAsia"/>
          <w:kern w:val="0"/>
        </w:rPr>
        <w:t>承诺时间：20</w:t>
      </w:r>
      <w:r>
        <w:rPr>
          <w:kern w:val="0"/>
        </w:rPr>
        <w:t>20</w:t>
      </w:r>
      <w:r>
        <w:rPr>
          <w:rFonts w:hint="eastAsia"/>
          <w:kern w:val="0"/>
        </w:rPr>
        <w:t>年7月16日</w:t>
      </w:r>
    </w:p>
    <w:p>
      <w:pPr>
        <w:widowControl/>
        <w:jc w:val="left"/>
        <w:rPr>
          <w:rFonts w:eastAsia="黑体" w:cs="Times New Roman"/>
          <w:bCs/>
          <w:kern w:val="0"/>
          <w:sz w:val="28"/>
          <w:szCs w:val="20"/>
        </w:rPr>
      </w:pPr>
      <w:r>
        <w:rPr>
          <w:rFonts w:eastAsia="黑体" w:cs="Times New Roman"/>
          <w:bCs/>
          <w:kern w:val="0"/>
          <w:sz w:val="28"/>
          <w:szCs w:val="20"/>
        </w:rPr>
        <w:br w:type="page"/>
      </w:r>
    </w:p>
    <w:p>
      <w:pPr>
        <w:keepNext/>
        <w:keepLines/>
        <w:widowControl/>
        <w:spacing w:beforeLines="50" w:line="360" w:lineRule="auto"/>
        <w:outlineLvl w:val="0"/>
        <w:rPr>
          <w:rFonts w:eastAsia="黑体" w:cs="Times New Roman"/>
          <w:bCs/>
          <w:kern w:val="0"/>
          <w:sz w:val="28"/>
          <w:szCs w:val="20"/>
        </w:rPr>
      </w:pPr>
      <w:r>
        <w:rPr>
          <w:rFonts w:hint="eastAsia" w:eastAsia="黑体" w:cs="Times New Roman"/>
          <w:bCs/>
          <w:kern w:val="0"/>
          <w:sz w:val="28"/>
          <w:szCs w:val="20"/>
        </w:rPr>
        <w:t>8 附件</w:t>
      </w:r>
    </w:p>
    <w:p>
      <w:pPr>
        <w:pStyle w:val="34"/>
        <w:ind w:firstLine="480"/>
        <w:rPr>
          <w:kern w:val="0"/>
        </w:rPr>
      </w:pPr>
    </w:p>
    <w:p>
      <w:pPr>
        <w:pStyle w:val="34"/>
        <w:ind w:firstLine="480"/>
      </w:pPr>
      <w:r>
        <w:rPr>
          <w:rFonts w:hint="eastAsia"/>
        </w:rPr>
        <w:t>附件1  宁陕至石泉高速公路环境影响评价委托书</w:t>
      </w:r>
    </w:p>
    <w:p>
      <w:pPr>
        <w:pStyle w:val="34"/>
        <w:ind w:firstLine="480"/>
      </w:pPr>
      <w:r>
        <w:rPr>
          <w:rFonts w:hint="eastAsia"/>
        </w:rPr>
        <w:t>附件2  建设项目环境影响评价公众意见表</w:t>
      </w:r>
    </w:p>
    <w:p>
      <w:pPr>
        <w:pStyle w:val="34"/>
        <w:ind w:firstLine="480"/>
      </w:pPr>
      <w:r>
        <w:rPr>
          <w:rFonts w:hint="eastAsia"/>
        </w:rPr>
        <w:t>附件3  第一次网站公示内容</w:t>
      </w:r>
    </w:p>
    <w:p>
      <w:pPr>
        <w:pStyle w:val="34"/>
        <w:ind w:firstLine="480"/>
      </w:pPr>
      <w:r>
        <w:rPr>
          <w:rFonts w:hint="eastAsia"/>
        </w:rPr>
        <w:t>附件4  第二次网站公示、报纸公示、及现场公告内容</w:t>
      </w:r>
    </w:p>
    <w:p>
      <w:pPr>
        <w:widowControl/>
        <w:spacing w:line="415" w:lineRule="atLeast"/>
        <w:jc w:val="left"/>
        <w:rPr>
          <w:rFonts w:ascii="微软雅黑" w:hAnsi="微软雅黑" w:eastAsia="微软雅黑" w:cs="宋体"/>
          <w:kern w:val="0"/>
          <w:sz w:val="18"/>
          <w:szCs w:val="18"/>
        </w:rPr>
      </w:pPr>
    </w:p>
    <w:p>
      <w:pPr>
        <w:widowControl/>
        <w:spacing w:line="415" w:lineRule="atLeast"/>
        <w:jc w:val="left"/>
        <w:rPr>
          <w:rFonts w:ascii="微软雅黑" w:hAnsi="微软雅黑" w:eastAsia="微软雅黑" w:cs="宋体"/>
          <w:kern w:val="0"/>
          <w:sz w:val="18"/>
          <w:szCs w:val="18"/>
        </w:rPr>
        <w:sectPr>
          <w:headerReference r:id="rId3" w:type="default"/>
          <w:footerReference r:id="rId4" w:type="default"/>
          <w:pgSz w:w="11906" w:h="16838"/>
          <w:pgMar w:top="1418" w:right="1797" w:bottom="1418" w:left="1797" w:header="851" w:footer="992" w:gutter="0"/>
          <w:pgNumType w:start="1"/>
          <w:cols w:space="425" w:num="1"/>
          <w:docGrid w:type="lines" w:linePitch="312" w:charSpace="0"/>
        </w:sectPr>
      </w:pPr>
    </w:p>
    <w:p>
      <w:pPr>
        <w:widowControl/>
        <w:spacing w:afterLines="50"/>
        <w:jc w:val="left"/>
        <w:outlineLvl w:val="1"/>
        <w:rPr>
          <w:rFonts w:hAnsi="微软雅黑" w:eastAsia="黑体" w:cs="宋体"/>
          <w:bCs/>
          <w:kern w:val="0"/>
          <w:sz w:val="24"/>
        </w:rPr>
      </w:pPr>
      <w:bookmarkStart w:id="0" w:name="bookmark0"/>
      <w:r>
        <w:rPr>
          <w:rFonts w:hint="eastAsia" w:hAnsi="微软雅黑" w:eastAsia="黑体" w:cs="宋体"/>
          <w:bCs/>
          <w:kern w:val="0"/>
          <w:sz w:val="24"/>
        </w:rPr>
        <w:t xml:space="preserve">附件1 </w:t>
      </w:r>
    </w:p>
    <w:p>
      <w:pPr>
        <w:widowControl/>
        <w:ind w:left="-282" w:leftChars="-404" w:hanging="566" w:hangingChars="283"/>
        <w:jc w:val="center"/>
        <w:rPr>
          <w:rFonts w:eastAsia="黑体"/>
          <w:bCs/>
          <w:sz w:val="24"/>
        </w:rPr>
      </w:pPr>
      <w:r>
        <w:rPr>
          <w:sz w:val="20"/>
        </w:rPr>
        <w:drawing>
          <wp:inline distT="0" distB="0" distL="0" distR="0">
            <wp:extent cx="6128385" cy="7363460"/>
            <wp:effectExtent l="19050" t="0" r="5443" b="0"/>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eg"/>
                    <pic:cNvPicPr>
                      <a:picLocks noChangeAspect="1"/>
                    </pic:cNvPicPr>
                  </pic:nvPicPr>
                  <pic:blipFill>
                    <a:blip r:embed="rId50" cstate="print"/>
                    <a:srcRect t="8505" b="9754"/>
                    <a:stretch>
                      <a:fillRect/>
                    </a:stretch>
                  </pic:blipFill>
                  <pic:spPr>
                    <a:xfrm>
                      <a:off x="0" y="0"/>
                      <a:ext cx="6134210" cy="7370403"/>
                    </a:xfrm>
                    <a:prstGeom prst="rect">
                      <a:avLst/>
                    </a:prstGeom>
                    <a:ln>
                      <a:noFill/>
                    </a:ln>
                  </pic:spPr>
                </pic:pic>
              </a:graphicData>
            </a:graphic>
          </wp:inline>
        </w:drawing>
      </w:r>
    </w:p>
    <w:p>
      <w:pPr>
        <w:widowControl/>
        <w:jc w:val="left"/>
        <w:rPr>
          <w:rFonts w:eastAsia="黑体"/>
          <w:bCs/>
          <w:sz w:val="24"/>
        </w:rPr>
      </w:pPr>
      <w:r>
        <w:rPr>
          <w:rFonts w:eastAsia="黑体"/>
          <w:bCs/>
          <w:sz w:val="24"/>
        </w:rPr>
        <w:br w:type="page"/>
      </w:r>
    </w:p>
    <w:p>
      <w:pPr>
        <w:widowControl/>
        <w:spacing w:afterLines="50"/>
        <w:jc w:val="left"/>
        <w:outlineLvl w:val="1"/>
        <w:rPr>
          <w:rFonts w:hAnsi="微软雅黑" w:eastAsia="黑体" w:cs="宋体"/>
          <w:bCs/>
          <w:kern w:val="0"/>
          <w:sz w:val="24"/>
        </w:rPr>
      </w:pPr>
      <w:r>
        <w:rPr>
          <w:rFonts w:hint="eastAsia" w:hAnsi="微软雅黑" w:eastAsia="黑体" w:cs="宋体"/>
          <w:bCs/>
          <w:kern w:val="0"/>
          <w:sz w:val="24"/>
        </w:rPr>
        <w:t>附件2：</w:t>
      </w:r>
    </w:p>
    <w:bookmarkEnd w:id="0"/>
    <w:p>
      <w:pPr>
        <w:jc w:val="center"/>
        <w:rPr>
          <w:b/>
          <w:sz w:val="32"/>
          <w:szCs w:val="32"/>
        </w:rPr>
      </w:pPr>
      <w:r>
        <w:rPr>
          <w:rFonts w:hint="eastAsia"/>
          <w:b/>
          <w:sz w:val="32"/>
          <w:szCs w:val="32"/>
        </w:rPr>
        <w:t>建设项目环境影响评价公众意见表</w:t>
      </w:r>
    </w:p>
    <w:p>
      <w:pPr>
        <w:jc w:val="center"/>
        <w:rPr>
          <w:b/>
          <w:sz w:val="32"/>
          <w:szCs w:val="32"/>
        </w:rPr>
      </w:pPr>
    </w:p>
    <w:p>
      <w:r>
        <w:t>填表日期</w:t>
      </w:r>
      <w:r>
        <w:rPr>
          <w:rFonts w:hint="eastAsia"/>
        </w:rPr>
        <w:t>：</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569"/>
        <w:gridCol w:w="614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37" w:hRule="atLeast"/>
        </w:trPr>
        <w:tc>
          <w:tcPr>
            <w:tcW w:w="1809" w:type="dxa"/>
            <w:vAlign w:val="center"/>
          </w:tcPr>
          <w:p>
            <w:pPr>
              <w:jc w:val="center"/>
            </w:pPr>
            <w:r>
              <w:t>项目名称</w:t>
            </w:r>
          </w:p>
        </w:tc>
        <w:tc>
          <w:tcPr>
            <w:tcW w:w="6713" w:type="dxa"/>
            <w:gridSpan w:val="2"/>
            <w:vAlign w:val="center"/>
          </w:tcPr>
          <w:p>
            <w:pPr>
              <w:jc w:val="center"/>
            </w:pPr>
            <w:r>
              <w:rPr>
                <w:rFonts w:hint="eastAsia"/>
                <w:u w:val="single"/>
              </w:rPr>
              <w:t>宁陕至石泉高速公路</w:t>
            </w:r>
            <w:r>
              <w:rPr>
                <w:rFonts w:hint="eastAsia"/>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00" w:hRule="atLeast"/>
        </w:trPr>
        <w:tc>
          <w:tcPr>
            <w:tcW w:w="8522" w:type="dxa"/>
            <w:gridSpan w:val="3"/>
            <w:vAlign w:val="center"/>
          </w:tcPr>
          <w:p>
            <w:pPr>
              <w:rPr>
                <w:rFonts w:ascii="黑体" w:hAnsi="黑体" w:eastAsia="黑体"/>
                <w:sz w:val="24"/>
              </w:rPr>
            </w:pPr>
            <w:r>
              <w:rPr>
                <w:rFonts w:ascii="黑体" w:hAnsi="黑体" w:eastAsia="黑体"/>
                <w:sz w:val="24"/>
              </w:rPr>
              <w:t>一</w:t>
            </w:r>
            <w:r>
              <w:rPr>
                <w:rFonts w:hint="eastAsia" w:ascii="黑体" w:hAnsi="黑体" w:eastAsia="黑体"/>
                <w:sz w:val="24"/>
              </w:rPr>
              <w:t>、</w:t>
            </w:r>
            <w:r>
              <w:rPr>
                <w:rFonts w:ascii="黑体" w:hAnsi="黑体" w:eastAsia="黑体"/>
                <w:sz w:val="24"/>
              </w:rPr>
              <w:t>本页为公众意见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0332" w:hRule="atLeast"/>
        </w:trPr>
        <w:tc>
          <w:tcPr>
            <w:tcW w:w="1809" w:type="dxa"/>
            <w:vAlign w:val="center"/>
          </w:tcPr>
          <w:p>
            <w:pPr>
              <w:spacing w:line="300" w:lineRule="exact"/>
              <w:rPr>
                <w:rFonts w:ascii="宋体" w:hAnsi="宋体" w:cs="宋体"/>
                <w:spacing w:val="60"/>
                <w:szCs w:val="21"/>
              </w:rPr>
            </w:pPr>
            <w:r>
              <w:rPr>
                <w:rFonts w:ascii="宋体" w:hAnsi="宋体" w:cs="宋体"/>
                <w:spacing w:val="20"/>
                <w:szCs w:val="21"/>
                <w:shd w:val="clear" w:color="auto" w:fill="FFFFFF"/>
                <w:lang w:val="zh-TW" w:eastAsia="zh-TW" w:bidi="zh-TW"/>
              </w:rPr>
              <w:t>与本项目环境影响和环境保护</w:t>
            </w:r>
            <w:r>
              <w:rPr>
                <w:rFonts w:hint="eastAsia" w:ascii="宋体" w:hAnsi="宋体" w:cs="宋体"/>
                <w:spacing w:val="20"/>
                <w:szCs w:val="21"/>
                <w:shd w:val="clear" w:color="auto" w:fill="FFFFFF"/>
                <w:lang w:val="zh-TW" w:bidi="zh-TW"/>
              </w:rPr>
              <w:t>措施</w:t>
            </w:r>
            <w:r>
              <w:rPr>
                <w:rFonts w:ascii="宋体" w:hAnsi="宋体" w:cs="宋体"/>
                <w:spacing w:val="20"/>
                <w:szCs w:val="21"/>
                <w:shd w:val="clear" w:color="auto" w:fill="FFFFFF"/>
                <w:lang w:val="zh-TW" w:eastAsia="zh-TW" w:bidi="zh-TW"/>
              </w:rPr>
              <w:t>有关的</w:t>
            </w:r>
            <w:r>
              <w:rPr>
                <w:rFonts w:hint="eastAsia" w:ascii="宋体" w:hAnsi="宋体" w:cs="宋体"/>
                <w:spacing w:val="20"/>
                <w:szCs w:val="21"/>
                <w:shd w:val="clear" w:color="auto" w:fill="FFFFFF"/>
                <w:lang w:val="zh-TW" w:bidi="zh-TW"/>
              </w:rPr>
              <w:t>建议</w:t>
            </w:r>
            <w:r>
              <w:rPr>
                <w:rFonts w:ascii="宋体" w:hAnsi="宋体" w:cs="宋体"/>
                <w:spacing w:val="20"/>
                <w:szCs w:val="21"/>
                <w:shd w:val="clear" w:color="auto" w:fill="FFFFFF"/>
                <w:lang w:val="zh-TW" w:eastAsia="zh-TW" w:bidi="zh-TW"/>
              </w:rPr>
              <w:t>和意见（注：根据《环境</w:t>
            </w:r>
            <w:r>
              <w:rPr>
                <w:rFonts w:hint="eastAsia" w:ascii="宋体" w:hAnsi="宋体" w:cs="宋体"/>
                <w:spacing w:val="20"/>
                <w:szCs w:val="21"/>
                <w:shd w:val="clear" w:color="auto" w:fill="FFFFFF"/>
                <w:lang w:val="zh-TW" w:bidi="zh-TW"/>
              </w:rPr>
              <w:t>影响</w:t>
            </w:r>
            <w:r>
              <w:rPr>
                <w:rFonts w:ascii="宋体" w:hAnsi="宋体" w:cs="宋体"/>
                <w:spacing w:val="20"/>
                <w:szCs w:val="21"/>
                <w:shd w:val="clear" w:color="auto" w:fill="FFFFFF"/>
                <w:lang w:val="zh-TW" w:eastAsia="zh-TW" w:bidi="zh-TW"/>
              </w:rPr>
              <w:t>评价公众参与办法》规定，涉及征地拆迁、财产、就业等与项环评无关的</w:t>
            </w:r>
            <w:r>
              <w:rPr>
                <w:rFonts w:hint="eastAsia" w:ascii="宋体" w:hAnsi="宋体" w:cs="宋体"/>
                <w:spacing w:val="20"/>
                <w:szCs w:val="21"/>
                <w:shd w:val="clear" w:color="auto" w:fill="FFFFFF"/>
                <w:lang w:val="zh-TW" w:bidi="zh-TW"/>
              </w:rPr>
              <w:t>意见</w:t>
            </w:r>
            <w:r>
              <w:rPr>
                <w:rFonts w:ascii="宋体" w:hAnsi="宋体" w:cs="宋体"/>
                <w:spacing w:val="20"/>
                <w:szCs w:val="21"/>
                <w:shd w:val="clear" w:color="auto" w:fill="FFFFFF"/>
                <w:lang w:val="zh-TW" w:eastAsia="zh-TW" w:bidi="zh-TW"/>
              </w:rPr>
              <w:t>或</w:t>
            </w:r>
            <w:r>
              <w:rPr>
                <w:rFonts w:hint="eastAsia" w:ascii="宋体" w:hAnsi="宋体" w:cs="宋体"/>
                <w:spacing w:val="20"/>
                <w:szCs w:val="21"/>
                <w:shd w:val="clear" w:color="auto" w:fill="FFFFFF"/>
                <w:lang w:val="zh-TW" w:bidi="zh-TW"/>
              </w:rPr>
              <w:t>者</w:t>
            </w:r>
            <w:r>
              <w:rPr>
                <w:rFonts w:ascii="宋体" w:hAnsi="宋体" w:cs="宋体"/>
                <w:spacing w:val="20"/>
                <w:szCs w:val="21"/>
                <w:shd w:val="clear" w:color="auto" w:fill="FFFFFF"/>
                <w:lang w:val="zh-TW" w:eastAsia="zh-TW" w:bidi="zh-TW"/>
              </w:rPr>
              <w:t>诉求</w:t>
            </w:r>
            <w:r>
              <w:rPr>
                <w:rFonts w:hint="eastAsia" w:ascii="宋体" w:hAnsi="宋体" w:cs="宋体"/>
                <w:spacing w:val="20"/>
                <w:szCs w:val="21"/>
                <w:shd w:val="clear" w:color="auto" w:fill="FFFFFF"/>
                <w:lang w:val="zh-TW" w:bidi="zh-TW"/>
              </w:rPr>
              <w:t>不属于</w:t>
            </w:r>
            <w:r>
              <w:rPr>
                <w:rFonts w:ascii="宋体" w:hAnsi="宋体" w:cs="宋体"/>
                <w:spacing w:val="20"/>
                <w:szCs w:val="21"/>
                <w:shd w:val="clear" w:color="auto" w:fill="FFFFFF"/>
                <w:lang w:val="zh-TW" w:eastAsia="zh-TW" w:bidi="zh-TW"/>
              </w:rPr>
              <w:t>项目</w:t>
            </w:r>
            <w:r>
              <w:rPr>
                <w:rFonts w:hint="eastAsia" w:ascii="宋体" w:hAnsi="宋体" w:cs="宋体"/>
                <w:spacing w:val="20"/>
                <w:szCs w:val="21"/>
                <w:shd w:val="clear" w:color="auto" w:fill="FFFFFF"/>
                <w:lang w:val="zh-TW" w:bidi="zh-TW"/>
              </w:rPr>
              <w:t>环评</w:t>
            </w:r>
            <w:r>
              <w:rPr>
                <w:rFonts w:ascii="宋体" w:hAnsi="宋体" w:cs="宋体"/>
                <w:spacing w:val="20"/>
                <w:szCs w:val="21"/>
                <w:shd w:val="clear" w:color="auto" w:fill="FFFFFF"/>
                <w:lang w:val="zh-TW" w:eastAsia="zh-TW" w:bidi="zh-TW"/>
              </w:rPr>
              <w:t>公参内容</w:t>
            </w:r>
            <w:r>
              <w:rPr>
                <w:rFonts w:ascii="宋体" w:hAnsi="宋体" w:cs="宋体"/>
                <w:spacing w:val="20"/>
                <w:szCs w:val="21"/>
                <w:shd w:val="clear" w:color="auto" w:fill="FFFFFF"/>
                <w:lang w:val="zh-TW" w:bidi="en-US"/>
              </w:rPr>
              <w:t>）</w:t>
            </w:r>
          </w:p>
        </w:tc>
        <w:tc>
          <w:tcPr>
            <w:tcW w:w="6713" w:type="dxa"/>
            <w:gridSpan w:val="2"/>
          </w:tcPr>
          <w:p/>
          <w:p/>
          <w:p/>
          <w:p/>
          <w:p/>
          <w:p/>
          <w:p/>
          <w:p/>
          <w:p/>
          <w:p/>
          <w:p/>
          <w:p/>
          <w:p/>
          <w:p/>
          <w:p/>
          <w:p/>
          <w:p/>
          <w:p/>
          <w:p/>
          <w:p/>
          <w:p/>
          <w:p/>
          <w:p/>
          <w:p/>
          <w:p/>
          <w:p/>
          <w:p/>
          <w:p/>
          <w:p/>
          <w:p/>
          <w:p/>
          <w:p>
            <w:r>
              <w:rPr>
                <w:rFonts w:hint="eastAsia"/>
              </w:rPr>
              <w:t>（填写该项内容时请勿涉及国家秘密、商业秘密、个人隐私等内容，若本页不够可另附页）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8" w:type="dxa"/>
            <w:gridSpan w:val="4"/>
            <w:vAlign w:val="center"/>
          </w:tcPr>
          <w:p>
            <w:pPr>
              <w:jc w:val="left"/>
            </w:pPr>
            <w:r>
              <w:rPr>
                <w:rFonts w:hint="eastAsia" w:ascii="黑体" w:hAnsi="黑体" w:eastAsia="黑体"/>
                <w:sz w:val="24"/>
              </w:rPr>
              <w:t>二、</w:t>
            </w:r>
            <w:r>
              <w:rPr>
                <w:rFonts w:ascii="黑体" w:hAnsi="黑体" w:eastAsia="黑体"/>
                <w:sz w:val="24"/>
              </w:rPr>
              <w:t>本页为公众</w:t>
            </w:r>
            <w:r>
              <w:rPr>
                <w:rFonts w:hint="eastAsia" w:ascii="黑体" w:hAnsi="黑体" w:eastAsia="黑体"/>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8" w:type="dxa"/>
            <w:gridSpan w:val="4"/>
            <w:vAlign w:val="center"/>
          </w:tcPr>
          <w:p>
            <w:pPr>
              <w:jc w:val="left"/>
              <w:rPr>
                <w:b/>
                <w:sz w:val="24"/>
              </w:rPr>
            </w:pPr>
            <w:r>
              <w:rPr>
                <w:rFonts w:hint="eastAsia"/>
                <w:b/>
                <w:sz w:val="24"/>
              </w:rPr>
              <w:t>（一）公众为公民的请填写以下信息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姓名</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身份证号</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有效联系方式</w:t>
            </w:r>
          </w:p>
          <w:p>
            <w:pPr>
              <w:jc w:val="center"/>
            </w:pPr>
            <w:r>
              <w:rPr>
                <w:rFonts w:hint="eastAsia"/>
              </w:rPr>
              <w:t>（电话号码或邮箱）</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2378" w:type="dxa"/>
            <w:gridSpan w:val="2"/>
            <w:vAlign w:val="center"/>
          </w:tcPr>
          <w:p>
            <w:pPr>
              <w:jc w:val="center"/>
            </w:pPr>
            <w:r>
              <w:t>经常居住地址</w:t>
            </w:r>
          </w:p>
        </w:tc>
        <w:tc>
          <w:tcPr>
            <w:tcW w:w="6150" w:type="dxa"/>
            <w:gridSpan w:val="2"/>
            <w:vAlign w:val="center"/>
          </w:tcPr>
          <w:p>
            <w:pPr>
              <w:spacing w:line="480" w:lineRule="auto"/>
              <w:jc w:val="center"/>
            </w:pPr>
            <w:r>
              <w:rPr>
                <w:rFonts w:hint="eastAsia"/>
                <w:u w:val="single"/>
              </w:rPr>
              <w:t xml:space="preserve">         </w:t>
            </w:r>
            <w:r>
              <w:t>省</w:t>
            </w:r>
            <w:r>
              <w:rPr>
                <w:rFonts w:hint="eastAsia"/>
                <w:u w:val="single"/>
              </w:rPr>
              <w:t xml:space="preserve">        </w:t>
            </w:r>
            <w:r>
              <w:t>市</w:t>
            </w:r>
            <w:r>
              <w:rPr>
                <w:rFonts w:hint="eastAsia"/>
                <w:u w:val="single"/>
              </w:rPr>
              <w:t xml:space="preserve">         </w:t>
            </w:r>
            <w:r>
              <w:t>县</w:t>
            </w:r>
            <w:r>
              <w:rPr>
                <w:rFonts w:hint="eastAsia"/>
              </w:rPr>
              <w:t>（区、市）</w:t>
            </w:r>
            <w:r>
              <w:rPr>
                <w:rFonts w:hint="eastAsia"/>
                <w:u w:val="single"/>
              </w:rPr>
              <w:t xml:space="preserve">            </w:t>
            </w:r>
            <w:r>
              <w:rPr>
                <w:rFonts w:hint="eastAsia"/>
              </w:rPr>
              <w:t>乡（镇、街道）</w:t>
            </w:r>
            <w:r>
              <w:rPr>
                <w:rFonts w:hint="eastAsia"/>
                <w:u w:val="single"/>
              </w:rPr>
              <w:t xml:space="preserve">             </w:t>
            </w:r>
            <w:r>
              <w:rPr>
                <w:rFonts w:hint="eastAsia"/>
              </w:rPr>
              <w:t>村（居委会）</w:t>
            </w:r>
            <w:r>
              <w:rPr>
                <w:rFonts w:hint="eastAsia"/>
                <w:u w:val="single"/>
              </w:rPr>
              <w:t xml:space="preserve">        </w:t>
            </w:r>
            <w:r>
              <w:rPr>
                <w:rFonts w:hint="eastAsia"/>
              </w:rPr>
              <w:t>村民组（小区）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378" w:type="dxa"/>
            <w:gridSpan w:val="2"/>
            <w:vAlign w:val="center"/>
          </w:tcPr>
          <w:p>
            <w:pPr>
              <w:jc w:val="center"/>
            </w:pPr>
            <w:r>
              <w:t>是否同意公开个人信息</w:t>
            </w:r>
            <w:r>
              <w:rPr>
                <w:rFonts w:hint="eastAsia"/>
              </w:rPr>
              <w:t>（填同意或不同意）</w:t>
            </w:r>
          </w:p>
        </w:tc>
        <w:tc>
          <w:tcPr>
            <w:tcW w:w="6150" w:type="dxa"/>
            <w:gridSpan w:val="2"/>
            <w:vAlign w:val="bottom"/>
          </w:tcPr>
          <w:p>
            <w:pPr>
              <w:jc w:val="center"/>
            </w:pPr>
            <w:r>
              <w:rPr>
                <w:rFonts w:hint="eastAsia"/>
              </w:rPr>
              <w:t>（若不填则默认为不同意公开）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8" w:type="dxa"/>
            <w:gridSpan w:val="4"/>
            <w:vAlign w:val="center"/>
          </w:tcPr>
          <w:p>
            <w:pPr>
              <w:jc w:val="left"/>
              <w:rPr>
                <w:b/>
                <w:sz w:val="24"/>
              </w:rPr>
            </w:pPr>
            <w:r>
              <w:rPr>
                <w:rFonts w:hint="eastAsia"/>
                <w:b/>
                <w:sz w:val="24"/>
              </w:rPr>
              <w:t>（二）公众为法人或者其他组织的请填写以下信息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单位</w:t>
            </w:r>
            <w:r>
              <w:rPr>
                <w:rFonts w:hint="eastAsia"/>
              </w:rPr>
              <w:t>名称</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工商注册号或统一社会信用代码</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8" w:type="dxa"/>
            <w:gridSpan w:val="2"/>
            <w:vAlign w:val="center"/>
          </w:tcPr>
          <w:p>
            <w:pPr>
              <w:jc w:val="center"/>
            </w:pPr>
            <w:r>
              <w:t>有效联系方式</w:t>
            </w:r>
          </w:p>
          <w:p>
            <w:pPr>
              <w:jc w:val="center"/>
            </w:pPr>
            <w:r>
              <w:rPr>
                <w:rFonts w:hint="eastAsia"/>
              </w:rPr>
              <w:t>（电话号码或邮箱）</w:t>
            </w:r>
          </w:p>
        </w:tc>
        <w:tc>
          <w:tcPr>
            <w:tcW w:w="6150"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2378" w:type="dxa"/>
            <w:gridSpan w:val="2"/>
            <w:vAlign w:val="center"/>
          </w:tcPr>
          <w:p>
            <w:pPr>
              <w:jc w:val="center"/>
            </w:pPr>
            <w:r>
              <w:t>地址</w:t>
            </w:r>
          </w:p>
        </w:tc>
        <w:tc>
          <w:tcPr>
            <w:tcW w:w="6150" w:type="dxa"/>
            <w:gridSpan w:val="2"/>
            <w:vAlign w:val="center"/>
          </w:tcPr>
          <w:p>
            <w:pPr>
              <w:spacing w:line="480" w:lineRule="auto"/>
              <w:jc w:val="center"/>
            </w:pPr>
            <w:r>
              <w:rPr>
                <w:rFonts w:hint="eastAsia"/>
                <w:u w:val="single"/>
              </w:rPr>
              <w:t xml:space="preserve">         </w:t>
            </w:r>
            <w:r>
              <w:t>省</w:t>
            </w:r>
            <w:r>
              <w:rPr>
                <w:rFonts w:hint="eastAsia"/>
                <w:u w:val="single"/>
              </w:rPr>
              <w:t xml:space="preserve">        </w:t>
            </w:r>
            <w:r>
              <w:t>市</w:t>
            </w:r>
            <w:r>
              <w:rPr>
                <w:rFonts w:hint="eastAsia"/>
                <w:u w:val="single"/>
              </w:rPr>
              <w:t xml:space="preserve">         </w:t>
            </w:r>
            <w:r>
              <w:t>县</w:t>
            </w:r>
            <w:r>
              <w:rPr>
                <w:rFonts w:hint="eastAsia"/>
              </w:rPr>
              <w:t>（区、市）</w:t>
            </w:r>
            <w:r>
              <w:rPr>
                <w:rFonts w:hint="eastAsia"/>
                <w:u w:val="single"/>
              </w:rPr>
              <w:t xml:space="preserve">            </w:t>
            </w:r>
            <w:r>
              <w:rPr>
                <w:rFonts w:hint="eastAsia"/>
              </w:rPr>
              <w:t>乡（镇、街道）</w:t>
            </w:r>
            <w:r>
              <w:rPr>
                <w:rFonts w:hint="eastAsia"/>
                <w:u w:val="single"/>
              </w:rPr>
              <w:t xml:space="preserve">                         </w:t>
            </w:r>
            <w:r>
              <w:rPr>
                <w:rFonts w:hint="eastAsia"/>
              </w:rPr>
              <w:t>路</w:t>
            </w:r>
            <w:r>
              <w:rPr>
                <w:rFonts w:hint="eastAsia"/>
                <w:u w:val="single"/>
              </w:rPr>
              <w:t xml:space="preserve">         </w:t>
            </w:r>
            <w:r>
              <w:rPr>
                <w:rFonts w:hint="eastAsia"/>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528" w:type="dxa"/>
            <w:gridSpan w:val="4"/>
            <w:vAlign w:val="bottom"/>
          </w:tcPr>
          <w:p>
            <w:pPr>
              <w:rPr>
                <w:szCs w:val="21"/>
              </w:rPr>
            </w:pPr>
            <w:r>
              <w:rPr>
                <w:rFonts w:hint="eastAsia" w:ascii="宋体" w:hAnsi="宋体" w:cs="宋体"/>
                <w:spacing w:val="10"/>
                <w:szCs w:val="21"/>
                <w:shd w:val="clear" w:color="auto" w:fill="FFFFFF"/>
                <w:lang w:val="zh-TW" w:eastAsia="zh-TW" w:bidi="zh-TW"/>
              </w:rPr>
              <w:t>注</w:t>
            </w:r>
            <w:r>
              <w:rPr>
                <w:rFonts w:hint="eastAsia" w:ascii="宋体" w:hAnsi="宋体" w:cs="宋体"/>
                <w:spacing w:val="10"/>
                <w:szCs w:val="21"/>
                <w:shd w:val="clear" w:color="auto" w:fill="FFFFFF"/>
                <w:lang w:val="zh-TW" w:bidi="zh-TW"/>
              </w:rPr>
              <w:t>：</w:t>
            </w:r>
            <w:r>
              <w:rPr>
                <w:rFonts w:hint="eastAsia" w:ascii="宋体" w:hAnsi="宋体" w:cs="宋体"/>
                <w:spacing w:val="10"/>
                <w:szCs w:val="21"/>
                <w:shd w:val="clear" w:color="auto" w:fill="FFFFFF"/>
                <w:lang w:val="zh-TW" w:eastAsia="zh-TW" w:bidi="zh-TW"/>
              </w:rPr>
              <w:t>法人或其他组织信息原则上可以公</w:t>
            </w:r>
            <w:r>
              <w:rPr>
                <w:rFonts w:hint="eastAsia" w:ascii="宋体" w:hAnsi="宋体" w:cs="宋体"/>
                <w:spacing w:val="10"/>
                <w:szCs w:val="21"/>
                <w:shd w:val="clear" w:color="auto" w:fill="FFFFFF"/>
                <w:lang w:val="zh-TW" w:bidi="zh-TW"/>
              </w:rPr>
              <w:t>开，</w:t>
            </w:r>
            <w:r>
              <w:rPr>
                <w:rFonts w:hint="eastAsia" w:ascii="宋体" w:hAnsi="宋体" w:cs="宋体"/>
                <w:spacing w:val="10"/>
                <w:szCs w:val="21"/>
                <w:shd w:val="clear" w:color="auto" w:fill="FFFFFF"/>
                <w:lang w:val="zh-TW" w:eastAsia="zh-TW" w:bidi="zh-TW"/>
              </w:rPr>
              <w:t>若涉及不能公</w:t>
            </w:r>
            <w:r>
              <w:rPr>
                <w:rFonts w:hint="eastAsia" w:ascii="宋体" w:hAnsi="宋体" w:cs="宋体"/>
                <w:spacing w:val="10"/>
                <w:szCs w:val="21"/>
                <w:shd w:val="clear" w:color="auto" w:fill="FFFFFF"/>
                <w:lang w:val="zh-TW" w:bidi="zh-TW"/>
              </w:rPr>
              <w:t>开</w:t>
            </w:r>
            <w:r>
              <w:rPr>
                <w:rFonts w:hint="eastAsia" w:ascii="宋体" w:hAnsi="宋体" w:cs="宋体"/>
                <w:spacing w:val="10"/>
                <w:szCs w:val="21"/>
                <w:shd w:val="clear" w:color="auto" w:fill="FFFFFF"/>
                <w:lang w:val="zh-TW" w:eastAsia="zh-TW" w:bidi="zh-TW"/>
              </w:rPr>
              <w:t>的</w:t>
            </w:r>
            <w:r>
              <w:rPr>
                <w:rFonts w:hint="eastAsia" w:ascii="宋体" w:hAnsi="宋体" w:cs="宋体"/>
                <w:spacing w:val="10"/>
                <w:szCs w:val="21"/>
                <w:shd w:val="clear" w:color="auto" w:fill="FFFFFF"/>
                <w:lang w:val="zh-TW" w:bidi="zh-TW"/>
              </w:rPr>
              <w:t>信息</w:t>
            </w:r>
            <w:r>
              <w:rPr>
                <w:rFonts w:hint="eastAsia" w:ascii="宋体" w:hAnsi="宋体" w:cs="宋体"/>
                <w:spacing w:val="10"/>
                <w:szCs w:val="21"/>
                <w:shd w:val="clear" w:color="auto" w:fill="FFFFFF"/>
                <w:lang w:val="zh-TW" w:eastAsia="zh-TW" w:bidi="zh-TW"/>
              </w:rPr>
              <w:t>请在此</w:t>
            </w:r>
            <w:r>
              <w:rPr>
                <w:rFonts w:hint="eastAsia" w:ascii="宋体" w:hAnsi="宋体" w:cs="宋体"/>
                <w:spacing w:val="10"/>
                <w:szCs w:val="21"/>
                <w:shd w:val="clear" w:color="auto" w:fill="FFFFFF"/>
                <w:lang w:val="zh-TW" w:bidi="zh-TW"/>
              </w:rPr>
              <w:t>栏</w:t>
            </w:r>
            <w:r>
              <w:rPr>
                <w:rFonts w:hint="eastAsia" w:ascii="宋体" w:hAnsi="宋体" w:cs="宋体"/>
                <w:spacing w:val="10"/>
                <w:szCs w:val="21"/>
                <w:shd w:val="clear" w:color="auto" w:fill="FFFFFF"/>
                <w:lang w:val="zh-TW" w:eastAsia="zh-TW" w:bidi="zh-TW"/>
              </w:rPr>
              <w:t>中注明法律依据和不能公</w:t>
            </w:r>
            <w:r>
              <w:rPr>
                <w:rFonts w:hint="eastAsia" w:ascii="宋体" w:hAnsi="宋体" w:cs="宋体"/>
                <w:spacing w:val="10"/>
                <w:szCs w:val="21"/>
                <w:shd w:val="clear" w:color="auto" w:fill="FFFFFF"/>
                <w:lang w:val="zh-TW" w:bidi="zh-TW"/>
              </w:rPr>
              <w:t>开</w:t>
            </w:r>
            <w:r>
              <w:rPr>
                <w:rFonts w:hint="eastAsia" w:ascii="宋体" w:hAnsi="宋体" w:cs="宋体"/>
                <w:spacing w:val="10"/>
                <w:szCs w:val="21"/>
                <w:shd w:val="clear" w:color="auto" w:fill="FFFFFF"/>
                <w:lang w:val="zh-TW" w:eastAsia="zh-TW" w:bidi="zh-TW"/>
              </w:rPr>
              <w:t>的</w:t>
            </w:r>
            <w:r>
              <w:rPr>
                <w:rFonts w:hint="eastAsia" w:ascii="宋体" w:hAnsi="宋体" w:cs="宋体"/>
                <w:spacing w:val="10"/>
                <w:szCs w:val="21"/>
                <w:shd w:val="clear" w:color="auto" w:fill="FFFFFF"/>
                <w:lang w:val="zh-TW" w:bidi="zh-TW"/>
              </w:rPr>
              <w:t>具体信息。</w:t>
            </w:r>
          </w:p>
        </w:tc>
      </w:tr>
    </w:tbl>
    <w:p>
      <w:pPr>
        <w:widowControl/>
        <w:jc w:val="left"/>
        <w:rPr>
          <w:rFonts w:eastAsia="黑体"/>
          <w:bCs/>
          <w:sz w:val="24"/>
        </w:rPr>
      </w:pPr>
    </w:p>
    <w:p>
      <w:pPr>
        <w:widowControl/>
        <w:jc w:val="left"/>
        <w:rPr>
          <w:rFonts w:eastAsia="黑体"/>
          <w:bCs/>
          <w:sz w:val="24"/>
        </w:rPr>
      </w:pPr>
      <w:r>
        <w:rPr>
          <w:rFonts w:eastAsia="黑体"/>
          <w:bCs/>
          <w:sz w:val="24"/>
        </w:rPr>
        <w:br w:type="page"/>
      </w:r>
    </w:p>
    <w:p>
      <w:pPr>
        <w:widowControl/>
        <w:jc w:val="left"/>
        <w:outlineLvl w:val="1"/>
        <w:rPr>
          <w:rFonts w:hAnsi="微软雅黑" w:eastAsia="黑体" w:cs="宋体"/>
          <w:bCs/>
          <w:kern w:val="0"/>
          <w:sz w:val="24"/>
        </w:rPr>
      </w:pPr>
      <w:r>
        <w:rPr>
          <w:rFonts w:hint="eastAsia" w:hAnsi="微软雅黑" w:eastAsia="黑体" w:cs="宋体"/>
          <w:bCs/>
          <w:kern w:val="0"/>
          <w:sz w:val="24"/>
        </w:rPr>
        <w:t>附件3：</w:t>
      </w:r>
    </w:p>
    <w:p>
      <w:pPr>
        <w:jc w:val="center"/>
        <w:rPr>
          <w:rFonts w:eastAsia="黑体" w:cs="Times New Roman"/>
          <w:sz w:val="32"/>
          <w:szCs w:val="28"/>
        </w:rPr>
      </w:pPr>
      <w:r>
        <w:rPr>
          <w:rFonts w:hint="eastAsia" w:eastAsia="黑体" w:cs="Times New Roman"/>
          <w:sz w:val="32"/>
          <w:szCs w:val="28"/>
        </w:rPr>
        <w:t>宁陕至石泉高速公路</w:t>
      </w:r>
      <w:r>
        <w:rPr>
          <w:rFonts w:eastAsia="黑体" w:cs="Times New Roman"/>
          <w:sz w:val="32"/>
          <w:szCs w:val="28"/>
        </w:rPr>
        <w:t>环境影响评价</w:t>
      </w:r>
    </w:p>
    <w:p>
      <w:pPr>
        <w:jc w:val="center"/>
        <w:rPr>
          <w:rFonts w:eastAsia="黑体" w:cs="Times New Roman"/>
          <w:sz w:val="32"/>
          <w:szCs w:val="28"/>
        </w:rPr>
      </w:pPr>
      <w:r>
        <w:rPr>
          <w:rFonts w:eastAsia="黑体" w:cs="Times New Roman"/>
          <w:sz w:val="32"/>
          <w:szCs w:val="28"/>
        </w:rPr>
        <w:t>公众参与</w:t>
      </w:r>
      <w:r>
        <w:rPr>
          <w:rFonts w:hint="eastAsia" w:eastAsia="黑体" w:cs="Times New Roman"/>
          <w:sz w:val="32"/>
          <w:szCs w:val="28"/>
        </w:rPr>
        <w:t>信息</w:t>
      </w:r>
      <w:r>
        <w:rPr>
          <w:rFonts w:eastAsia="黑体" w:cs="Times New Roman"/>
          <w:sz w:val="32"/>
          <w:szCs w:val="28"/>
        </w:rPr>
        <w:t>公示</w:t>
      </w:r>
    </w:p>
    <w:p>
      <w:pPr>
        <w:ind w:firstLine="720"/>
        <w:rPr>
          <w:rFonts w:ascii="宋体" w:hAnsi="宋体" w:cs="Times New Roman"/>
          <w:sz w:val="28"/>
          <w:szCs w:val="28"/>
        </w:rPr>
      </w:pPr>
      <w:r>
        <w:rPr>
          <w:rFonts w:hint="eastAsia" w:ascii="宋体" w:hAnsi="宋体" w:cs="Times New Roman"/>
          <w:sz w:val="28"/>
          <w:szCs w:val="28"/>
        </w:rPr>
        <w:t>根据《中华人民共和国环境保护法》、《中华人民共和国环境影响评价法》、《</w:t>
      </w:r>
      <w:r>
        <w:rPr>
          <w:rFonts w:ascii="宋体" w:hAnsi="宋体" w:cs="Times New Roman"/>
          <w:sz w:val="28"/>
          <w:szCs w:val="28"/>
        </w:rPr>
        <w:t>环境影响评价公众参与暂行办法</w:t>
      </w:r>
      <w:r>
        <w:rPr>
          <w:rFonts w:hint="eastAsia" w:ascii="宋体" w:hAnsi="宋体" w:cs="Times New Roman"/>
          <w:sz w:val="28"/>
          <w:szCs w:val="28"/>
        </w:rPr>
        <w:t>》等文件的要求，陕西葛洲坝延黄宁石高速公路有限公司委托西安同展环境咨询有限公司对</w:t>
      </w:r>
      <w:r>
        <w:rPr>
          <w:rFonts w:ascii="宋体" w:hAnsi="宋体" w:cs="Times New Roman"/>
          <w:sz w:val="28"/>
          <w:szCs w:val="28"/>
        </w:rPr>
        <w:t>“</w:t>
      </w:r>
      <w:r>
        <w:rPr>
          <w:rFonts w:hint="eastAsia" w:ascii="宋体" w:hAnsi="宋体" w:cs="Times New Roman"/>
          <w:sz w:val="28"/>
          <w:szCs w:val="28"/>
        </w:rPr>
        <w:t>宁陕至石泉</w:t>
      </w:r>
      <w:r>
        <w:rPr>
          <w:rFonts w:ascii="宋体" w:hAnsi="宋体" w:cs="Times New Roman"/>
          <w:sz w:val="28"/>
          <w:szCs w:val="28"/>
        </w:rPr>
        <w:t>高速公路</w:t>
      </w:r>
      <w:r>
        <w:rPr>
          <w:rFonts w:hint="eastAsia" w:ascii="宋体" w:hAnsi="宋体" w:cs="Times New Roman"/>
          <w:sz w:val="28"/>
          <w:szCs w:val="28"/>
        </w:rPr>
        <w:t>”项目进行工程变更环境影响评价。现将项目环境影响评价的有关事项向公众公告如下：</w:t>
      </w:r>
    </w:p>
    <w:p>
      <w:pPr>
        <w:rPr>
          <w:rFonts w:hAnsi="宋体" w:cs="Times New Roman"/>
          <w:b/>
          <w:sz w:val="28"/>
          <w:szCs w:val="28"/>
        </w:rPr>
      </w:pPr>
      <w:r>
        <w:rPr>
          <w:rFonts w:hint="eastAsia" w:hAnsi="宋体" w:cs="Times New Roman"/>
          <w:b/>
          <w:sz w:val="28"/>
          <w:szCs w:val="28"/>
        </w:rPr>
        <w:t>一、建设项目基本情况</w:t>
      </w:r>
    </w:p>
    <w:p>
      <w:pPr>
        <w:ind w:firstLine="562" w:firstLineChars="200"/>
        <w:rPr>
          <w:rFonts w:hAnsi="宋体" w:cs="Times New Roman"/>
          <w:sz w:val="28"/>
          <w:szCs w:val="28"/>
        </w:rPr>
      </w:pPr>
      <w:r>
        <w:rPr>
          <w:rFonts w:hint="eastAsia" w:hAnsi="宋体" w:cs="Times New Roman"/>
          <w:b/>
          <w:sz w:val="28"/>
          <w:szCs w:val="28"/>
        </w:rPr>
        <w:t>建设项目名称</w:t>
      </w:r>
      <w:r>
        <w:rPr>
          <w:rFonts w:hint="eastAsia" w:hAnsi="宋体" w:cs="Times New Roman"/>
          <w:sz w:val="28"/>
          <w:szCs w:val="28"/>
        </w:rPr>
        <w:t>：</w:t>
      </w:r>
      <w:r>
        <w:rPr>
          <w:rFonts w:hint="eastAsia" w:ascii="宋体" w:hAnsi="宋体" w:cs="Times New Roman"/>
          <w:sz w:val="28"/>
          <w:szCs w:val="28"/>
        </w:rPr>
        <w:t>宁陕至石泉高速公路</w:t>
      </w:r>
    </w:p>
    <w:p>
      <w:pPr>
        <w:ind w:firstLine="562" w:firstLineChars="200"/>
        <w:rPr>
          <w:rFonts w:hAnsi="宋体" w:cs="Times New Roman"/>
          <w:sz w:val="28"/>
          <w:szCs w:val="28"/>
        </w:rPr>
      </w:pPr>
      <w:r>
        <w:rPr>
          <w:rFonts w:hint="eastAsia" w:hAnsi="宋体" w:cs="Times New Roman"/>
          <w:b/>
          <w:sz w:val="28"/>
          <w:szCs w:val="28"/>
        </w:rPr>
        <w:t>建设项目选线：</w:t>
      </w:r>
      <w:r>
        <w:rPr>
          <w:rFonts w:hAnsi="宋体" w:cs="Times New Roman"/>
          <w:sz w:val="28"/>
          <w:szCs w:val="28"/>
        </w:rPr>
        <w:t>本项目路线起于</w:t>
      </w:r>
      <w:r>
        <w:rPr>
          <w:rFonts w:hint="eastAsia" w:hAnsi="宋体" w:cs="Times New Roman"/>
          <w:sz w:val="28"/>
          <w:szCs w:val="28"/>
        </w:rPr>
        <w:t>宁陕县筒车湾镇西侧约1km处</w:t>
      </w:r>
      <w:r>
        <w:rPr>
          <w:rFonts w:hAnsi="宋体" w:cs="Times New Roman"/>
          <w:sz w:val="28"/>
          <w:szCs w:val="28"/>
        </w:rPr>
        <w:t>，</w:t>
      </w:r>
      <w:r>
        <w:rPr>
          <w:rFonts w:hint="eastAsia" w:hAnsi="宋体" w:cs="Times New Roman"/>
          <w:sz w:val="28"/>
          <w:szCs w:val="28"/>
        </w:rPr>
        <w:t>终点利用现有石泉立交与十天高速相连，</w:t>
      </w:r>
      <w:r>
        <w:rPr>
          <w:rFonts w:hAnsi="宋体" w:cs="Times New Roman"/>
          <w:sz w:val="28"/>
          <w:szCs w:val="28"/>
        </w:rPr>
        <w:t>路线方案全长</w:t>
      </w:r>
      <w:r>
        <w:rPr>
          <w:rFonts w:hint="eastAsia" w:hAnsi="宋体" w:cs="Times New Roman"/>
          <w:sz w:val="28"/>
          <w:szCs w:val="28"/>
        </w:rPr>
        <w:t>5</w:t>
      </w:r>
      <w:r>
        <w:rPr>
          <w:rFonts w:hAnsi="宋体" w:cs="Times New Roman"/>
          <w:sz w:val="28"/>
          <w:szCs w:val="28"/>
        </w:rPr>
        <w:t>0.972公里。</w:t>
      </w:r>
    </w:p>
    <w:p>
      <w:pPr>
        <w:spacing w:line="360" w:lineRule="auto"/>
        <w:ind w:firstLine="562" w:firstLineChars="200"/>
        <w:rPr>
          <w:rFonts w:hAnsi="宋体" w:cs="Times New Roman"/>
          <w:sz w:val="28"/>
          <w:szCs w:val="28"/>
        </w:rPr>
      </w:pPr>
      <w:r>
        <w:rPr>
          <w:rFonts w:hint="eastAsia" w:hAnsi="宋体" w:cs="Times New Roman"/>
          <w:b/>
          <w:sz w:val="28"/>
          <w:szCs w:val="28"/>
        </w:rPr>
        <w:t>建设项目内容基本情况：</w:t>
      </w:r>
      <w:r>
        <w:rPr>
          <w:rFonts w:hint="eastAsia" w:hAnsi="宋体" w:cs="Times New Roman"/>
          <w:sz w:val="28"/>
          <w:szCs w:val="28"/>
        </w:rPr>
        <w:t>本项目采用双向四车道高速公路标准建设，设计时速</w:t>
      </w:r>
      <w:r>
        <w:rPr>
          <w:rFonts w:hAnsi="宋体" w:cs="Times New Roman"/>
          <w:sz w:val="28"/>
          <w:szCs w:val="28"/>
        </w:rPr>
        <w:t>80</w:t>
      </w:r>
      <w:r>
        <w:rPr>
          <w:rFonts w:hint="eastAsia" w:hAnsi="宋体" w:cs="Times New Roman"/>
          <w:sz w:val="28"/>
          <w:szCs w:val="28"/>
        </w:rPr>
        <w:t>公里/小时，路基宽度</w:t>
      </w:r>
      <w:r>
        <w:rPr>
          <w:rFonts w:hAnsi="宋体" w:cs="Times New Roman"/>
          <w:sz w:val="28"/>
          <w:szCs w:val="28"/>
        </w:rPr>
        <w:t>25.5</w:t>
      </w:r>
      <w:r>
        <w:rPr>
          <w:rFonts w:hint="eastAsia" w:hAnsi="宋体" w:cs="Times New Roman"/>
          <w:sz w:val="28"/>
          <w:szCs w:val="28"/>
        </w:rPr>
        <w:t>米。项目</w:t>
      </w:r>
      <w:r>
        <w:rPr>
          <w:rFonts w:hAnsi="宋体" w:cs="Times New Roman"/>
          <w:sz w:val="28"/>
          <w:szCs w:val="28"/>
        </w:rPr>
        <w:t>全线</w:t>
      </w:r>
      <w:r>
        <w:rPr>
          <w:rFonts w:hint="eastAsia" w:hAnsi="宋体" w:cs="Times New Roman"/>
          <w:sz w:val="28"/>
          <w:szCs w:val="28"/>
        </w:rPr>
        <w:t>新建</w:t>
      </w:r>
      <w:r>
        <w:rPr>
          <w:rFonts w:hAnsi="宋体" w:cs="Times New Roman"/>
          <w:sz w:val="28"/>
          <w:szCs w:val="28"/>
        </w:rPr>
        <w:t>桥梁24730.534</w:t>
      </w:r>
      <w:r>
        <w:rPr>
          <w:rFonts w:hint="eastAsia" w:hAnsi="宋体" w:cs="Times New Roman"/>
          <w:sz w:val="28"/>
          <w:szCs w:val="28"/>
        </w:rPr>
        <w:t>米</w:t>
      </w:r>
      <w:r>
        <w:rPr>
          <w:rFonts w:hAnsi="宋体" w:cs="Times New Roman"/>
          <w:sz w:val="28"/>
          <w:szCs w:val="28"/>
        </w:rPr>
        <w:t>/72</w:t>
      </w:r>
      <w:r>
        <w:rPr>
          <w:rFonts w:hint="eastAsia" w:hAnsi="宋体" w:cs="Times New Roman"/>
          <w:sz w:val="28"/>
          <w:szCs w:val="28"/>
        </w:rPr>
        <w:t>座</w:t>
      </w:r>
      <w:r>
        <w:rPr>
          <w:rFonts w:hAnsi="宋体" w:cs="Times New Roman"/>
          <w:sz w:val="28"/>
          <w:szCs w:val="28"/>
        </w:rPr>
        <w:t>，桥梁占路线总长48.52%</w:t>
      </w:r>
      <w:r>
        <w:rPr>
          <w:rFonts w:hint="eastAsia" w:hAnsi="宋体" w:cs="Times New Roman"/>
          <w:sz w:val="28"/>
          <w:szCs w:val="28"/>
        </w:rPr>
        <w:t>；全线新建</w:t>
      </w:r>
      <w:r>
        <w:rPr>
          <w:rFonts w:hAnsi="宋体" w:cs="Times New Roman"/>
          <w:sz w:val="28"/>
          <w:szCs w:val="28"/>
        </w:rPr>
        <w:t>隧道19482.15</w:t>
      </w:r>
      <w:r>
        <w:rPr>
          <w:rFonts w:hint="eastAsia" w:hAnsi="宋体" w:cs="Times New Roman"/>
          <w:sz w:val="28"/>
          <w:szCs w:val="28"/>
        </w:rPr>
        <w:t>米/12座，隧道</w:t>
      </w:r>
      <w:r>
        <w:rPr>
          <w:rFonts w:hAnsi="宋体" w:cs="Times New Roman"/>
          <w:sz w:val="28"/>
          <w:szCs w:val="28"/>
        </w:rPr>
        <w:t>占路线总长38.22%</w:t>
      </w:r>
      <w:r>
        <w:rPr>
          <w:rFonts w:hint="eastAsia" w:hAnsi="宋体" w:cs="Times New Roman"/>
          <w:sz w:val="28"/>
          <w:szCs w:val="28"/>
        </w:rPr>
        <w:t>。</w:t>
      </w:r>
      <w:r>
        <w:rPr>
          <w:rFonts w:hAnsi="宋体" w:cs="Times New Roman"/>
          <w:sz w:val="28"/>
          <w:szCs w:val="28"/>
        </w:rPr>
        <w:t>全线拟设</w:t>
      </w:r>
      <w:r>
        <w:rPr>
          <w:rFonts w:hint="eastAsia" w:hAnsi="宋体" w:cs="Times New Roman"/>
          <w:sz w:val="28"/>
          <w:szCs w:val="28"/>
        </w:rPr>
        <w:t>互通式立交5座，服务区1处</w:t>
      </w:r>
      <w:r>
        <w:rPr>
          <w:rFonts w:hAnsi="宋体" w:cs="Times New Roman"/>
          <w:sz w:val="28"/>
          <w:szCs w:val="28"/>
        </w:rPr>
        <w:t>。</w:t>
      </w:r>
    </w:p>
    <w:p>
      <w:pPr>
        <w:spacing w:line="360" w:lineRule="auto"/>
        <w:ind w:firstLine="560" w:firstLineChars="200"/>
        <w:rPr>
          <w:rFonts w:hAnsi="宋体" w:cs="Times New Roman"/>
          <w:sz w:val="28"/>
          <w:szCs w:val="28"/>
        </w:rPr>
      </w:pPr>
      <w:r>
        <w:rPr>
          <w:rFonts w:hint="eastAsia" w:hAnsi="宋体" w:cs="Times New Roman"/>
          <w:sz w:val="28"/>
          <w:szCs w:val="28"/>
        </w:rPr>
        <w:t>项目已于2</w:t>
      </w:r>
      <w:r>
        <w:rPr>
          <w:rFonts w:hAnsi="宋体" w:cs="Times New Roman"/>
          <w:sz w:val="28"/>
          <w:szCs w:val="28"/>
        </w:rPr>
        <w:t>019</w:t>
      </w:r>
      <w:r>
        <w:rPr>
          <w:rFonts w:hint="eastAsia" w:hAnsi="宋体" w:cs="Times New Roman"/>
          <w:sz w:val="28"/>
          <w:szCs w:val="28"/>
        </w:rPr>
        <w:t>年</w:t>
      </w:r>
      <w:r>
        <w:rPr>
          <w:rFonts w:hAnsi="宋体" w:cs="Times New Roman"/>
          <w:sz w:val="28"/>
          <w:szCs w:val="28"/>
        </w:rPr>
        <w:t>6</w:t>
      </w:r>
      <w:r>
        <w:rPr>
          <w:rFonts w:hint="eastAsia" w:hAnsi="宋体" w:cs="Times New Roman"/>
          <w:sz w:val="28"/>
          <w:szCs w:val="28"/>
        </w:rPr>
        <w:t>月</w:t>
      </w:r>
      <w:r>
        <w:rPr>
          <w:rFonts w:hAnsi="宋体" w:cs="Times New Roman"/>
          <w:sz w:val="28"/>
          <w:szCs w:val="28"/>
        </w:rPr>
        <w:t>18</w:t>
      </w:r>
      <w:r>
        <w:rPr>
          <w:rFonts w:hint="eastAsia" w:hAnsi="宋体" w:cs="Times New Roman"/>
          <w:sz w:val="28"/>
          <w:szCs w:val="28"/>
        </w:rPr>
        <w:t>日取得了陕环评批复[2</w:t>
      </w:r>
      <w:r>
        <w:rPr>
          <w:rFonts w:hAnsi="宋体" w:cs="Times New Roman"/>
          <w:sz w:val="28"/>
          <w:szCs w:val="28"/>
        </w:rPr>
        <w:t>019</w:t>
      </w:r>
      <w:r>
        <w:rPr>
          <w:rFonts w:hint="eastAsia" w:hAnsi="宋体" w:cs="Times New Roman"/>
          <w:sz w:val="28"/>
          <w:szCs w:val="28"/>
        </w:rPr>
        <w:t>]2</w:t>
      </w:r>
      <w:r>
        <w:rPr>
          <w:rFonts w:hAnsi="宋体" w:cs="Times New Roman"/>
          <w:sz w:val="28"/>
          <w:szCs w:val="28"/>
        </w:rPr>
        <w:t>2</w:t>
      </w:r>
      <w:r>
        <w:rPr>
          <w:rFonts w:hint="eastAsia" w:hAnsi="宋体" w:cs="Times New Roman"/>
          <w:sz w:val="28"/>
          <w:szCs w:val="28"/>
        </w:rPr>
        <w:t>号“陕西省生态环境厅关于陕西葛洲坝延黄宁石高速公路有限公司宁陕至石泉高速公路环境影响报告书的批复”，在后期线路施工设计阶段最终确定的线路走线与“环评”批复阶段大体一致，但是局部路线布置有调整，按照环办[2015]52号《关于印发环评管理中部分行业建设项目重大变动清单的通知》，宁陕至石泉高速公路项目环境影响评价需要重新上报审批。</w:t>
      </w:r>
    </w:p>
    <w:p>
      <w:pPr>
        <w:spacing w:line="360" w:lineRule="auto"/>
        <w:ind w:firstLine="560" w:firstLineChars="200"/>
        <w:rPr>
          <w:rFonts w:hAnsi="宋体" w:cs="Times New Roman"/>
          <w:sz w:val="28"/>
          <w:szCs w:val="28"/>
        </w:rPr>
      </w:pPr>
      <w:r>
        <w:rPr>
          <w:rFonts w:hint="eastAsia" w:hAnsi="宋体" w:cs="Times New Roman"/>
          <w:sz w:val="28"/>
          <w:szCs w:val="28"/>
        </w:rPr>
        <w:t>项目拟于2019年</w:t>
      </w:r>
      <w:r>
        <w:rPr>
          <w:rFonts w:hAnsi="宋体" w:cs="Times New Roman"/>
          <w:sz w:val="28"/>
          <w:szCs w:val="28"/>
        </w:rPr>
        <w:t>3</w:t>
      </w:r>
      <w:r>
        <w:rPr>
          <w:rFonts w:hint="eastAsia" w:hAnsi="宋体" w:cs="Times New Roman"/>
          <w:sz w:val="28"/>
          <w:szCs w:val="28"/>
        </w:rPr>
        <w:t>月开工建设，预计2022年9月竣工通车，工期三年。</w:t>
      </w:r>
    </w:p>
    <w:p>
      <w:pPr>
        <w:rPr>
          <w:rFonts w:hAnsi="宋体" w:cs="Times New Roman"/>
          <w:b/>
          <w:sz w:val="28"/>
          <w:szCs w:val="28"/>
        </w:rPr>
      </w:pPr>
      <w:r>
        <w:rPr>
          <w:rFonts w:hint="eastAsia" w:hAnsi="宋体" w:cs="Times New Roman"/>
          <w:b/>
          <w:sz w:val="28"/>
          <w:szCs w:val="28"/>
        </w:rPr>
        <w:t>二、征求公众意见的主要事项</w:t>
      </w:r>
    </w:p>
    <w:p>
      <w:pPr>
        <w:ind w:firstLine="560" w:firstLineChars="200"/>
        <w:rPr>
          <w:rFonts w:cs="Times New Roman"/>
          <w:sz w:val="28"/>
          <w:szCs w:val="28"/>
        </w:rPr>
      </w:pPr>
      <w:r>
        <w:rPr>
          <w:rFonts w:hint="eastAsia" w:cs="Times New Roman"/>
          <w:sz w:val="28"/>
          <w:szCs w:val="28"/>
        </w:rPr>
        <w:t>1、采用便于公众知悉的方式，向公众公开有关环境影响评价的信息；</w:t>
      </w:r>
    </w:p>
    <w:p>
      <w:pPr>
        <w:ind w:firstLine="560" w:firstLineChars="200"/>
        <w:rPr>
          <w:rFonts w:cs="Times New Roman"/>
          <w:sz w:val="28"/>
          <w:szCs w:val="28"/>
        </w:rPr>
      </w:pPr>
      <w:r>
        <w:rPr>
          <w:rFonts w:hint="eastAsia" w:cs="Times New Roman"/>
          <w:sz w:val="28"/>
          <w:szCs w:val="28"/>
        </w:rPr>
        <w:t>2、采取调查公众意见、咨询专家意见、座谈会、论证会、听证会等形式，公开征求公众意见。</w:t>
      </w:r>
    </w:p>
    <w:p>
      <w:pPr>
        <w:ind w:firstLine="560" w:firstLineChars="200"/>
        <w:rPr>
          <w:rFonts w:cs="Times New Roman"/>
          <w:sz w:val="28"/>
          <w:szCs w:val="28"/>
        </w:rPr>
      </w:pPr>
      <w:r>
        <w:rPr>
          <w:rFonts w:hint="eastAsia" w:cs="Times New Roman"/>
          <w:sz w:val="28"/>
          <w:szCs w:val="28"/>
        </w:rPr>
        <w:t>3、征求公众意见的主要内容：</w:t>
      </w:r>
    </w:p>
    <w:p>
      <w:pPr>
        <w:ind w:firstLine="560" w:firstLineChars="200"/>
        <w:rPr>
          <w:rFonts w:cs="Times New Roman"/>
          <w:sz w:val="28"/>
          <w:szCs w:val="28"/>
        </w:rPr>
      </w:pPr>
      <w:r>
        <w:rPr>
          <w:rFonts w:hint="eastAsia" w:cs="Times New Roman"/>
          <w:sz w:val="28"/>
          <w:szCs w:val="28"/>
        </w:rPr>
        <w:t>（1）对修建该公路的看法和态度，以及具体要求和建议；</w:t>
      </w:r>
    </w:p>
    <w:p>
      <w:pPr>
        <w:ind w:firstLine="560" w:firstLineChars="200"/>
        <w:rPr>
          <w:rFonts w:cs="Times New Roman"/>
          <w:sz w:val="28"/>
          <w:szCs w:val="28"/>
        </w:rPr>
      </w:pPr>
      <w:r>
        <w:rPr>
          <w:rFonts w:hint="eastAsia" w:cs="Times New Roman"/>
          <w:sz w:val="28"/>
          <w:szCs w:val="28"/>
        </w:rPr>
        <w:t>（2）修建该公路是否有利于本地区、本单位经济发展，请做出预测；</w:t>
      </w:r>
    </w:p>
    <w:p>
      <w:pPr>
        <w:ind w:firstLine="560" w:firstLineChars="200"/>
        <w:rPr>
          <w:rFonts w:cs="Times New Roman"/>
          <w:sz w:val="28"/>
          <w:szCs w:val="28"/>
        </w:rPr>
      </w:pPr>
      <w:r>
        <w:rPr>
          <w:rFonts w:hint="eastAsia" w:cs="Times New Roman"/>
          <w:sz w:val="28"/>
          <w:szCs w:val="28"/>
        </w:rPr>
        <w:t>（3）修建该公路是否有利于本地区、</w:t>
      </w:r>
      <w:r>
        <w:rPr>
          <w:rFonts w:cs="Times New Roman"/>
          <w:sz w:val="28"/>
          <w:szCs w:val="28"/>
        </w:rPr>
        <w:t>本单位基础设施的改善，如住房、商业、医疗、教育、娱乐等；</w:t>
      </w:r>
    </w:p>
    <w:p>
      <w:pPr>
        <w:ind w:firstLine="560" w:firstLineChars="200"/>
        <w:rPr>
          <w:rFonts w:cs="Times New Roman"/>
          <w:sz w:val="28"/>
          <w:szCs w:val="28"/>
        </w:rPr>
      </w:pPr>
      <w:r>
        <w:rPr>
          <w:rFonts w:hint="eastAsia" w:cs="Times New Roman"/>
          <w:sz w:val="28"/>
          <w:szCs w:val="28"/>
        </w:rPr>
        <w:t>（4）修建该公路对沿线民众生活质量有什么影响；</w:t>
      </w:r>
    </w:p>
    <w:p>
      <w:pPr>
        <w:ind w:firstLine="560" w:firstLineChars="200"/>
        <w:rPr>
          <w:rFonts w:cs="Times New Roman"/>
          <w:sz w:val="28"/>
          <w:szCs w:val="28"/>
        </w:rPr>
      </w:pPr>
      <w:r>
        <w:rPr>
          <w:rFonts w:hint="eastAsia" w:cs="Times New Roman"/>
          <w:sz w:val="28"/>
          <w:szCs w:val="28"/>
        </w:rPr>
        <w:t>（5）</w:t>
      </w:r>
      <w:r>
        <w:rPr>
          <w:rFonts w:cs="Times New Roman"/>
          <w:sz w:val="28"/>
          <w:szCs w:val="28"/>
        </w:rPr>
        <w:t>修建该公路对文物古迹有何影响，对旅游业的发展是否有促进作用；</w:t>
      </w:r>
    </w:p>
    <w:p>
      <w:pPr>
        <w:ind w:firstLine="560" w:firstLineChars="200"/>
        <w:rPr>
          <w:rFonts w:cs="Times New Roman"/>
          <w:sz w:val="28"/>
          <w:szCs w:val="28"/>
        </w:rPr>
      </w:pPr>
      <w:r>
        <w:rPr>
          <w:rFonts w:hint="eastAsia" w:cs="Times New Roman"/>
          <w:sz w:val="28"/>
          <w:szCs w:val="28"/>
        </w:rPr>
        <w:t>（6）其它需说明的问题。</w:t>
      </w:r>
    </w:p>
    <w:p>
      <w:pPr>
        <w:rPr>
          <w:rFonts w:hAnsi="宋体" w:cs="Times New Roman"/>
          <w:b/>
          <w:sz w:val="28"/>
          <w:szCs w:val="28"/>
        </w:rPr>
      </w:pPr>
      <w:r>
        <w:rPr>
          <w:rFonts w:hint="eastAsia" w:hAnsi="宋体" w:cs="Times New Roman"/>
          <w:b/>
          <w:sz w:val="28"/>
          <w:szCs w:val="28"/>
        </w:rPr>
        <w:t>三、提交公众意见的方式和途径</w:t>
      </w:r>
    </w:p>
    <w:p>
      <w:pPr>
        <w:ind w:firstLine="560" w:firstLineChars="200"/>
        <w:rPr>
          <w:rFonts w:cs="Times New Roman"/>
          <w:sz w:val="28"/>
          <w:szCs w:val="28"/>
        </w:rPr>
      </w:pPr>
      <w:r>
        <w:rPr>
          <w:rFonts w:hint="eastAsia" w:cs="Times New Roman"/>
          <w:sz w:val="28"/>
          <w:szCs w:val="28"/>
        </w:rPr>
        <w:t>（1）在环境影响评价人员调查中，直接向环境影响评价调查人员口头陈述自己的意见；</w:t>
      </w:r>
    </w:p>
    <w:p>
      <w:pPr>
        <w:ind w:firstLine="560" w:firstLineChars="200"/>
        <w:rPr>
          <w:rFonts w:cs="Times New Roman"/>
          <w:sz w:val="28"/>
          <w:szCs w:val="28"/>
        </w:rPr>
      </w:pPr>
      <w:r>
        <w:rPr>
          <w:rFonts w:hint="eastAsia" w:cs="Times New Roman"/>
          <w:sz w:val="28"/>
          <w:szCs w:val="28"/>
        </w:rPr>
        <w:t>（2）在问卷调查表中，或以书面形式向环境影响评价调查人员陈述自己的意见；</w:t>
      </w:r>
    </w:p>
    <w:p>
      <w:pPr>
        <w:ind w:firstLine="560" w:firstLineChars="200"/>
        <w:rPr>
          <w:rFonts w:cs="Times New Roman"/>
          <w:sz w:val="28"/>
          <w:szCs w:val="28"/>
        </w:rPr>
      </w:pPr>
      <w:r>
        <w:rPr>
          <w:rFonts w:hint="eastAsia" w:cs="Times New Roman"/>
          <w:sz w:val="28"/>
          <w:szCs w:val="28"/>
        </w:rPr>
        <w:t>（3）以书信、电话、传真或电子邮件等形式向建设单位陈述自己的意见，并转交环境影响评价单位；</w:t>
      </w:r>
    </w:p>
    <w:p>
      <w:pPr>
        <w:ind w:firstLine="560" w:firstLineChars="200"/>
        <w:rPr>
          <w:rFonts w:cs="Times New Roman"/>
          <w:sz w:val="28"/>
          <w:szCs w:val="28"/>
        </w:rPr>
      </w:pPr>
      <w:r>
        <w:rPr>
          <w:rFonts w:hint="eastAsia" w:cs="Times New Roman"/>
          <w:sz w:val="28"/>
          <w:szCs w:val="28"/>
        </w:rPr>
        <w:t>（4）以书面形式向当地政府陈述自己的意见，并转交环境影响评价单位。</w:t>
      </w:r>
    </w:p>
    <w:p>
      <w:pPr>
        <w:ind w:firstLine="562" w:firstLineChars="200"/>
        <w:rPr>
          <w:rFonts w:hAnsi="宋体" w:cs="Times New Roman"/>
          <w:b/>
          <w:sz w:val="28"/>
          <w:szCs w:val="28"/>
        </w:rPr>
      </w:pPr>
      <w:r>
        <w:rPr>
          <w:rFonts w:hint="eastAsia" w:hAnsi="宋体" w:cs="Times New Roman"/>
          <w:b/>
          <w:sz w:val="28"/>
          <w:szCs w:val="28"/>
        </w:rPr>
        <w:t>建设单位名称和联系方式</w:t>
      </w:r>
    </w:p>
    <w:p>
      <w:pPr>
        <w:ind w:firstLine="560" w:firstLineChars="200"/>
        <w:rPr>
          <w:rFonts w:hAnsi="宋体" w:cs="Times New Roman"/>
          <w:sz w:val="28"/>
          <w:szCs w:val="28"/>
        </w:rPr>
      </w:pPr>
      <w:r>
        <w:rPr>
          <w:rFonts w:hint="eastAsia" w:hAnsi="宋体" w:cs="Times New Roman"/>
          <w:sz w:val="28"/>
          <w:szCs w:val="28"/>
        </w:rPr>
        <w:t>建设单位：陕西葛洲坝延黄宁石高速公路有限公司</w:t>
      </w:r>
    </w:p>
    <w:p>
      <w:pPr>
        <w:ind w:firstLine="560" w:firstLineChars="200"/>
        <w:rPr>
          <w:rFonts w:hAnsi="宋体" w:cs="Times New Roman"/>
          <w:sz w:val="28"/>
          <w:szCs w:val="28"/>
          <w:highlight w:val="yellow"/>
        </w:rPr>
      </w:pPr>
      <w:r>
        <w:rPr>
          <w:rFonts w:hAnsi="宋体" w:cs="Times New Roman"/>
          <w:sz w:val="28"/>
          <w:szCs w:val="28"/>
        </w:rPr>
        <w:t>地址</w:t>
      </w:r>
      <w:r>
        <w:rPr>
          <w:rFonts w:hint="eastAsia" w:hAnsi="宋体" w:cs="Times New Roman"/>
          <w:sz w:val="28"/>
          <w:szCs w:val="28"/>
        </w:rPr>
        <w:t>：陕西安康市石泉县杨柳路北口</w:t>
      </w:r>
    </w:p>
    <w:p>
      <w:pPr>
        <w:ind w:firstLine="560" w:firstLineChars="200"/>
        <w:rPr>
          <w:rFonts w:hAnsi="宋体" w:cs="Times New Roman"/>
          <w:sz w:val="28"/>
          <w:szCs w:val="28"/>
        </w:rPr>
      </w:pPr>
      <w:r>
        <w:rPr>
          <w:rFonts w:hint="eastAsia" w:hAnsi="宋体" w:cs="Times New Roman"/>
          <w:sz w:val="28"/>
          <w:szCs w:val="28"/>
        </w:rPr>
        <w:t>联系电话：0</w:t>
      </w:r>
      <w:r>
        <w:rPr>
          <w:rFonts w:hAnsi="宋体" w:cs="Times New Roman"/>
          <w:sz w:val="28"/>
          <w:szCs w:val="28"/>
        </w:rPr>
        <w:t>915</w:t>
      </w:r>
      <w:r>
        <w:rPr>
          <w:rFonts w:hint="eastAsia" w:hAnsi="宋体" w:cs="Times New Roman"/>
          <w:sz w:val="28"/>
          <w:szCs w:val="28"/>
        </w:rPr>
        <w:t>-</w:t>
      </w:r>
      <w:r>
        <w:rPr>
          <w:rFonts w:hAnsi="宋体" w:cs="Times New Roman"/>
          <w:sz w:val="28"/>
          <w:szCs w:val="28"/>
        </w:rPr>
        <w:t>6311498</w:t>
      </w:r>
    </w:p>
    <w:p>
      <w:pPr>
        <w:ind w:firstLine="560" w:firstLineChars="200"/>
        <w:rPr>
          <w:rFonts w:hAnsi="宋体" w:cs="Times New Roman"/>
          <w:sz w:val="28"/>
          <w:szCs w:val="28"/>
        </w:rPr>
      </w:pPr>
      <w:r>
        <w:rPr>
          <w:rFonts w:hAnsi="宋体" w:cs="Times New Roman"/>
          <w:sz w:val="28"/>
          <w:szCs w:val="28"/>
        </w:rPr>
        <w:t>联系人：</w:t>
      </w:r>
      <w:r>
        <w:rPr>
          <w:rFonts w:hint="eastAsia" w:hAnsi="宋体" w:cs="Times New Roman"/>
          <w:sz w:val="28"/>
          <w:szCs w:val="28"/>
        </w:rPr>
        <w:t>文义龙</w:t>
      </w:r>
    </w:p>
    <w:p>
      <w:pPr>
        <w:ind w:firstLine="560" w:firstLineChars="200"/>
        <w:rPr>
          <w:rFonts w:hAnsi="宋体" w:cs="Times New Roman"/>
          <w:sz w:val="28"/>
          <w:szCs w:val="28"/>
        </w:rPr>
      </w:pPr>
      <w:r>
        <w:rPr>
          <w:rFonts w:hint="eastAsia" w:hAnsi="宋体" w:cs="Times New Roman"/>
          <w:sz w:val="28"/>
          <w:szCs w:val="28"/>
        </w:rPr>
        <w:t>邮编：7</w:t>
      </w:r>
      <w:r>
        <w:rPr>
          <w:rFonts w:hAnsi="宋体" w:cs="Times New Roman"/>
          <w:sz w:val="28"/>
          <w:szCs w:val="28"/>
        </w:rPr>
        <w:t>25200</w:t>
      </w:r>
    </w:p>
    <w:p>
      <w:pPr>
        <w:ind w:firstLine="562" w:firstLineChars="200"/>
        <w:rPr>
          <w:rFonts w:hAnsi="宋体" w:cs="Times New Roman"/>
          <w:b/>
          <w:sz w:val="28"/>
          <w:szCs w:val="28"/>
        </w:rPr>
      </w:pPr>
      <w:r>
        <w:rPr>
          <w:rFonts w:hint="eastAsia" w:hAnsi="宋体" w:cs="Times New Roman"/>
          <w:b/>
          <w:sz w:val="28"/>
          <w:szCs w:val="28"/>
        </w:rPr>
        <w:t>环境</w:t>
      </w:r>
      <w:r>
        <w:rPr>
          <w:rFonts w:hAnsi="宋体" w:cs="Times New Roman"/>
          <w:b/>
          <w:sz w:val="28"/>
          <w:szCs w:val="28"/>
        </w:rPr>
        <w:t>影响报告书编制单位</w:t>
      </w:r>
      <w:r>
        <w:rPr>
          <w:rFonts w:hint="eastAsia" w:hAnsi="宋体" w:cs="Times New Roman"/>
          <w:b/>
          <w:sz w:val="28"/>
          <w:szCs w:val="28"/>
        </w:rPr>
        <w:t>和</w:t>
      </w:r>
      <w:r>
        <w:rPr>
          <w:rFonts w:hAnsi="宋体" w:cs="Times New Roman"/>
          <w:b/>
          <w:sz w:val="28"/>
          <w:szCs w:val="28"/>
        </w:rPr>
        <w:t>联系方式</w:t>
      </w:r>
    </w:p>
    <w:p>
      <w:pPr>
        <w:ind w:firstLine="560" w:firstLineChars="200"/>
        <w:rPr>
          <w:rFonts w:cs="Times New Roman"/>
          <w:sz w:val="28"/>
          <w:szCs w:val="28"/>
        </w:rPr>
      </w:pPr>
      <w:r>
        <w:rPr>
          <w:rFonts w:hint="eastAsia" w:cs="Times New Roman"/>
          <w:sz w:val="28"/>
          <w:szCs w:val="28"/>
        </w:rPr>
        <w:t>编制单位</w:t>
      </w:r>
      <w:r>
        <w:rPr>
          <w:rFonts w:cs="Times New Roman"/>
          <w:sz w:val="28"/>
          <w:szCs w:val="28"/>
        </w:rPr>
        <w:t>：</w:t>
      </w:r>
      <w:r>
        <w:rPr>
          <w:rFonts w:hint="eastAsia" w:cs="Times New Roman"/>
          <w:sz w:val="28"/>
          <w:szCs w:val="28"/>
        </w:rPr>
        <w:t>西安同展环境咨询有限公司</w:t>
      </w:r>
    </w:p>
    <w:p>
      <w:pPr>
        <w:ind w:firstLine="560" w:firstLineChars="200"/>
        <w:rPr>
          <w:rFonts w:cs="Times New Roman"/>
          <w:sz w:val="28"/>
          <w:szCs w:val="28"/>
        </w:rPr>
      </w:pPr>
      <w:r>
        <w:rPr>
          <w:rFonts w:cs="Times New Roman"/>
          <w:sz w:val="28"/>
          <w:szCs w:val="28"/>
        </w:rPr>
        <w:t>地址：西安市南二环</w:t>
      </w:r>
      <w:r>
        <w:rPr>
          <w:rFonts w:hint="eastAsia" w:cs="Times New Roman"/>
          <w:sz w:val="28"/>
          <w:szCs w:val="28"/>
        </w:rPr>
        <w:t>东段</w:t>
      </w:r>
      <w:r>
        <w:rPr>
          <w:rFonts w:cs="Times New Roman"/>
          <w:sz w:val="28"/>
          <w:szCs w:val="28"/>
        </w:rPr>
        <w:t>396</w:t>
      </w:r>
      <w:r>
        <w:rPr>
          <w:rFonts w:hint="eastAsia" w:cs="Times New Roman"/>
          <w:sz w:val="28"/>
          <w:szCs w:val="28"/>
        </w:rPr>
        <w:t>号秦电大厦0</w:t>
      </w:r>
      <w:r>
        <w:rPr>
          <w:rFonts w:cs="Times New Roman"/>
          <w:sz w:val="28"/>
          <w:szCs w:val="28"/>
        </w:rPr>
        <w:t>902</w:t>
      </w:r>
      <w:r>
        <w:rPr>
          <w:rFonts w:hint="eastAsia" w:cs="Times New Roman"/>
          <w:sz w:val="28"/>
          <w:szCs w:val="28"/>
        </w:rPr>
        <w:t>-</w:t>
      </w:r>
      <w:r>
        <w:rPr>
          <w:rFonts w:cs="Times New Roman"/>
          <w:sz w:val="28"/>
          <w:szCs w:val="28"/>
        </w:rPr>
        <w:t>0907</w:t>
      </w:r>
      <w:r>
        <w:rPr>
          <w:rFonts w:hint="eastAsia" w:cs="Times New Roman"/>
          <w:sz w:val="28"/>
          <w:szCs w:val="28"/>
        </w:rPr>
        <w:t xml:space="preserve"> </w:t>
      </w:r>
    </w:p>
    <w:p>
      <w:pPr>
        <w:ind w:firstLine="560" w:firstLineChars="200"/>
        <w:rPr>
          <w:rFonts w:cs="Times New Roman"/>
          <w:sz w:val="28"/>
          <w:szCs w:val="28"/>
        </w:rPr>
      </w:pPr>
      <w:r>
        <w:rPr>
          <w:rFonts w:cs="Times New Roman"/>
          <w:sz w:val="28"/>
          <w:szCs w:val="28"/>
        </w:rPr>
        <w:t>电话：029-</w:t>
      </w:r>
      <w:r>
        <w:rPr>
          <w:rFonts w:hint="eastAsia" w:cs="Times New Roman"/>
          <w:sz w:val="28"/>
          <w:szCs w:val="28"/>
        </w:rPr>
        <w:t>8787</w:t>
      </w:r>
      <w:r>
        <w:rPr>
          <w:rFonts w:cs="Times New Roman"/>
          <w:sz w:val="28"/>
          <w:szCs w:val="28"/>
        </w:rPr>
        <w:t>6198</w:t>
      </w:r>
    </w:p>
    <w:p>
      <w:pPr>
        <w:ind w:firstLine="560" w:firstLineChars="200"/>
        <w:rPr>
          <w:rFonts w:cs="Times New Roman"/>
          <w:sz w:val="28"/>
          <w:szCs w:val="28"/>
        </w:rPr>
      </w:pPr>
      <w:r>
        <w:rPr>
          <w:rFonts w:hint="eastAsia" w:cs="Times New Roman"/>
          <w:sz w:val="28"/>
          <w:szCs w:val="28"/>
        </w:rPr>
        <w:t>邮箱：251069653@qq.com</w:t>
      </w:r>
    </w:p>
    <w:p>
      <w:pPr>
        <w:ind w:firstLine="560" w:firstLineChars="200"/>
        <w:rPr>
          <w:rFonts w:cs="Times New Roman"/>
          <w:sz w:val="28"/>
          <w:szCs w:val="28"/>
        </w:rPr>
      </w:pPr>
      <w:r>
        <w:rPr>
          <w:rFonts w:cs="Times New Roman"/>
          <w:sz w:val="28"/>
          <w:szCs w:val="28"/>
        </w:rPr>
        <w:t>联系人：</w:t>
      </w:r>
      <w:r>
        <w:rPr>
          <w:rFonts w:hint="eastAsia" w:cs="Times New Roman"/>
          <w:sz w:val="28"/>
          <w:szCs w:val="28"/>
        </w:rPr>
        <w:t>郝工</w:t>
      </w:r>
    </w:p>
    <w:p>
      <w:pPr>
        <w:ind w:firstLine="560" w:firstLineChars="200"/>
        <w:rPr>
          <w:rFonts w:cs="Times New Roman"/>
          <w:sz w:val="28"/>
          <w:szCs w:val="28"/>
        </w:rPr>
      </w:pPr>
      <w:r>
        <w:rPr>
          <w:rFonts w:hint="eastAsia" w:cs="Times New Roman"/>
          <w:sz w:val="28"/>
          <w:szCs w:val="28"/>
        </w:rPr>
        <w:t>邮编：710061</w:t>
      </w:r>
    </w:p>
    <w:p>
      <w:pPr>
        <w:rPr>
          <w:rFonts w:cs="Times New Roman"/>
          <w:sz w:val="28"/>
          <w:szCs w:val="28"/>
        </w:rPr>
      </w:pPr>
    </w:p>
    <w:p>
      <w:pPr>
        <w:rPr>
          <w:rFonts w:cs="Times New Roman"/>
          <w:sz w:val="28"/>
          <w:szCs w:val="28"/>
        </w:rPr>
      </w:pPr>
      <w:r>
        <w:rPr>
          <w:rFonts w:cs="Times New Roman"/>
          <w:sz w:val="28"/>
          <w:szCs w:val="28"/>
        </w:rPr>
        <w:t>特此通告</w:t>
      </w:r>
    </w:p>
    <w:p>
      <w:pPr>
        <w:rPr>
          <w:rFonts w:cs="Times New Roman"/>
          <w:sz w:val="28"/>
          <w:szCs w:val="28"/>
        </w:rPr>
      </w:pPr>
      <w:r>
        <w:rPr>
          <w:rFonts w:hint="eastAsia" w:cs="Times New Roman"/>
          <w:sz w:val="28"/>
          <w:szCs w:val="28"/>
        </w:rPr>
        <w:t>陕西葛洲坝延黄宁石高速公路有限公司</w:t>
      </w:r>
    </w:p>
    <w:p>
      <w:pPr>
        <w:jc w:val="left"/>
        <w:rPr>
          <w:rFonts w:ascii="微软雅黑" w:hAnsi="微软雅黑" w:eastAsia="微软雅黑" w:cs="宋体"/>
          <w:kern w:val="0"/>
          <w:sz w:val="18"/>
          <w:szCs w:val="18"/>
        </w:rPr>
      </w:pPr>
      <w:r>
        <w:rPr>
          <w:rFonts w:cs="Times New Roman"/>
          <w:sz w:val="28"/>
          <w:szCs w:val="28"/>
        </w:rPr>
        <w:t>20</w:t>
      </w:r>
      <w:r>
        <w:rPr>
          <w:rFonts w:hint="eastAsia" w:cs="Times New Roman"/>
          <w:sz w:val="28"/>
          <w:szCs w:val="28"/>
        </w:rPr>
        <w:t>1</w:t>
      </w:r>
      <w:r>
        <w:rPr>
          <w:rFonts w:cs="Times New Roman"/>
          <w:sz w:val="28"/>
          <w:szCs w:val="28"/>
        </w:rPr>
        <w:t>9年1</w:t>
      </w:r>
      <w:r>
        <w:rPr>
          <w:rFonts w:hint="eastAsia" w:cs="Times New Roman"/>
          <w:sz w:val="28"/>
          <w:szCs w:val="28"/>
        </w:rPr>
        <w:t>1</w:t>
      </w:r>
      <w:r>
        <w:rPr>
          <w:rFonts w:cs="Times New Roman"/>
          <w:sz w:val="28"/>
          <w:szCs w:val="28"/>
        </w:rPr>
        <w:t>月</w:t>
      </w:r>
      <w:r>
        <w:rPr>
          <w:rFonts w:hint="eastAsia" w:cs="Times New Roman"/>
          <w:sz w:val="28"/>
          <w:szCs w:val="28"/>
        </w:rPr>
        <w:t>4</w:t>
      </w:r>
      <w:r>
        <w:rPr>
          <w:rFonts w:cs="Times New Roman"/>
          <w:sz w:val="28"/>
          <w:szCs w:val="28"/>
        </w:rPr>
        <w:t>日</w:t>
      </w:r>
      <w:r>
        <w:rPr>
          <w:rFonts w:ascii="微软雅黑" w:hAnsi="微软雅黑" w:eastAsia="微软雅黑" w:cs="宋体"/>
          <w:kern w:val="0"/>
          <w:sz w:val="18"/>
          <w:szCs w:val="18"/>
        </w:rPr>
        <w:br w:type="page"/>
      </w:r>
    </w:p>
    <w:p>
      <w:pPr>
        <w:widowControl/>
        <w:jc w:val="left"/>
        <w:outlineLvl w:val="1"/>
        <w:rPr>
          <w:rFonts w:hAnsi="微软雅黑" w:eastAsia="黑体" w:cs="宋体"/>
          <w:bCs/>
          <w:kern w:val="0"/>
          <w:sz w:val="24"/>
        </w:rPr>
      </w:pPr>
      <w:r>
        <w:rPr>
          <w:rFonts w:hint="eastAsia" w:hAnsi="微软雅黑" w:eastAsia="黑体" w:cs="宋体"/>
          <w:bCs/>
          <w:kern w:val="0"/>
          <w:sz w:val="24"/>
        </w:rPr>
        <w:t>附件4：</w:t>
      </w:r>
    </w:p>
    <w:p>
      <w:pPr>
        <w:jc w:val="center"/>
        <w:rPr>
          <w:rFonts w:eastAsia="黑体" w:cs="Times New Roman"/>
          <w:kern w:val="0"/>
          <w:sz w:val="32"/>
          <w:szCs w:val="32"/>
        </w:rPr>
      </w:pPr>
      <w:r>
        <w:rPr>
          <w:rFonts w:hint="eastAsia" w:eastAsia="黑体" w:cs="Times New Roman"/>
          <w:sz w:val="32"/>
          <w:szCs w:val="32"/>
        </w:rPr>
        <w:t>宁陕至石泉高速公路</w:t>
      </w:r>
      <w:r>
        <w:rPr>
          <w:rFonts w:hint="eastAsia" w:eastAsia="黑体" w:cs="Times New Roman"/>
          <w:kern w:val="0"/>
          <w:sz w:val="32"/>
          <w:szCs w:val="32"/>
        </w:rPr>
        <w:t>（重大变动）</w:t>
      </w:r>
    </w:p>
    <w:p>
      <w:pPr>
        <w:jc w:val="center"/>
        <w:rPr>
          <w:rFonts w:eastAsia="黑体" w:cs="Times New Roman"/>
          <w:sz w:val="32"/>
          <w:szCs w:val="32"/>
        </w:rPr>
      </w:pPr>
      <w:r>
        <w:rPr>
          <w:rFonts w:hint="eastAsia" w:eastAsia="黑体" w:cs="Times New Roman"/>
          <w:sz w:val="32"/>
          <w:szCs w:val="32"/>
        </w:rPr>
        <w:t>环境影响报告书（征求意见稿）信息公示</w:t>
      </w:r>
    </w:p>
    <w:p>
      <w:pPr>
        <w:spacing w:line="360" w:lineRule="auto"/>
        <w:ind w:firstLine="480" w:firstLineChars="200"/>
        <w:rPr>
          <w:rFonts w:ascii="宋体" w:hAnsi="宋体" w:cs="Times New Roman"/>
          <w:sz w:val="24"/>
        </w:rPr>
      </w:pPr>
      <w:r>
        <w:rPr>
          <w:rFonts w:hint="eastAsia" w:cs="Times New Roman"/>
          <w:kern w:val="0"/>
          <w:sz w:val="24"/>
        </w:rPr>
        <w:t>根据《中华人民共和国环境影响评价法》和</w:t>
      </w:r>
      <w:r>
        <w:rPr>
          <w:rFonts w:hint="eastAsia" w:ascii="宋体" w:hAnsi="宋体" w:cs="Times New Roman"/>
          <w:sz w:val="24"/>
        </w:rPr>
        <w:t>《环境影响评价公众参与办法》等要求，《宁陕至石泉高速公路（重大变动）环境影响评价报告书》（征求意见稿）已编制完成，</w:t>
      </w:r>
      <w:r>
        <w:rPr>
          <w:rFonts w:hint="eastAsia" w:cs="Times New Roman"/>
          <w:kern w:val="0"/>
          <w:sz w:val="24"/>
        </w:rPr>
        <w:t>现向公众征求与该建设项目环境影响有关的意见</w:t>
      </w:r>
      <w:r>
        <w:rPr>
          <w:rFonts w:hint="eastAsia" w:ascii="宋体" w:hAnsi="宋体" w:cs="Times New Roman"/>
          <w:sz w:val="24"/>
        </w:rPr>
        <w:t>。</w:t>
      </w:r>
    </w:p>
    <w:p>
      <w:pPr>
        <w:spacing w:line="360" w:lineRule="auto"/>
        <w:rPr>
          <w:rFonts w:hAnsi="宋体" w:cs="Times New Roman"/>
          <w:b/>
          <w:bCs/>
          <w:kern w:val="0"/>
          <w:sz w:val="24"/>
        </w:rPr>
      </w:pPr>
      <w:r>
        <w:rPr>
          <w:rFonts w:hint="eastAsia" w:hAnsi="宋体" w:cs="Times New Roman"/>
          <w:b/>
          <w:bCs/>
          <w:kern w:val="0"/>
          <w:sz w:val="24"/>
        </w:rPr>
        <w:t>一、环境影响报告书征求意见稿全文的网络链接及查阅纸质报告书的方式和途径</w:t>
      </w:r>
    </w:p>
    <w:p>
      <w:pPr>
        <w:spacing w:line="360" w:lineRule="auto"/>
        <w:ind w:firstLine="480" w:firstLineChars="200"/>
        <w:rPr>
          <w:rFonts w:ascii="宋体" w:hAnsi="宋体" w:cs="Times New Roman"/>
          <w:sz w:val="24"/>
        </w:rPr>
      </w:pPr>
      <w:r>
        <w:rPr>
          <w:rFonts w:hint="eastAsia" w:hAnsi="宋体" w:cs="Times New Roman"/>
          <w:kern w:val="0"/>
          <w:sz w:val="24"/>
        </w:rPr>
        <w:t>项目环境影响报告书征求意见稿存放于陕西葛洲坝延黄宁石高速公路有限公司供公众查阅，并在</w:t>
      </w:r>
      <w:r>
        <w:rPr>
          <w:rFonts w:hint="eastAsia" w:ascii="宋体" w:hAnsi="宋体" w:cs="Times New Roman"/>
          <w:sz w:val="24"/>
        </w:rPr>
        <w:t>宁陕县人民政府网站（</w:t>
      </w:r>
      <w:r>
        <w:fldChar w:fldCharType="begin"/>
      </w:r>
      <w:r>
        <w:instrText xml:space="preserve"> HYPERLINK "http://www.ningshan.gov.cn/" </w:instrText>
      </w:r>
      <w:r>
        <w:fldChar w:fldCharType="separate"/>
      </w:r>
      <w:r>
        <w:rPr>
          <w:rFonts w:hint="eastAsia" w:ascii="宋体" w:hAnsi="宋体" w:cs="Times New Roman"/>
          <w:sz w:val="24"/>
        </w:rPr>
        <w:t>http://www.ningshan.gov.cn/</w:t>
      </w:r>
      <w:r>
        <w:rPr>
          <w:rFonts w:hint="eastAsia" w:ascii="宋体" w:hAnsi="宋体" w:cs="Times New Roman"/>
          <w:sz w:val="24"/>
        </w:rPr>
        <w:fldChar w:fldCharType="end"/>
      </w:r>
      <w:r>
        <w:rPr>
          <w:rFonts w:hint="eastAsia" w:ascii="宋体" w:hAnsi="宋体" w:cs="Times New Roman"/>
          <w:sz w:val="24"/>
        </w:rPr>
        <w:t>）、石泉县人民政府网站（http://www.shiquan.gov.cn/）</w:t>
      </w:r>
      <w:r>
        <w:rPr>
          <w:rFonts w:hint="eastAsia" w:cs="Times New Roman"/>
          <w:kern w:val="0"/>
          <w:sz w:val="24"/>
        </w:rPr>
        <w:t>发布了报告书（征求意见稿）信息公示。报告书（征求意见稿）具体内容详见附件</w:t>
      </w:r>
      <w:r>
        <w:rPr>
          <w:rFonts w:cs="Times New Roman"/>
          <w:kern w:val="0"/>
          <w:sz w:val="24"/>
        </w:rPr>
        <w:t>1</w:t>
      </w:r>
      <w:r>
        <w:rPr>
          <w:rFonts w:hint="eastAsia" w:cs="Times New Roman"/>
          <w:kern w:val="0"/>
          <w:sz w:val="24"/>
        </w:rPr>
        <w:t>。</w:t>
      </w:r>
    </w:p>
    <w:p>
      <w:pPr>
        <w:spacing w:line="360" w:lineRule="auto"/>
        <w:rPr>
          <w:rFonts w:hAnsi="宋体" w:cs="Times New Roman"/>
          <w:b/>
          <w:bCs/>
          <w:kern w:val="0"/>
          <w:sz w:val="24"/>
        </w:rPr>
      </w:pPr>
      <w:r>
        <w:rPr>
          <w:rFonts w:hint="eastAsia" w:hAnsi="宋体" w:cs="Times New Roman"/>
          <w:b/>
          <w:bCs/>
          <w:kern w:val="0"/>
          <w:sz w:val="24"/>
        </w:rPr>
        <w:t>二、征求意见的公众范围</w:t>
      </w:r>
    </w:p>
    <w:p>
      <w:pPr>
        <w:spacing w:line="360" w:lineRule="auto"/>
        <w:ind w:firstLine="480" w:firstLineChars="200"/>
        <w:rPr>
          <w:rFonts w:ascii="宋体" w:hAnsi="宋体" w:cs="Times New Roman"/>
          <w:sz w:val="24"/>
        </w:rPr>
      </w:pPr>
      <w:r>
        <w:rPr>
          <w:rFonts w:hint="eastAsia" w:cs="Times New Roman"/>
          <w:kern w:val="0"/>
          <w:sz w:val="24"/>
        </w:rPr>
        <w:t>征求意见的公众范围包括环境影响评价范围内的公民、法人和其他组织，同时也欢迎环境影响评价范围之外的公民、法人和其他组织提出宝贵意见。</w:t>
      </w:r>
    </w:p>
    <w:p>
      <w:pPr>
        <w:spacing w:line="360" w:lineRule="auto"/>
        <w:rPr>
          <w:rFonts w:hAnsi="宋体" w:cs="Times New Roman"/>
          <w:b/>
          <w:bCs/>
          <w:kern w:val="0"/>
          <w:sz w:val="24"/>
        </w:rPr>
      </w:pPr>
      <w:r>
        <w:rPr>
          <w:rFonts w:hint="eastAsia" w:hAnsi="宋体" w:cs="Times New Roman"/>
          <w:b/>
          <w:bCs/>
          <w:kern w:val="0"/>
          <w:sz w:val="24"/>
        </w:rPr>
        <w:t>三、公众意见表的网络链接</w:t>
      </w:r>
    </w:p>
    <w:p>
      <w:pPr>
        <w:widowControl/>
        <w:spacing w:line="360" w:lineRule="auto"/>
        <w:ind w:firstLine="480" w:firstLineChars="200"/>
        <w:jc w:val="left"/>
        <w:rPr>
          <w:rFonts w:cs="Times New Roman"/>
          <w:sz w:val="24"/>
        </w:rPr>
      </w:pPr>
      <w:r>
        <w:rPr>
          <w:rFonts w:hint="eastAsia" w:cs="Times New Roman"/>
          <w:sz w:val="24"/>
        </w:rPr>
        <w:t>公众意见表具体内容详见附件</w:t>
      </w:r>
      <w:r>
        <w:rPr>
          <w:rFonts w:cs="Times New Roman"/>
          <w:sz w:val="24"/>
        </w:rPr>
        <w:t>2</w:t>
      </w:r>
      <w:r>
        <w:rPr>
          <w:rFonts w:hint="eastAsia" w:cs="Times New Roman"/>
          <w:sz w:val="24"/>
        </w:rPr>
        <w:t>。</w:t>
      </w:r>
    </w:p>
    <w:p>
      <w:pPr>
        <w:spacing w:line="360" w:lineRule="auto"/>
        <w:rPr>
          <w:rFonts w:hAnsi="宋体" w:cs="Times New Roman"/>
          <w:b/>
          <w:bCs/>
          <w:kern w:val="0"/>
          <w:sz w:val="24"/>
        </w:rPr>
      </w:pPr>
      <w:r>
        <w:rPr>
          <w:rFonts w:hint="eastAsia" w:hAnsi="宋体" w:cs="Times New Roman"/>
          <w:b/>
          <w:bCs/>
          <w:kern w:val="0"/>
          <w:sz w:val="24"/>
        </w:rPr>
        <w:t>四、公众提出意见的方式和途径</w:t>
      </w:r>
    </w:p>
    <w:p>
      <w:pPr>
        <w:spacing w:line="360" w:lineRule="auto"/>
        <w:ind w:firstLine="480" w:firstLineChars="200"/>
        <w:rPr>
          <w:rFonts w:ascii="宋体" w:hAnsi="宋体" w:cs="Times New Roman"/>
          <w:sz w:val="24"/>
        </w:rPr>
      </w:pPr>
      <w:r>
        <w:rPr>
          <w:rFonts w:hint="eastAsia" w:hAnsi="宋体" w:cs="Times New Roman"/>
          <w:kern w:val="0"/>
          <w:sz w:val="24"/>
        </w:rPr>
        <w:t>环境影响评价范围内的公民、法人和其他组织可通过信函、传真、电子邮件等方式，在规定时间内将填写的公众意见表提交建设单位，反映与建设项目环境影响有关的意见和建议。</w:t>
      </w:r>
    </w:p>
    <w:p>
      <w:pPr>
        <w:spacing w:line="360" w:lineRule="auto"/>
        <w:ind w:firstLine="480" w:firstLineChars="200"/>
        <w:rPr>
          <w:rFonts w:ascii="宋体" w:hAnsi="宋体" w:cs="Times New Roman"/>
          <w:sz w:val="24"/>
        </w:rPr>
      </w:pPr>
      <w:r>
        <w:rPr>
          <w:rFonts w:hint="eastAsia" w:ascii="宋体" w:hAnsi="宋体" w:cs="Times New Roman"/>
          <w:sz w:val="24"/>
        </w:rPr>
        <w:t>建设单位名称：陕西葛洲坝延黄宁石高速公路有限公司</w:t>
      </w:r>
    </w:p>
    <w:p>
      <w:pPr>
        <w:spacing w:line="360" w:lineRule="auto"/>
        <w:ind w:firstLine="480" w:firstLineChars="200"/>
        <w:rPr>
          <w:rFonts w:ascii="宋体" w:hAnsi="宋体" w:cs="Times New Roman"/>
          <w:sz w:val="24"/>
        </w:rPr>
      </w:pPr>
      <w:r>
        <w:rPr>
          <w:rFonts w:hint="eastAsia" w:ascii="宋体" w:hAnsi="宋体" w:cs="Times New Roman"/>
          <w:sz w:val="24"/>
        </w:rPr>
        <w:t xml:space="preserve">地址：陕西安康市石泉县杨柳路北口     邮编：725200  </w:t>
      </w:r>
    </w:p>
    <w:p>
      <w:pPr>
        <w:spacing w:line="360" w:lineRule="auto"/>
        <w:ind w:firstLine="480" w:firstLineChars="200"/>
        <w:rPr>
          <w:rFonts w:ascii="宋体" w:hAnsi="宋体" w:cs="Times New Roman"/>
          <w:sz w:val="24"/>
        </w:rPr>
      </w:pPr>
      <w:r>
        <w:rPr>
          <w:rFonts w:hint="eastAsia" w:ascii="宋体" w:hAnsi="宋体" w:cs="Times New Roman"/>
          <w:sz w:val="24"/>
        </w:rPr>
        <w:t>联系人：文义龙     联系电话：0915-6311498</w:t>
      </w:r>
    </w:p>
    <w:p>
      <w:pPr>
        <w:spacing w:line="360" w:lineRule="auto"/>
        <w:rPr>
          <w:rFonts w:hAnsi="宋体" w:cs="Times New Roman"/>
          <w:b/>
          <w:bCs/>
          <w:kern w:val="0"/>
          <w:sz w:val="24"/>
        </w:rPr>
      </w:pPr>
      <w:r>
        <w:rPr>
          <w:rFonts w:hint="eastAsia" w:hAnsi="宋体" w:cs="Times New Roman"/>
          <w:b/>
          <w:bCs/>
          <w:kern w:val="0"/>
          <w:sz w:val="24"/>
        </w:rPr>
        <w:t>五、公众提出意见的起止时间</w:t>
      </w:r>
    </w:p>
    <w:p>
      <w:pPr>
        <w:spacing w:line="360" w:lineRule="auto"/>
        <w:ind w:firstLine="480" w:firstLineChars="200"/>
        <w:rPr>
          <w:rFonts w:ascii="宋体" w:hAnsi="宋体" w:cs="Times New Roman"/>
          <w:sz w:val="24"/>
        </w:rPr>
      </w:pPr>
      <w:r>
        <w:rPr>
          <w:rFonts w:hint="eastAsia" w:ascii="宋体" w:hAnsi="宋体" w:cs="Times New Roman"/>
          <w:kern w:val="0"/>
          <w:sz w:val="24"/>
        </w:rPr>
        <w:t>公众提出意见的时间：2020年6月28日至2020年7月9日，共10个工作日。</w:t>
      </w:r>
    </w:p>
    <w:p>
      <w:pPr>
        <w:jc w:val="center"/>
        <w:rPr>
          <w:rFonts w:ascii="微软雅黑" w:hAnsi="微软雅黑" w:eastAsia="微软雅黑" w:cs="宋体"/>
          <w:kern w:val="0"/>
          <w:sz w:val="18"/>
          <w:szCs w:val="18"/>
        </w:rPr>
      </w:pPr>
    </w:p>
    <w:sectPr>
      <w:headerReference r:id="rId5" w:type="default"/>
      <w:footerReference r:id="rId6" w:type="default"/>
      <w:pgSz w:w="11906" w:h="16838"/>
      <w:pgMar w:top="1418" w:right="1797" w:bottom="1418"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方正楷体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spacing w:line="240" w:lineRule="auto"/>
      <w:ind w:firstLine="0" w:firstLineChars="0"/>
      <w:jc w:val="center"/>
    </w:pPr>
    <w:r>
      <w:rPr>
        <w:rFonts w:hint="eastAsia" w:cs="Times New Roman" w:asciiTheme="minorEastAsia" w:hAnsiTheme="minorEastAsia" w:eastAsiaTheme="minorEastAsia"/>
        <w:sz w:val="18"/>
        <w:szCs w:val="18"/>
      </w:rPr>
      <w:t>宁陕至石泉高速公路（重大变动）</w:t>
    </w:r>
    <w:r>
      <w:rPr>
        <w:rFonts w:cs="Times New Roman" w:asciiTheme="minorEastAsia" w:hAnsiTheme="minorEastAsia" w:eastAsiaTheme="minorEastAsia"/>
        <w:sz w:val="18"/>
        <w:szCs w:val="18"/>
      </w:rPr>
      <w:t>环境影响评价公众参与说明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9719A"/>
    <w:multiLevelType w:val="multilevel"/>
    <w:tmpl w:val="4579719A"/>
    <w:lvl w:ilvl="0" w:tentative="0">
      <w:start w:val="1"/>
      <w:numFmt w:val="none"/>
      <w:suff w:val="nothing"/>
      <w:lvlText w:val="%1"/>
      <w:lvlJc w:val="left"/>
      <w:pPr>
        <w:ind w:left="0" w:firstLine="0"/>
      </w:pPr>
      <w:rPr>
        <w:rFonts w:hint="default" w:ascii="Times New Roman" w:hAnsi="Times New Roman" w:eastAsia="宋体"/>
        <w:b/>
        <w:i w:val="0"/>
        <w:spacing w:val="0"/>
        <w:sz w:val="30"/>
      </w:rPr>
    </w:lvl>
    <w:lvl w:ilvl="1" w:tentative="0">
      <w:start w:val="1"/>
      <w:numFmt w:val="decimal"/>
      <w:pStyle w:val="30"/>
      <w:isLgl/>
      <w:suff w:val="nothing"/>
      <w:lvlText w:val="%1%2、"/>
      <w:lvlJc w:val="left"/>
      <w:pPr>
        <w:ind w:left="0" w:firstLine="0"/>
      </w:pPr>
      <w:rPr>
        <w:rFonts w:hint="default" w:ascii="Times New Roman" w:hAnsi="Times New Roman" w:eastAsia="宋体" w:cs="Times New Roman"/>
        <w:b/>
        <w:i w:val="0"/>
        <w:sz w:val="24"/>
      </w:rPr>
    </w:lvl>
    <w:lvl w:ilvl="2" w:tentative="0">
      <w:start w:val="1"/>
      <w:numFmt w:val="decimal"/>
      <w:isLgl/>
      <w:suff w:val="space"/>
      <w:lvlText w:val="%1%2.%3 "/>
      <w:lvlJc w:val="left"/>
      <w:pPr>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sz w:val="24"/>
        <w:u w:val="none"/>
        <w:vertAlign w:val="baseline"/>
      </w:rPr>
    </w:lvl>
    <w:lvl w:ilvl="3" w:tentative="0">
      <w:start w:val="1"/>
      <w:numFmt w:val="decimal"/>
      <w:isLgl/>
      <w:suff w:val="space"/>
      <w:lvlText w:val="%1%2.%3.%4 "/>
      <w:lvlJc w:val="left"/>
      <w:pPr>
        <w:ind w:left="0" w:firstLine="0"/>
      </w:pPr>
      <w:rPr>
        <w:rFonts w:hint="default" w:ascii="Times New Roman" w:hAnsi="Times New Roman" w:eastAsia="宋体"/>
        <w:b/>
        <w:i w:val="0"/>
        <w:sz w:val="24"/>
      </w:rPr>
    </w:lvl>
    <w:lvl w:ilvl="4" w:tentative="0">
      <w:start w:val="1"/>
      <w:numFmt w:val="decimal"/>
      <w:isLgl/>
      <w:suff w:val="space"/>
      <w:lvlText w:val="(%5)"/>
      <w:lvlJc w:val="left"/>
      <w:pPr>
        <w:ind w:left="0" w:firstLine="0"/>
      </w:pPr>
      <w:rPr>
        <w:rFonts w:hint="default" w:ascii="Times New Roman" w:hAnsi="Times New Roman" w:eastAsia="宋体"/>
        <w:b/>
        <w:i w:val="0"/>
        <w:spacing w:val="0"/>
        <w:sz w:val="24"/>
      </w:rPr>
    </w:lvl>
    <w:lvl w:ilvl="5" w:tentative="0">
      <w:start w:val="1"/>
      <w:numFmt w:val="decimal"/>
      <w:lvlRestart w:val="0"/>
      <w:isLgl/>
      <w:suff w:val="space"/>
      <w:lvlText w:val="表%1%6"/>
      <w:lvlJc w:val="left"/>
      <w:pPr>
        <w:ind w:left="0" w:firstLine="0"/>
      </w:pPr>
      <w:rPr>
        <w:rFonts w:hint="default" w:ascii="Times New Roman" w:hAnsi="Times New Roman" w:eastAsia="宋体"/>
        <w:b/>
        <w:i w:val="0"/>
        <w:spacing w:val="20"/>
        <w:sz w:val="21"/>
      </w:rPr>
    </w:lvl>
    <w:lvl w:ilvl="6" w:tentative="0">
      <w:start w:val="1"/>
      <w:numFmt w:val="decimal"/>
      <w:lvlRestart w:val="0"/>
      <w:isLgl/>
      <w:suff w:val="space"/>
      <w:lvlText w:val="图%1%7"/>
      <w:lvlJc w:val="left"/>
      <w:pPr>
        <w:ind w:left="0" w:firstLine="0"/>
      </w:pPr>
      <w:rPr>
        <w:rFonts w:hint="default" w:ascii="Times New Roman" w:hAnsi="Times New Roman" w:eastAsia="宋体"/>
        <w:b/>
        <w:i w:val="0"/>
        <w:spacing w:val="20"/>
        <w:sz w:val="21"/>
      </w:rPr>
    </w:lvl>
    <w:lvl w:ilvl="7" w:tentative="0">
      <w:start w:val="1"/>
      <w:numFmt w:val="decimal"/>
      <w:lvlRestart w:val="5"/>
      <w:suff w:val="space"/>
      <w:lvlText w:val="(%8)"/>
      <w:lvlJc w:val="left"/>
      <w:pPr>
        <w:ind w:left="0" w:firstLine="0"/>
      </w:pPr>
      <w:rPr>
        <w:rFonts w:hint="default" w:ascii="Times New Roman" w:hAnsi="Times New Roman"/>
        <w:b w:val="0"/>
        <w:i w:val="0"/>
        <w:sz w:val="24"/>
      </w:rPr>
    </w:lvl>
    <w:lvl w:ilvl="8" w:tentative="0">
      <w:start w:val="1"/>
      <w:numFmt w:val="decimalEnclosedCircle"/>
      <w:suff w:val="space"/>
      <w:lvlText w:val="%9"/>
      <w:lvlJc w:val="left"/>
      <w:pPr>
        <w:ind w:left="0" w:firstLine="0"/>
      </w:pPr>
      <w:rPr>
        <w:rFonts w:hint="eastAsia"/>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3EA"/>
    <w:rsid w:val="00001C70"/>
    <w:rsid w:val="000048EF"/>
    <w:rsid w:val="00014FD4"/>
    <w:rsid w:val="00061F34"/>
    <w:rsid w:val="00064A6C"/>
    <w:rsid w:val="000710B8"/>
    <w:rsid w:val="0008646B"/>
    <w:rsid w:val="000A08BA"/>
    <w:rsid w:val="000A5A24"/>
    <w:rsid w:val="000C65D2"/>
    <w:rsid w:val="001076FF"/>
    <w:rsid w:val="001423ED"/>
    <w:rsid w:val="001776D0"/>
    <w:rsid w:val="001A1538"/>
    <w:rsid w:val="001B2F9A"/>
    <w:rsid w:val="001D33C0"/>
    <w:rsid w:val="001E638D"/>
    <w:rsid w:val="00260E3A"/>
    <w:rsid w:val="00264F83"/>
    <w:rsid w:val="0028213B"/>
    <w:rsid w:val="002D27D4"/>
    <w:rsid w:val="002F39DE"/>
    <w:rsid w:val="00310DD3"/>
    <w:rsid w:val="00313922"/>
    <w:rsid w:val="00313BED"/>
    <w:rsid w:val="0031517B"/>
    <w:rsid w:val="00315DD4"/>
    <w:rsid w:val="00320F3F"/>
    <w:rsid w:val="00370536"/>
    <w:rsid w:val="003B41D7"/>
    <w:rsid w:val="003C05DB"/>
    <w:rsid w:val="003E0FB3"/>
    <w:rsid w:val="00436807"/>
    <w:rsid w:val="00473716"/>
    <w:rsid w:val="004761DA"/>
    <w:rsid w:val="00480125"/>
    <w:rsid w:val="004E1505"/>
    <w:rsid w:val="0058000C"/>
    <w:rsid w:val="005A083F"/>
    <w:rsid w:val="005B1565"/>
    <w:rsid w:val="005E35A4"/>
    <w:rsid w:val="00611316"/>
    <w:rsid w:val="00666854"/>
    <w:rsid w:val="00675D75"/>
    <w:rsid w:val="00682114"/>
    <w:rsid w:val="006942A7"/>
    <w:rsid w:val="006B411B"/>
    <w:rsid w:val="006D502E"/>
    <w:rsid w:val="006E2482"/>
    <w:rsid w:val="0072500E"/>
    <w:rsid w:val="0073005F"/>
    <w:rsid w:val="00777811"/>
    <w:rsid w:val="007873B5"/>
    <w:rsid w:val="007B7EC7"/>
    <w:rsid w:val="007C66FE"/>
    <w:rsid w:val="007D3531"/>
    <w:rsid w:val="007E1F5B"/>
    <w:rsid w:val="00827FB7"/>
    <w:rsid w:val="00830322"/>
    <w:rsid w:val="00845918"/>
    <w:rsid w:val="00853DFA"/>
    <w:rsid w:val="008662F1"/>
    <w:rsid w:val="00926A6F"/>
    <w:rsid w:val="00943481"/>
    <w:rsid w:val="00943CCC"/>
    <w:rsid w:val="00954F11"/>
    <w:rsid w:val="00956408"/>
    <w:rsid w:val="00985926"/>
    <w:rsid w:val="009A77E8"/>
    <w:rsid w:val="00A02DE8"/>
    <w:rsid w:val="00A04C11"/>
    <w:rsid w:val="00A14886"/>
    <w:rsid w:val="00A405DF"/>
    <w:rsid w:val="00A679FE"/>
    <w:rsid w:val="00A77614"/>
    <w:rsid w:val="00A920BF"/>
    <w:rsid w:val="00AA2D46"/>
    <w:rsid w:val="00B340AF"/>
    <w:rsid w:val="00B65EE1"/>
    <w:rsid w:val="00B76CAF"/>
    <w:rsid w:val="00B84A24"/>
    <w:rsid w:val="00B86796"/>
    <w:rsid w:val="00BD1ED3"/>
    <w:rsid w:val="00BF3ACC"/>
    <w:rsid w:val="00C00675"/>
    <w:rsid w:val="00C364A8"/>
    <w:rsid w:val="00C95396"/>
    <w:rsid w:val="00C979B7"/>
    <w:rsid w:val="00CA3721"/>
    <w:rsid w:val="00CD357C"/>
    <w:rsid w:val="00CD638D"/>
    <w:rsid w:val="00CE13EA"/>
    <w:rsid w:val="00CE1BC8"/>
    <w:rsid w:val="00D354E6"/>
    <w:rsid w:val="00D4478F"/>
    <w:rsid w:val="00D632C9"/>
    <w:rsid w:val="00D81E57"/>
    <w:rsid w:val="00D8274B"/>
    <w:rsid w:val="00D927CE"/>
    <w:rsid w:val="00DC08FD"/>
    <w:rsid w:val="00E0499E"/>
    <w:rsid w:val="00E06025"/>
    <w:rsid w:val="00E20ED8"/>
    <w:rsid w:val="00E51056"/>
    <w:rsid w:val="00E5382C"/>
    <w:rsid w:val="00E54C66"/>
    <w:rsid w:val="00E70A85"/>
    <w:rsid w:val="00E812FC"/>
    <w:rsid w:val="00E91186"/>
    <w:rsid w:val="00F24805"/>
    <w:rsid w:val="00F66DC1"/>
    <w:rsid w:val="00F72612"/>
    <w:rsid w:val="00F82D72"/>
    <w:rsid w:val="00F86508"/>
    <w:rsid w:val="00F95DD4"/>
    <w:rsid w:val="00FB6C46"/>
    <w:rsid w:val="00FC2C96"/>
    <w:rsid w:val="6A22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0" w:name="Normal Indent"/>
    <w:lsdException w:qFormat="1" w:uiPriority="0" w:name="footnote text"/>
    <w:lsdException w:qFormat="1" w:uiPriority="99" w:name="annotation text"/>
    <w:lsdException w:qFormat="1" w:uiPriority="99" w:semiHidden="0" w:name="header"/>
    <w:lsdException w:qFormat="1" w:uiPriority="99" w:semiHidden="0" w:name="footer"/>
    <w:lsdException w:qFormat="1" w:uiPriority="0" w:name="index heading"/>
    <w:lsdException w:qFormat="1" w:uiPriority="0" w:name="caption"/>
    <w:lsdException w:qFormat="1" w:uiPriority="0" w:name="table of figures"/>
    <w:lsdException w:qFormat="1" w:uiPriority="0" w:name="envelope address"/>
    <w:lsdException w:qFormat="1" w:uiPriority="0" w:name="envelope return"/>
    <w:lsdException w:qFormat="1" w:uiPriority="0" w:name="footnote reference"/>
    <w:lsdException w:qFormat="1" w:uiPriority="99" w:name="annotation reference"/>
    <w:lsdException w:qFormat="1" w:uiPriority="0" w:name="line number"/>
    <w:lsdException w:qFormat="1" w:uiPriority="0" w:name="page number"/>
    <w:lsdException w:qFormat="1" w:uiPriority="0" w:name="endnote reference"/>
    <w:lsdException w:qFormat="1" w:uiPriority="0" w:name="endnote text"/>
    <w:lsdException w:qFormat="1" w:uiPriority="0" w:name="table of authorities"/>
    <w:lsdException w:qFormat="1" w:uiPriority="99" w:name="macro"/>
    <w:lsdException w:qFormat="1" w:uiPriority="0" w:name="toa heading"/>
    <w:lsdException w:qFormat="1" w:uiPriority="0" w:name="List"/>
    <w:lsdException w:qFormat="1" w:uiPriority="0" w:name="List Bullet"/>
    <w:lsdException w:qFormat="1" w:uiPriority="0" w:name="List Number"/>
    <w:lsdException w:qFormat="1" w:uiPriority="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iPriority="0" w:name="Body Text"/>
    <w:lsdException w:qFormat="1" w:uiPriority="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iPriority="0" w:name="Message Header"/>
    <w:lsdException w:qFormat="1" w:unhideWhenUsed="0" w:uiPriority="0" w:semiHidden="0" w:name="Subtitle"/>
    <w:lsdException w:qFormat="1" w:uiPriority="0" w:name="Salutation"/>
    <w:lsdException w:qFormat="1" w:uiPriority="0" w:name="Date"/>
    <w:lsdException w:qFormat="1" w:uiPriority="0" w:name="Body Text First Indent"/>
    <w:lsdException w:qFormat="1" w:uiPriority="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uiPriority="0"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name="Document Map"/>
    <w:lsdException w:qFormat="1" w:uiPriority="0" w:name="Plain Text"/>
    <w:lsdException w:qFormat="1" w:uiPriority="0" w:name="E-mail Signature"/>
    <w:lsdException w:qFormat="1" w:uiPriority="0" w:name="Normal (Web)"/>
    <w:lsdException w:qFormat="1" w:uiPriority="0" w:name="HTML Acronym"/>
    <w:lsdException w:qFormat="1" w:uiPriority="0" w:name="HTML Address"/>
    <w:lsdException w:qFormat="1" w:uiPriority="0" w:name="HTML Cite"/>
    <w:lsdException w:qFormat="1" w:uiPriority="0" w:name="HTML Code"/>
    <w:lsdException w:qFormat="1" w:uiPriority="0" w:name="HTML Definition"/>
    <w:lsdException w:qFormat="1" w:uiPriority="0" w:name="HTML Keyboard"/>
    <w:lsdException w:qFormat="1" w:uiPriority="99"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2">
    <w:name w:val="heading 1"/>
    <w:basedOn w:val="1"/>
    <w:next w:val="1"/>
    <w:link w:val="22"/>
    <w:qFormat/>
    <w:uiPriority w:val="0"/>
    <w:pPr>
      <w:pageBreakBefore/>
      <w:spacing w:before="340" w:after="330" w:line="400" w:lineRule="exact"/>
      <w:ind w:left="493" w:hanging="493"/>
      <w:outlineLvl w:val="0"/>
    </w:pPr>
    <w:rPr>
      <w:rFonts w:ascii="宋体" w:cs="Times New Roman"/>
      <w:bCs/>
      <w:kern w:val="32"/>
      <w:sz w:val="30"/>
      <w:szCs w:val="44"/>
    </w:rPr>
  </w:style>
  <w:style w:type="paragraph" w:styleId="3">
    <w:name w:val="heading 2"/>
    <w:basedOn w:val="1"/>
    <w:next w:val="1"/>
    <w:link w:val="23"/>
    <w:qFormat/>
    <w:uiPriority w:val="0"/>
    <w:pPr>
      <w:keepNext/>
      <w:keepLines/>
      <w:widowControl/>
      <w:spacing w:line="360" w:lineRule="auto"/>
      <w:outlineLvl w:val="1"/>
    </w:pPr>
    <w:rPr>
      <w:rFonts w:eastAsia="黑体" w:cs="Times New Roman"/>
      <w:bCs/>
      <w:color w:val="00FF00"/>
      <w:sz w:val="28"/>
    </w:rPr>
  </w:style>
  <w:style w:type="paragraph" w:styleId="4">
    <w:name w:val="heading 3"/>
    <w:basedOn w:val="1"/>
    <w:next w:val="1"/>
    <w:link w:val="24"/>
    <w:qFormat/>
    <w:uiPriority w:val="0"/>
    <w:pPr>
      <w:keepNext/>
      <w:keepLines/>
      <w:spacing w:before="260" w:after="260" w:line="416" w:lineRule="auto"/>
      <w:outlineLvl w:val="2"/>
    </w:pPr>
    <w:rPr>
      <w:rFonts w:cs="Times New Roman"/>
      <w:b/>
      <w:bCs/>
      <w:sz w:val="32"/>
      <w:szCs w:val="32"/>
    </w:rPr>
  </w:style>
  <w:style w:type="paragraph" w:styleId="5">
    <w:name w:val="heading 4"/>
    <w:basedOn w:val="1"/>
    <w:next w:val="1"/>
    <w:link w:val="36"/>
    <w:semiHidden/>
    <w:unhideWhenUs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5"/>
    <w:qFormat/>
    <w:uiPriority w:val="0"/>
    <w:pPr>
      <w:keepLines/>
      <w:tabs>
        <w:tab w:val="left" w:pos="1260"/>
      </w:tabs>
      <w:snapToGrid w:val="0"/>
      <w:spacing w:line="560" w:lineRule="exact"/>
      <w:ind w:firstLine="540"/>
      <w:outlineLvl w:val="4"/>
    </w:pPr>
    <w:rPr>
      <w:rFonts w:ascii="宋体" w:hAnsi="宋体" w:cs="Times New Roman"/>
      <w:b/>
      <w:color w:val="000000"/>
      <w:kern w:val="0"/>
      <w:sz w:val="28"/>
      <w:szCs w:val="20"/>
    </w:rPr>
  </w:style>
  <w:style w:type="paragraph" w:styleId="7">
    <w:name w:val="heading 6"/>
    <w:basedOn w:val="1"/>
    <w:next w:val="1"/>
    <w:link w:val="26"/>
    <w:qFormat/>
    <w:uiPriority w:val="0"/>
    <w:pPr>
      <w:tabs>
        <w:tab w:val="left" w:pos="720"/>
        <w:tab w:val="left" w:pos="1440"/>
      </w:tabs>
      <w:snapToGrid w:val="0"/>
      <w:spacing w:line="560" w:lineRule="exact"/>
      <w:ind w:left="420" w:hanging="420"/>
      <w:jc w:val="left"/>
      <w:outlineLvl w:val="5"/>
    </w:pPr>
    <w:rPr>
      <w:rFonts w:cs="Times New Roman"/>
      <w:kern w:val="0"/>
      <w:sz w:val="28"/>
      <w:szCs w:val="20"/>
    </w:rPr>
  </w:style>
  <w:style w:type="paragraph" w:styleId="8">
    <w:name w:val="heading 7"/>
    <w:basedOn w:val="1"/>
    <w:next w:val="1"/>
    <w:link w:val="27"/>
    <w:qFormat/>
    <w:uiPriority w:val="0"/>
    <w:pPr>
      <w:keepLines/>
      <w:tabs>
        <w:tab w:val="left" w:pos="360"/>
      </w:tabs>
      <w:snapToGrid w:val="0"/>
      <w:spacing w:before="120" w:line="240" w:lineRule="atLeast"/>
      <w:jc w:val="center"/>
      <w:outlineLvl w:val="6"/>
    </w:pPr>
    <w:rPr>
      <w:rFonts w:ascii="Arial" w:hAnsi="Arial" w:eastAsia="方正楷体简体" w:cs="Times New Roman"/>
      <w:b/>
      <w:color w:val="000000"/>
      <w:sz w:val="24"/>
      <w:szCs w:val="20"/>
    </w:rPr>
  </w:style>
  <w:style w:type="paragraph" w:styleId="9">
    <w:name w:val="heading 8"/>
    <w:basedOn w:val="1"/>
    <w:next w:val="1"/>
    <w:link w:val="28"/>
    <w:qFormat/>
    <w:uiPriority w:val="0"/>
    <w:pPr>
      <w:keepLines/>
      <w:snapToGrid w:val="0"/>
      <w:spacing w:before="240" w:after="64" w:line="320" w:lineRule="auto"/>
      <w:jc w:val="center"/>
      <w:outlineLvl w:val="7"/>
    </w:pPr>
    <w:rPr>
      <w:rFonts w:ascii="Arial" w:hAnsi="Arial" w:eastAsia="黑体" w:cs="Times New Roman"/>
      <w:color w:val="000000"/>
      <w:sz w:val="24"/>
      <w:szCs w:val="20"/>
    </w:rPr>
  </w:style>
  <w:style w:type="paragraph" w:styleId="10">
    <w:name w:val="heading 9"/>
    <w:basedOn w:val="1"/>
    <w:next w:val="1"/>
    <w:link w:val="29"/>
    <w:qFormat/>
    <w:uiPriority w:val="0"/>
    <w:pPr>
      <w:keepLines/>
      <w:snapToGrid w:val="0"/>
      <w:spacing w:before="240" w:after="64" w:line="320" w:lineRule="auto"/>
      <w:jc w:val="center"/>
      <w:outlineLvl w:val="8"/>
    </w:pPr>
    <w:rPr>
      <w:rFonts w:ascii="Arial" w:hAnsi="Arial" w:eastAsia="黑体" w:cs="Times New Roman"/>
      <w:color w:val="000000"/>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5"/>
    <w:semiHidden/>
    <w:unhideWhenUsed/>
    <w:qFormat/>
    <w:uiPriority w:val="0"/>
    <w:rPr>
      <w:rFonts w:ascii="宋体"/>
      <w:sz w:val="18"/>
      <w:szCs w:val="18"/>
    </w:rPr>
  </w:style>
  <w:style w:type="paragraph" w:styleId="12">
    <w:name w:val="annotation text"/>
    <w:basedOn w:val="1"/>
    <w:link w:val="52"/>
    <w:semiHidden/>
    <w:unhideWhenUsed/>
    <w:qFormat/>
    <w:uiPriority w:val="99"/>
    <w:pPr>
      <w:jc w:val="left"/>
    </w:pPr>
  </w:style>
  <w:style w:type="paragraph" w:styleId="13">
    <w:name w:val="Balloon Text"/>
    <w:basedOn w:val="1"/>
    <w:link w:val="44"/>
    <w:semiHidden/>
    <w:unhideWhenUsed/>
    <w:qFormat/>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annotation subject"/>
    <w:basedOn w:val="12"/>
    <w:next w:val="12"/>
    <w:link w:val="53"/>
    <w:semiHidden/>
    <w:unhideWhenUsed/>
    <w:qFormat/>
    <w:uiPriority w:val="99"/>
    <w:rPr>
      <w:b/>
      <w:bCs/>
    </w:rPr>
  </w:style>
  <w:style w:type="table" w:styleId="18">
    <w:name w:val="Table Grid"/>
    <w:basedOn w:val="17"/>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unhideWhenUsed/>
    <w:uiPriority w:val="0"/>
    <w:rPr>
      <w:color w:val="0000FF"/>
      <w:u w:val="single"/>
    </w:rPr>
  </w:style>
  <w:style w:type="character" w:styleId="21">
    <w:name w:val="annotation reference"/>
    <w:basedOn w:val="19"/>
    <w:semiHidden/>
    <w:unhideWhenUsed/>
    <w:qFormat/>
    <w:uiPriority w:val="99"/>
    <w:rPr>
      <w:sz w:val="21"/>
      <w:szCs w:val="21"/>
    </w:rPr>
  </w:style>
  <w:style w:type="character" w:customStyle="1" w:styleId="22">
    <w:name w:val="标题 1 Char"/>
    <w:basedOn w:val="19"/>
    <w:link w:val="2"/>
    <w:qFormat/>
    <w:uiPriority w:val="0"/>
    <w:rPr>
      <w:rFonts w:ascii="宋体" w:hAnsi="Times New Roman" w:eastAsia="宋体" w:cs="Times New Roman"/>
      <w:bCs/>
      <w:kern w:val="32"/>
      <w:sz w:val="30"/>
      <w:szCs w:val="44"/>
    </w:rPr>
  </w:style>
  <w:style w:type="character" w:customStyle="1" w:styleId="23">
    <w:name w:val="标题 2 Char"/>
    <w:basedOn w:val="19"/>
    <w:link w:val="3"/>
    <w:qFormat/>
    <w:uiPriority w:val="0"/>
    <w:rPr>
      <w:rFonts w:ascii="Times New Roman" w:hAnsi="Times New Roman" w:eastAsia="黑体" w:cs="Times New Roman"/>
      <w:bCs/>
      <w:color w:val="00FF00"/>
      <w:sz w:val="28"/>
      <w:szCs w:val="24"/>
    </w:rPr>
  </w:style>
  <w:style w:type="character" w:customStyle="1" w:styleId="24">
    <w:name w:val="标题 3 Char"/>
    <w:basedOn w:val="19"/>
    <w:link w:val="4"/>
    <w:qFormat/>
    <w:uiPriority w:val="0"/>
    <w:rPr>
      <w:rFonts w:ascii="Times New Roman" w:hAnsi="Times New Roman" w:eastAsia="宋体" w:cs="Times New Roman"/>
      <w:b/>
      <w:bCs/>
      <w:sz w:val="32"/>
      <w:szCs w:val="32"/>
    </w:rPr>
  </w:style>
  <w:style w:type="character" w:customStyle="1" w:styleId="25">
    <w:name w:val="标题 5 Char"/>
    <w:basedOn w:val="19"/>
    <w:link w:val="6"/>
    <w:qFormat/>
    <w:uiPriority w:val="0"/>
    <w:rPr>
      <w:rFonts w:ascii="宋体" w:hAnsi="宋体" w:eastAsia="宋体" w:cs="Times New Roman"/>
      <w:b/>
      <w:color w:val="000000"/>
      <w:kern w:val="0"/>
      <w:sz w:val="28"/>
      <w:szCs w:val="20"/>
    </w:rPr>
  </w:style>
  <w:style w:type="character" w:customStyle="1" w:styleId="26">
    <w:name w:val="标题 6 Char"/>
    <w:basedOn w:val="19"/>
    <w:link w:val="7"/>
    <w:qFormat/>
    <w:uiPriority w:val="0"/>
    <w:rPr>
      <w:rFonts w:ascii="Times New Roman" w:hAnsi="Times New Roman" w:eastAsia="宋体" w:cs="Times New Roman"/>
      <w:kern w:val="0"/>
      <w:sz w:val="28"/>
      <w:szCs w:val="20"/>
    </w:rPr>
  </w:style>
  <w:style w:type="character" w:customStyle="1" w:styleId="27">
    <w:name w:val="标题 7 Char"/>
    <w:basedOn w:val="19"/>
    <w:link w:val="8"/>
    <w:qFormat/>
    <w:uiPriority w:val="0"/>
    <w:rPr>
      <w:rFonts w:ascii="Arial" w:hAnsi="Arial" w:eastAsia="方正楷体简体" w:cs="Times New Roman"/>
      <w:b/>
      <w:color w:val="000000"/>
      <w:sz w:val="24"/>
      <w:szCs w:val="20"/>
    </w:rPr>
  </w:style>
  <w:style w:type="character" w:customStyle="1" w:styleId="28">
    <w:name w:val="标题 8 Char"/>
    <w:basedOn w:val="19"/>
    <w:link w:val="9"/>
    <w:qFormat/>
    <w:uiPriority w:val="0"/>
    <w:rPr>
      <w:rFonts w:ascii="Arial" w:hAnsi="Arial" w:eastAsia="黑体" w:cs="Times New Roman"/>
      <w:color w:val="000000"/>
      <w:sz w:val="24"/>
      <w:szCs w:val="20"/>
    </w:rPr>
  </w:style>
  <w:style w:type="character" w:customStyle="1" w:styleId="29">
    <w:name w:val="标题 9 Char"/>
    <w:basedOn w:val="19"/>
    <w:link w:val="10"/>
    <w:qFormat/>
    <w:uiPriority w:val="0"/>
    <w:rPr>
      <w:rFonts w:ascii="Arial" w:hAnsi="Arial" w:eastAsia="黑体" w:cs="Times New Roman"/>
      <w:color w:val="000000"/>
      <w:szCs w:val="20"/>
    </w:rPr>
  </w:style>
  <w:style w:type="paragraph" w:customStyle="1" w:styleId="30">
    <w:name w:val="1 标题"/>
    <w:basedOn w:val="1"/>
    <w:next w:val="1"/>
    <w:qFormat/>
    <w:uiPriority w:val="0"/>
    <w:pPr>
      <w:numPr>
        <w:ilvl w:val="1"/>
        <w:numId w:val="1"/>
      </w:numPr>
      <w:spacing w:before="60" w:after="20" w:line="360" w:lineRule="auto"/>
      <w:outlineLvl w:val="0"/>
    </w:pPr>
    <w:rPr>
      <w:rFonts w:eastAsiaTheme="minorEastAsia"/>
      <w:b/>
      <w:sz w:val="24"/>
      <w:szCs w:val="21"/>
    </w:rPr>
  </w:style>
  <w:style w:type="paragraph" w:customStyle="1" w:styleId="31">
    <w:name w:val="5表标题"/>
    <w:link w:val="32"/>
    <w:qFormat/>
    <w:uiPriority w:val="0"/>
    <w:pPr>
      <w:spacing w:beforeLines="50"/>
      <w:jc w:val="center"/>
    </w:pPr>
    <w:rPr>
      <w:rFonts w:ascii="Times New Roman" w:hAnsi="Times New Roman" w:eastAsia="黑体" w:cs="Times New Roman"/>
      <w:kern w:val="2"/>
      <w:sz w:val="21"/>
      <w:szCs w:val="20"/>
      <w:lang w:val="en-US" w:eastAsia="zh-CN" w:bidi="ar-SA"/>
    </w:rPr>
  </w:style>
  <w:style w:type="character" w:customStyle="1" w:styleId="32">
    <w:name w:val="5表标题 Char"/>
    <w:link w:val="31"/>
    <w:qFormat/>
    <w:locked/>
    <w:uiPriority w:val="0"/>
    <w:rPr>
      <w:rFonts w:ascii="Times New Roman" w:hAnsi="Times New Roman" w:eastAsia="黑体" w:cs="Times New Roman"/>
      <w:szCs w:val="20"/>
    </w:rPr>
  </w:style>
  <w:style w:type="paragraph" w:customStyle="1" w:styleId="33">
    <w:name w:val="6表内文字 居中"/>
    <w:basedOn w:val="1"/>
    <w:qFormat/>
    <w:uiPriority w:val="0"/>
    <w:pPr>
      <w:adjustRightInd w:val="0"/>
      <w:spacing w:line="240" w:lineRule="atLeast"/>
      <w:jc w:val="center"/>
      <w:textAlignment w:val="baseline"/>
    </w:pPr>
    <w:rPr>
      <w:rFonts w:cs="Times New Roman"/>
      <w:snapToGrid w:val="0"/>
      <w:kern w:val="0"/>
    </w:rPr>
  </w:style>
  <w:style w:type="paragraph" w:customStyle="1" w:styleId="34">
    <w:name w:val="0报告书正文"/>
    <w:basedOn w:val="1"/>
    <w:link w:val="35"/>
    <w:qFormat/>
    <w:uiPriority w:val="0"/>
    <w:pPr>
      <w:spacing w:line="360" w:lineRule="auto"/>
      <w:ind w:firstLine="200" w:firstLineChars="200"/>
    </w:pPr>
    <w:rPr>
      <w:sz w:val="24"/>
      <w:szCs w:val="22"/>
    </w:rPr>
  </w:style>
  <w:style w:type="character" w:customStyle="1" w:styleId="35">
    <w:name w:val="0报告书正文 Char"/>
    <w:link w:val="34"/>
    <w:qFormat/>
    <w:uiPriority w:val="0"/>
    <w:rPr>
      <w:rFonts w:ascii="Times New Roman" w:hAnsi="Times New Roman" w:eastAsia="宋体"/>
      <w:sz w:val="24"/>
    </w:rPr>
  </w:style>
  <w:style w:type="character" w:customStyle="1" w:styleId="36">
    <w:name w:val="标题 4 Char"/>
    <w:basedOn w:val="19"/>
    <w:link w:val="5"/>
    <w:semiHidden/>
    <w:uiPriority w:val="9"/>
    <w:rPr>
      <w:rFonts w:asciiTheme="majorHAnsi" w:hAnsiTheme="majorHAnsi" w:eastAsiaTheme="majorEastAsia" w:cstheme="majorBidi"/>
      <w:b/>
      <w:bCs/>
      <w:sz w:val="28"/>
      <w:szCs w:val="28"/>
    </w:rPr>
  </w:style>
  <w:style w:type="paragraph" w:customStyle="1" w:styleId="37">
    <w:name w:val="3 标题"/>
    <w:basedOn w:val="1"/>
    <w:link w:val="38"/>
    <w:qFormat/>
    <w:uiPriority w:val="0"/>
    <w:pPr>
      <w:keepNext/>
      <w:keepLines/>
      <w:widowControl/>
      <w:spacing w:beforeLines="50" w:afterLines="50" w:line="360" w:lineRule="auto"/>
      <w:jc w:val="left"/>
      <w:outlineLvl w:val="2"/>
    </w:pPr>
    <w:rPr>
      <w:rFonts w:asciiTheme="minorHAnsi" w:hAnsiTheme="minorHAnsi" w:eastAsiaTheme="minorEastAsia"/>
      <w:b/>
      <w:bCs/>
      <w:color w:val="0000FF"/>
      <w:spacing w:val="4"/>
      <w:sz w:val="28"/>
    </w:rPr>
  </w:style>
  <w:style w:type="character" w:customStyle="1" w:styleId="38">
    <w:name w:val="3 标题 Char"/>
    <w:link w:val="37"/>
    <w:qFormat/>
    <w:uiPriority w:val="0"/>
    <w:rPr>
      <w:b/>
      <w:bCs/>
      <w:color w:val="0000FF"/>
      <w:spacing w:val="4"/>
      <w:sz w:val="28"/>
      <w:szCs w:val="24"/>
    </w:rPr>
  </w:style>
  <w:style w:type="paragraph" w:customStyle="1" w:styleId="39">
    <w:name w:val="4 标题"/>
    <w:basedOn w:val="1"/>
    <w:link w:val="40"/>
    <w:qFormat/>
    <w:uiPriority w:val="0"/>
    <w:pPr>
      <w:spacing w:line="360" w:lineRule="auto"/>
      <w:outlineLvl w:val="3"/>
    </w:pPr>
    <w:rPr>
      <w:rFonts w:asciiTheme="minorHAnsi" w:hAnsiTheme="minorHAnsi" w:eastAsiaTheme="minorEastAsia"/>
      <w:b/>
      <w:color w:val="0000FF"/>
      <w:sz w:val="24"/>
    </w:rPr>
  </w:style>
  <w:style w:type="character" w:customStyle="1" w:styleId="40">
    <w:name w:val="4 标题 Char"/>
    <w:link w:val="39"/>
    <w:qFormat/>
    <w:uiPriority w:val="0"/>
    <w:rPr>
      <w:b/>
      <w:color w:val="0000FF"/>
      <w:sz w:val="24"/>
      <w:szCs w:val="24"/>
    </w:rPr>
  </w:style>
  <w:style w:type="paragraph" w:customStyle="1" w:styleId="41">
    <w:name w:val="1标题2"/>
    <w:basedOn w:val="2"/>
    <w:qFormat/>
    <w:uiPriority w:val="0"/>
    <w:pPr>
      <w:pageBreakBefore w:val="0"/>
      <w:wordWrap w:val="0"/>
      <w:spacing w:before="0" w:after="0" w:line="240" w:lineRule="auto"/>
      <w:ind w:left="0" w:firstLine="525" w:firstLineChars="200"/>
      <w:outlineLvl w:val="9"/>
    </w:pPr>
    <w:rPr>
      <w:rFonts w:ascii="Times New Roman"/>
      <w:b/>
      <w:bCs w:val="0"/>
      <w:color w:val="000000"/>
      <w:kern w:val="2"/>
      <w:sz w:val="24"/>
      <w:szCs w:val="28"/>
    </w:rPr>
  </w:style>
  <w:style w:type="character" w:customStyle="1" w:styleId="42">
    <w:name w:val="0正文 Char"/>
    <w:link w:val="43"/>
    <w:locked/>
    <w:uiPriority w:val="0"/>
    <w:rPr>
      <w:rFonts w:ascii="宋体" w:hAnsi="宋体" w:eastAsia="宋体" w:cs="宋体"/>
      <w:sz w:val="24"/>
    </w:rPr>
  </w:style>
  <w:style w:type="paragraph" w:customStyle="1" w:styleId="43">
    <w:name w:val="0正文"/>
    <w:basedOn w:val="1"/>
    <w:next w:val="1"/>
    <w:link w:val="42"/>
    <w:qFormat/>
    <w:uiPriority w:val="0"/>
    <w:pPr>
      <w:spacing w:line="440" w:lineRule="exact"/>
      <w:ind w:firstLine="200" w:firstLineChars="200"/>
    </w:pPr>
    <w:rPr>
      <w:rFonts w:ascii="宋体" w:hAnsi="宋体" w:cs="宋体"/>
      <w:sz w:val="24"/>
      <w:szCs w:val="22"/>
    </w:rPr>
  </w:style>
  <w:style w:type="character" w:customStyle="1" w:styleId="44">
    <w:name w:val="批注框文本 Char"/>
    <w:basedOn w:val="19"/>
    <w:link w:val="13"/>
    <w:semiHidden/>
    <w:uiPriority w:val="99"/>
    <w:rPr>
      <w:rFonts w:ascii="Times New Roman" w:hAnsi="Times New Roman" w:eastAsia="宋体"/>
      <w:sz w:val="18"/>
      <w:szCs w:val="18"/>
    </w:rPr>
  </w:style>
  <w:style w:type="character" w:customStyle="1" w:styleId="45">
    <w:name w:val="文档结构图 Char"/>
    <w:basedOn w:val="19"/>
    <w:link w:val="11"/>
    <w:semiHidden/>
    <w:uiPriority w:val="0"/>
    <w:rPr>
      <w:rFonts w:ascii="宋体" w:hAnsi="Times New Roman" w:eastAsia="宋体"/>
      <w:sz w:val="18"/>
      <w:szCs w:val="18"/>
    </w:rPr>
  </w:style>
  <w:style w:type="character" w:customStyle="1" w:styleId="46">
    <w:name w:val="页眉 Char"/>
    <w:basedOn w:val="19"/>
    <w:link w:val="15"/>
    <w:uiPriority w:val="99"/>
    <w:rPr>
      <w:rFonts w:ascii="Times New Roman" w:hAnsi="Times New Roman" w:eastAsia="宋体"/>
      <w:sz w:val="18"/>
      <w:szCs w:val="18"/>
    </w:rPr>
  </w:style>
  <w:style w:type="character" w:customStyle="1" w:styleId="47">
    <w:name w:val="页脚 Char"/>
    <w:basedOn w:val="19"/>
    <w:link w:val="14"/>
    <w:uiPriority w:val="99"/>
    <w:rPr>
      <w:rFonts w:ascii="Times New Roman" w:hAnsi="Times New Roman" w:eastAsia="宋体"/>
      <w:sz w:val="18"/>
      <w:szCs w:val="18"/>
    </w:rPr>
  </w:style>
  <w:style w:type="character" w:customStyle="1" w:styleId="48">
    <w:name w:val="正文文本 (2)_"/>
    <w:basedOn w:val="19"/>
    <w:link w:val="49"/>
    <w:locked/>
    <w:uiPriority w:val="0"/>
    <w:rPr>
      <w:rFonts w:ascii="宋体" w:hAnsi="宋体" w:eastAsia="宋体" w:cs="宋体"/>
      <w:spacing w:val="60"/>
      <w:sz w:val="32"/>
      <w:szCs w:val="32"/>
      <w:shd w:val="clear" w:color="auto" w:fill="FFFFFF"/>
    </w:rPr>
  </w:style>
  <w:style w:type="paragraph" w:customStyle="1" w:styleId="49">
    <w:name w:val="正文文本 (2)"/>
    <w:basedOn w:val="1"/>
    <w:link w:val="48"/>
    <w:uiPriority w:val="0"/>
    <w:pPr>
      <w:shd w:val="clear" w:color="auto" w:fill="FFFFFF"/>
      <w:spacing w:line="0" w:lineRule="atLeast"/>
      <w:jc w:val="left"/>
    </w:pPr>
    <w:rPr>
      <w:rFonts w:ascii="宋体" w:hAnsi="宋体" w:cs="宋体"/>
      <w:spacing w:val="60"/>
      <w:sz w:val="32"/>
      <w:szCs w:val="32"/>
    </w:rPr>
  </w:style>
  <w:style w:type="character" w:customStyle="1" w:styleId="50">
    <w:name w:val="正文文本 (2) + 10.5 pt"/>
    <w:basedOn w:val="48"/>
    <w:uiPriority w:val="0"/>
    <w:rPr>
      <w:rFonts w:ascii="宋体" w:hAnsi="宋体" w:eastAsia="宋体" w:cs="宋体"/>
      <w:color w:val="000000"/>
      <w:spacing w:val="20"/>
      <w:w w:val="100"/>
      <w:position w:val="0"/>
      <w:sz w:val="21"/>
      <w:szCs w:val="21"/>
      <w:shd w:val="clear" w:color="auto" w:fill="FFFFFF"/>
      <w:lang w:val="zh-TW" w:eastAsia="zh-TW" w:bidi="zh-TW"/>
    </w:rPr>
  </w:style>
  <w:style w:type="character" w:customStyle="1" w:styleId="51">
    <w:name w:val="正文文本 (2) + Tahoma"/>
    <w:basedOn w:val="48"/>
    <w:uiPriority w:val="0"/>
    <w:rPr>
      <w:rFonts w:hint="default" w:ascii="Tahoma" w:hAnsi="Tahoma" w:eastAsia="Tahoma" w:cs="Tahoma"/>
      <w:color w:val="000000"/>
      <w:spacing w:val="10"/>
      <w:w w:val="100"/>
      <w:position w:val="0"/>
      <w:sz w:val="17"/>
      <w:szCs w:val="17"/>
      <w:shd w:val="clear" w:color="auto" w:fill="FFFFFF"/>
      <w:lang w:val="zh-TW" w:eastAsia="zh-TW" w:bidi="zh-TW"/>
    </w:rPr>
  </w:style>
  <w:style w:type="character" w:customStyle="1" w:styleId="52">
    <w:name w:val="批注文字 Char"/>
    <w:basedOn w:val="19"/>
    <w:link w:val="12"/>
    <w:semiHidden/>
    <w:uiPriority w:val="99"/>
    <w:rPr>
      <w:rFonts w:ascii="Times New Roman" w:hAnsi="Times New Roman" w:eastAsia="宋体"/>
      <w:szCs w:val="24"/>
    </w:rPr>
  </w:style>
  <w:style w:type="character" w:customStyle="1" w:styleId="53">
    <w:name w:val="批注主题 Char"/>
    <w:basedOn w:val="52"/>
    <w:link w:val="16"/>
    <w:semiHidden/>
    <w:uiPriority w:val="99"/>
    <w:rPr>
      <w:rFonts w:ascii="Times New Roman" w:hAnsi="Times New Roman" w:eastAsia="宋体"/>
      <w:b/>
      <w:bCs/>
      <w:szCs w:val="24"/>
    </w:rPr>
  </w:style>
  <w:style w:type="table" w:customStyle="1" w:styleId="54">
    <w:name w:val="网格型1"/>
    <w:basedOn w:val="1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5">
    <w:name w:val="Unresolved Mention"/>
    <w:basedOn w:val="1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987</Words>
  <Characters>5631</Characters>
  <Lines>46</Lines>
  <Paragraphs>13</Paragraphs>
  <TotalTime>1798</TotalTime>
  <ScaleCrop>false</ScaleCrop>
  <LinksUpToDate>false</LinksUpToDate>
  <CharactersWithSpaces>6605</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2018-11-20T09:53:00Z</dcterms:created>
  <dc:creator>Tang</dc:creator>
  <cp:lastModifiedBy>Administrator</cp:lastModifiedBy>
  <cp:lastPrinted>2020-09-25T11:08:00Z</cp:lastPrinted>
  <dcterms:modified xsi:type="dcterms:W3CDTF">2020-10-28T00:50:17Z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